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0"/>
        <w:spacing w:after="510"/>
        <w:ind w:firstLine="284" w:firstLineChars="118"/>
        <w:outlineLvl w:val="0"/>
        <w:rPr>
          <w:rFonts w:ascii="宋体" w:hAnsi="宋体" w:eastAsia="宋体"/>
          <w:b/>
        </w:rPr>
      </w:pPr>
      <w:r>
        <w:rPr>
          <w:rFonts w:hint="eastAsia" w:ascii="宋体" w:hAnsi="宋体" w:eastAsia="宋体"/>
          <w:b/>
        </w:rPr>
        <w:t>证券代码：601187</w:t>
      </w:r>
      <w:r>
        <w:rPr>
          <w:rFonts w:ascii="宋体" w:hAnsi="宋体" w:eastAsia="宋体"/>
          <w:b/>
        </w:rPr>
        <w:t xml:space="preserve">      </w:t>
      </w:r>
      <w:r>
        <w:rPr>
          <w:rFonts w:hint="eastAsia" w:ascii="宋体" w:hAnsi="宋体" w:eastAsia="宋体"/>
          <w:b/>
        </w:rPr>
        <w:t xml:space="preserve"> 证券简称：厦门银行</w:t>
      </w:r>
      <w:r>
        <w:rPr>
          <w:rFonts w:ascii="宋体" w:hAnsi="宋体" w:eastAsia="宋体"/>
          <w:b/>
        </w:rPr>
        <w:t xml:space="preserve">     </w:t>
      </w:r>
      <w:r>
        <w:rPr>
          <w:rFonts w:hint="eastAsia" w:ascii="宋体" w:hAnsi="宋体" w:eastAsia="宋体"/>
          <w:b/>
        </w:rPr>
        <w:t>公告编号：</w:t>
      </w:r>
      <w:r>
        <w:rPr>
          <w:rFonts w:ascii="宋体" w:hAnsi="宋体" w:eastAsia="宋体"/>
          <w:b/>
        </w:rPr>
        <w:t>2024</w:t>
      </w:r>
      <w:r>
        <w:rPr>
          <w:rFonts w:ascii="宋体" w:hAnsi="宋体" w:eastAsia="宋体"/>
          <w:b/>
          <w:color w:val="auto"/>
        </w:rPr>
        <w:t>-035</w:t>
      </w:r>
    </w:p>
    <w:p>
      <w:pPr>
        <w:spacing w:before="156" w:beforeLines="50" w:after="156" w:afterLines="50" w:line="360" w:lineRule="auto"/>
        <w:jc w:val="center"/>
        <w:outlineLvl w:val="1"/>
        <w:rPr>
          <w:rFonts w:ascii="黑体" w:hAnsi="黑体" w:eastAsia="黑体" w:cs="黑体"/>
          <w:b/>
          <w:bCs/>
          <w:color w:val="FF0000"/>
          <w:sz w:val="36"/>
          <w:szCs w:val="36"/>
        </w:rPr>
      </w:pPr>
      <w:r>
        <w:rPr>
          <w:rFonts w:hint="eastAsia" w:ascii="黑体" w:hAnsi="黑体" w:eastAsia="黑体" w:cs="黑体"/>
          <w:b/>
          <w:bCs/>
          <w:color w:val="FF0000"/>
          <w:sz w:val="36"/>
          <w:szCs w:val="36"/>
        </w:rPr>
        <w:t>厦门银行股份有限公司</w:t>
      </w:r>
    </w:p>
    <w:p>
      <w:pPr>
        <w:jc w:val="center"/>
      </w:pPr>
      <w:r>
        <w:rPr>
          <w:rFonts w:hint="eastAsia" w:ascii="黑体" w:hAnsi="黑体" w:eastAsia="黑体" w:cs="黑体"/>
          <w:b/>
          <w:bCs/>
          <w:color w:val="FF0000"/>
          <w:sz w:val="36"/>
          <w:szCs w:val="36"/>
        </w:rPr>
        <w:t>2</w:t>
      </w:r>
      <w:r>
        <w:rPr>
          <w:rFonts w:ascii="黑体" w:hAnsi="黑体" w:eastAsia="黑体" w:cs="黑体"/>
          <w:b/>
          <w:bCs/>
          <w:color w:val="FF0000"/>
          <w:sz w:val="36"/>
          <w:szCs w:val="36"/>
        </w:rPr>
        <w:t>024年度“提质增效重回报”</w:t>
      </w:r>
      <w:r>
        <w:rPr>
          <w:rFonts w:hint="eastAsia" w:ascii="黑体" w:hAnsi="黑体" w:eastAsia="黑体" w:cs="黑体"/>
          <w:b/>
          <w:bCs/>
          <w:color w:val="FF0000"/>
          <w:sz w:val="36"/>
          <w:szCs w:val="36"/>
          <w:lang w:val="en-US" w:eastAsia="zh-CN"/>
        </w:rPr>
        <w:t>行动方案的</w:t>
      </w:r>
      <w:r>
        <w:rPr>
          <w:rFonts w:ascii="黑体" w:hAnsi="黑体" w:eastAsia="黑体" w:cs="黑体"/>
          <w:b/>
          <w:bCs/>
          <w:color w:val="FF0000"/>
          <w:sz w:val="36"/>
          <w:szCs w:val="36"/>
        </w:rPr>
        <w:t>公告</w:t>
      </w:r>
    </w:p>
    <w:tbl>
      <w:tblPr>
        <w:tblStyle w:val="1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96" w:type="dxa"/>
          </w:tcPr>
          <w:p>
            <w:pPr>
              <w:spacing w:before="156" w:beforeLines="50" w:after="156" w:afterLines="50" w:line="360" w:lineRule="auto"/>
              <w:ind w:firstLine="480" w:firstLineChars="200"/>
              <w:rPr>
                <w:rFonts w:ascii="黑体" w:eastAsia="黑体"/>
                <w:b/>
                <w:bCs/>
                <w:sz w:val="24"/>
              </w:rPr>
            </w:pPr>
            <w:r>
              <w:rPr>
                <w:rFonts w:hint="eastAsia" w:ascii="仿宋_GB2312" w:hAnsi="宋体" w:eastAsia="仿宋_GB2312"/>
                <w:sz w:val="24"/>
                <w:szCs w:val="22"/>
              </w:rPr>
              <w:t>厦门银行股份有限公司董事会及全体董事保证本公告内容不存在任何虚假记载、误导性陈述或者重大遗漏，并对其内容的真实性、准确性和完整性承担法律责任。</w:t>
            </w:r>
            <w:r>
              <w:rPr>
                <w:rFonts w:ascii="仿宋_GB2312" w:hAnsi="宋体" w:eastAsia="仿宋_GB2312"/>
                <w:sz w:val="24"/>
                <w:szCs w:val="22"/>
              </w:rPr>
              <w:t xml:space="preserve"> </w:t>
            </w:r>
          </w:p>
        </w:tc>
      </w:tr>
    </w:tbl>
    <w:p>
      <w:pPr>
        <w:snapToGrid w:val="0"/>
        <w:spacing w:line="360" w:lineRule="auto"/>
        <w:ind w:firstLine="480"/>
        <w:rPr>
          <w:rFonts w:ascii="宋体" w:hAnsi="宋体" w:cs="宋体"/>
          <w:sz w:val="24"/>
        </w:rPr>
      </w:pPr>
    </w:p>
    <w:p>
      <w:pPr>
        <w:snapToGrid w:val="0"/>
        <w:spacing w:line="360" w:lineRule="auto"/>
        <w:ind w:firstLine="480"/>
        <w:rPr>
          <w:rFonts w:ascii="宋体" w:hAnsi="宋体" w:cs="宋体"/>
          <w:sz w:val="24"/>
        </w:rPr>
      </w:pPr>
      <w:r>
        <w:rPr>
          <w:rFonts w:ascii="宋体" w:hAnsi="宋体" w:eastAsia="宋体" w:cs="宋体"/>
          <w:sz w:val="24"/>
          <w:szCs w:val="24"/>
        </w:rPr>
        <w:t>为深入贯彻党的二十届三中全会和中央金融工作会议精神，坚定落实国务院《关于进一步提高上市公司质量的意见》要求，厦门银行股份有限公司（以下简称“公司”）坚守城商行市场定位，每三年制定一轮发展战略规划，不断推动公司高质量发展和投资价值提升，切实保障广大投资者合法权益。2024年-2026年，公司以“结构优化、质效优先、安全稳健、特色鲜明、机制灵活”为战略目标，坚定执行“业务战略、分行战略、协同战略、ESG战略”四大业务发展战略，稳步推进战略实施，依托公司资源禀赋全力做好“五篇大文章”。2024年度公司“提质增效重回报”</w:t>
      </w:r>
      <w:r>
        <w:rPr>
          <w:rFonts w:hint="eastAsia" w:ascii="宋体" w:hAnsi="宋体" w:cs="宋体"/>
          <w:sz w:val="24"/>
          <w:szCs w:val="24"/>
          <w:lang w:val="en-US" w:eastAsia="zh-CN"/>
        </w:rPr>
        <w:t>行动方案</w:t>
      </w:r>
      <w:r>
        <w:rPr>
          <w:rFonts w:ascii="宋体" w:hAnsi="宋体" w:eastAsia="宋体" w:cs="宋体"/>
          <w:sz w:val="24"/>
          <w:szCs w:val="24"/>
        </w:rPr>
        <w:t>相关情况如下：</w:t>
      </w:r>
    </w:p>
    <w:p>
      <w:pPr>
        <w:numPr>
          <w:ilvl w:val="0"/>
          <w:numId w:val="2"/>
        </w:numPr>
        <w:snapToGrid w:val="0"/>
        <w:spacing w:line="360" w:lineRule="auto"/>
        <w:ind w:firstLine="480"/>
        <w:rPr>
          <w:rFonts w:ascii="宋体" w:hAnsi="宋体" w:cs="宋体"/>
          <w:b/>
          <w:bCs/>
          <w:sz w:val="24"/>
        </w:rPr>
      </w:pPr>
      <w:r>
        <w:rPr>
          <w:rFonts w:ascii="宋体" w:hAnsi="宋体" w:cs="宋体"/>
          <w:b/>
          <w:bCs/>
          <w:sz w:val="24"/>
        </w:rPr>
        <w:t>倾力支持小微企业</w:t>
      </w:r>
      <w:r>
        <w:rPr>
          <w:rFonts w:hint="eastAsia" w:ascii="宋体" w:hAnsi="宋体" w:cs="宋体"/>
          <w:b/>
          <w:bCs/>
          <w:sz w:val="24"/>
          <w:lang w:eastAsia="zh-CN"/>
        </w:rPr>
        <w:t>，</w:t>
      </w:r>
      <w:r>
        <w:rPr>
          <w:rFonts w:ascii="宋体" w:hAnsi="宋体" w:cs="宋体"/>
          <w:b/>
          <w:bCs/>
          <w:sz w:val="24"/>
        </w:rPr>
        <w:t>精耕细作普惠金融</w:t>
      </w:r>
    </w:p>
    <w:p>
      <w:pPr>
        <w:numPr>
          <w:ilvl w:val="0"/>
          <w:numId w:val="0"/>
        </w:numPr>
        <w:snapToGrid w:val="0"/>
        <w:spacing w:line="360" w:lineRule="auto"/>
        <w:ind w:firstLine="480" w:firstLineChars="200"/>
        <w:rPr>
          <w:rFonts w:hint="default" w:ascii="宋体" w:hAnsi="宋体" w:eastAsia="宋体" w:cs="宋体"/>
          <w:sz w:val="24"/>
          <w:szCs w:val="24"/>
          <w:lang w:val="en-US"/>
        </w:rPr>
      </w:pPr>
      <w:r>
        <w:rPr>
          <w:rFonts w:ascii="宋体" w:hAnsi="宋体" w:eastAsia="宋体" w:cs="宋体"/>
          <w:sz w:val="24"/>
          <w:szCs w:val="24"/>
        </w:rPr>
        <w:t>公司坚持做小微企业的主办行，通过加大信贷资源配置、优化激励机制、创新金融产品等一系列举措，</w:t>
      </w:r>
      <w:r>
        <w:rPr>
          <w:rFonts w:hint="eastAsia" w:ascii="宋体" w:hAnsi="宋体" w:cs="宋体"/>
          <w:sz w:val="24"/>
          <w:szCs w:val="24"/>
          <w:lang w:val="en-US" w:eastAsia="zh-CN"/>
        </w:rPr>
        <w:t>持续</w:t>
      </w:r>
      <w:r>
        <w:rPr>
          <w:rFonts w:ascii="宋体" w:hAnsi="宋体" w:eastAsia="宋体" w:cs="宋体"/>
          <w:sz w:val="24"/>
          <w:szCs w:val="24"/>
        </w:rPr>
        <w:t>为小微企业业务发展引进“愿贷”活水。公司专门为小微企业单列信贷计划，单独制定普惠型小微贷款新增投放要求，对普惠型小微贷款给予重点支持</w:t>
      </w:r>
      <w:r>
        <w:rPr>
          <w:rFonts w:hint="eastAsia" w:ascii="宋体" w:hAnsi="宋体" w:cs="宋体"/>
          <w:sz w:val="24"/>
          <w:szCs w:val="24"/>
          <w:lang w:eastAsia="zh-CN"/>
        </w:rPr>
        <w:t>，</w:t>
      </w:r>
      <w:r>
        <w:rPr>
          <w:rFonts w:ascii="宋体" w:hAnsi="宋体" w:eastAsia="宋体" w:cs="宋体"/>
          <w:sz w:val="24"/>
          <w:szCs w:val="24"/>
        </w:rPr>
        <w:t>近三年，</w:t>
      </w:r>
      <w:r>
        <w:rPr>
          <w:rFonts w:hint="eastAsia" w:ascii="宋体" w:hAnsi="宋体" w:eastAsia="宋体" w:cs="宋体"/>
          <w:sz w:val="24"/>
          <w:szCs w:val="24"/>
          <w:lang w:val="en-US" w:eastAsia="zh-CN"/>
        </w:rPr>
        <w:t>公司</w:t>
      </w:r>
      <w:r>
        <w:rPr>
          <w:rFonts w:ascii="宋体" w:hAnsi="宋体" w:eastAsia="宋体" w:cs="宋体"/>
          <w:sz w:val="24"/>
          <w:szCs w:val="24"/>
        </w:rPr>
        <w:t>普惠型小微企业贷款增速</w:t>
      </w:r>
      <w:r>
        <w:rPr>
          <w:rFonts w:hint="eastAsia" w:ascii="宋体" w:hAnsi="宋体" w:eastAsia="宋体" w:cs="宋体"/>
          <w:sz w:val="24"/>
          <w:szCs w:val="24"/>
          <w:lang w:val="en-US" w:eastAsia="zh-CN"/>
        </w:rPr>
        <w:t>为</w:t>
      </w:r>
      <w:r>
        <w:rPr>
          <w:rFonts w:ascii="宋体" w:hAnsi="宋体" w:eastAsia="宋体" w:cs="宋体"/>
          <w:sz w:val="24"/>
          <w:szCs w:val="24"/>
        </w:rPr>
        <w:t>29.20%、37.37%、17.51%。根据小微企业发展阶段不同、行业不同、地域不同的特点，</w:t>
      </w:r>
      <w:r>
        <w:rPr>
          <w:rFonts w:hint="eastAsia" w:ascii="宋体" w:hAnsi="宋体" w:cs="宋体"/>
          <w:sz w:val="24"/>
          <w:szCs w:val="24"/>
          <w:lang w:val="en-US" w:eastAsia="zh-CN"/>
        </w:rPr>
        <w:t>公司</w:t>
      </w:r>
      <w:r>
        <w:rPr>
          <w:rFonts w:ascii="宋体" w:hAnsi="宋体" w:eastAsia="宋体" w:cs="宋体"/>
          <w:sz w:val="24"/>
          <w:szCs w:val="24"/>
        </w:rPr>
        <w:t>完善</w:t>
      </w:r>
      <w:r>
        <w:rPr>
          <w:rFonts w:hint="eastAsia" w:ascii="宋体" w:hAnsi="宋体" w:cs="宋体"/>
          <w:sz w:val="24"/>
          <w:szCs w:val="24"/>
          <w:lang w:eastAsia="zh-CN"/>
        </w:rPr>
        <w:t>“</w:t>
      </w:r>
      <w:r>
        <w:rPr>
          <w:rFonts w:ascii="宋体" w:hAnsi="宋体" w:eastAsia="宋体" w:cs="宋体"/>
          <w:sz w:val="24"/>
          <w:szCs w:val="24"/>
        </w:rPr>
        <w:t>创抵贷</w:t>
      </w:r>
      <w:r>
        <w:rPr>
          <w:rFonts w:hint="eastAsia" w:ascii="宋体" w:hAnsi="宋体" w:cs="宋体"/>
          <w:sz w:val="24"/>
          <w:szCs w:val="24"/>
          <w:lang w:eastAsia="zh-CN"/>
        </w:rPr>
        <w:t>”“</w:t>
      </w:r>
      <w:r>
        <w:rPr>
          <w:rFonts w:ascii="宋体" w:hAnsi="宋体" w:eastAsia="宋体" w:cs="宋体"/>
          <w:sz w:val="24"/>
          <w:szCs w:val="24"/>
        </w:rPr>
        <w:t>厦易贷</w:t>
      </w:r>
      <w:r>
        <w:rPr>
          <w:rFonts w:hint="eastAsia" w:ascii="宋体" w:hAnsi="宋体" w:cs="宋体"/>
          <w:sz w:val="24"/>
          <w:szCs w:val="24"/>
          <w:lang w:eastAsia="zh-CN"/>
        </w:rPr>
        <w:t>”“</w:t>
      </w:r>
      <w:r>
        <w:rPr>
          <w:rFonts w:ascii="宋体" w:hAnsi="宋体" w:eastAsia="宋体" w:cs="宋体"/>
          <w:sz w:val="24"/>
          <w:szCs w:val="24"/>
        </w:rPr>
        <w:t>科技贷</w:t>
      </w:r>
      <w:r>
        <w:rPr>
          <w:rFonts w:hint="eastAsia" w:ascii="宋体" w:hAnsi="宋体" w:cs="宋体"/>
          <w:sz w:val="24"/>
          <w:szCs w:val="24"/>
          <w:lang w:eastAsia="zh-CN"/>
        </w:rPr>
        <w:t>”、</w:t>
      </w:r>
      <w:r>
        <w:rPr>
          <w:rFonts w:ascii="宋体" w:hAnsi="宋体" w:eastAsia="宋体" w:cs="宋体"/>
          <w:sz w:val="24"/>
          <w:szCs w:val="24"/>
        </w:rPr>
        <w:t>宁德</w:t>
      </w:r>
      <w:r>
        <w:rPr>
          <w:rFonts w:hint="eastAsia" w:ascii="宋体" w:hAnsi="宋体" w:cs="宋体"/>
          <w:sz w:val="24"/>
          <w:szCs w:val="24"/>
          <w:lang w:eastAsia="zh-CN"/>
        </w:rPr>
        <w:t>“</w:t>
      </w:r>
      <w:r>
        <w:rPr>
          <w:rFonts w:ascii="宋体" w:hAnsi="宋体" w:eastAsia="宋体" w:cs="宋体"/>
          <w:sz w:val="24"/>
          <w:szCs w:val="24"/>
        </w:rPr>
        <w:t>厦锂贷</w:t>
      </w:r>
      <w:r>
        <w:rPr>
          <w:rFonts w:hint="eastAsia" w:ascii="宋体" w:hAnsi="宋体" w:cs="宋体"/>
          <w:sz w:val="24"/>
          <w:szCs w:val="24"/>
          <w:lang w:eastAsia="zh-CN"/>
        </w:rPr>
        <w:t>”</w:t>
      </w:r>
      <w:r>
        <w:rPr>
          <w:rFonts w:ascii="宋体" w:hAnsi="宋体" w:eastAsia="宋体" w:cs="宋体"/>
          <w:sz w:val="24"/>
          <w:szCs w:val="24"/>
        </w:rPr>
        <w:t>、龙岩</w:t>
      </w:r>
      <w:r>
        <w:rPr>
          <w:rFonts w:hint="eastAsia" w:ascii="宋体" w:hAnsi="宋体" w:cs="宋体"/>
          <w:sz w:val="24"/>
          <w:szCs w:val="24"/>
          <w:lang w:eastAsia="zh-CN"/>
        </w:rPr>
        <w:t>“</w:t>
      </w:r>
      <w:r>
        <w:rPr>
          <w:rFonts w:ascii="宋体" w:hAnsi="宋体" w:eastAsia="宋体" w:cs="宋体"/>
          <w:sz w:val="24"/>
          <w:szCs w:val="24"/>
        </w:rPr>
        <w:t>紫金尊易贷</w:t>
      </w:r>
      <w:r>
        <w:rPr>
          <w:rFonts w:hint="eastAsia" w:ascii="宋体" w:hAnsi="宋体" w:cs="宋体"/>
          <w:sz w:val="24"/>
          <w:szCs w:val="24"/>
          <w:lang w:eastAsia="zh-CN"/>
        </w:rPr>
        <w:t>”</w:t>
      </w:r>
      <w:r>
        <w:rPr>
          <w:rFonts w:ascii="宋体" w:hAnsi="宋体" w:eastAsia="宋体" w:cs="宋体"/>
          <w:sz w:val="24"/>
          <w:szCs w:val="24"/>
        </w:rPr>
        <w:t>等产品和专案，推出</w:t>
      </w:r>
      <w:r>
        <w:rPr>
          <w:rFonts w:hint="eastAsia" w:ascii="宋体" w:hAnsi="宋体" w:cs="宋体"/>
          <w:sz w:val="24"/>
          <w:szCs w:val="24"/>
          <w:lang w:eastAsia="zh-CN"/>
        </w:rPr>
        <w:t>“</w:t>
      </w:r>
      <w:r>
        <w:rPr>
          <w:rFonts w:ascii="宋体" w:hAnsi="宋体" w:eastAsia="宋体" w:cs="宋体"/>
          <w:sz w:val="24"/>
          <w:szCs w:val="24"/>
        </w:rPr>
        <w:t>供货贷</w:t>
      </w:r>
      <w:r>
        <w:rPr>
          <w:rFonts w:hint="eastAsia" w:ascii="宋体" w:hAnsi="宋体" w:cs="宋体"/>
          <w:sz w:val="24"/>
          <w:szCs w:val="24"/>
          <w:lang w:eastAsia="zh-CN"/>
        </w:rPr>
        <w:t>”“</w:t>
      </w:r>
      <w:r>
        <w:rPr>
          <w:rFonts w:ascii="宋体" w:hAnsi="宋体" w:eastAsia="宋体" w:cs="宋体"/>
          <w:sz w:val="24"/>
          <w:szCs w:val="24"/>
        </w:rPr>
        <w:t>科信贷</w:t>
      </w:r>
      <w:r>
        <w:rPr>
          <w:rFonts w:hint="eastAsia" w:ascii="宋体" w:hAnsi="宋体" w:cs="宋体"/>
          <w:sz w:val="24"/>
          <w:szCs w:val="24"/>
          <w:lang w:eastAsia="zh-CN"/>
        </w:rPr>
        <w:t>”</w:t>
      </w:r>
      <w:r>
        <w:rPr>
          <w:rFonts w:ascii="宋体" w:hAnsi="宋体" w:eastAsia="宋体" w:cs="宋体"/>
          <w:sz w:val="24"/>
          <w:szCs w:val="24"/>
        </w:rPr>
        <w:t>等线上产品，打造一条种类丰富、特色鲜明的产品线，</w:t>
      </w:r>
      <w:r>
        <w:rPr>
          <w:rFonts w:hint="eastAsia" w:ascii="宋体" w:hAnsi="宋体" w:cs="宋体"/>
          <w:sz w:val="24"/>
          <w:szCs w:val="24"/>
          <w:lang w:val="en-US" w:eastAsia="zh-CN"/>
        </w:rPr>
        <w:t>进一步</w:t>
      </w:r>
      <w:r>
        <w:rPr>
          <w:rFonts w:ascii="宋体" w:hAnsi="宋体" w:eastAsia="宋体" w:cs="宋体"/>
          <w:sz w:val="24"/>
          <w:szCs w:val="24"/>
        </w:rPr>
        <w:t>为小微企业提供高质效的金融服务，切实将普惠金融落到实处。</w:t>
      </w:r>
    </w:p>
    <w:p>
      <w:pPr>
        <w:numPr>
          <w:ilvl w:val="0"/>
          <w:numId w:val="2"/>
        </w:numPr>
        <w:snapToGrid w:val="0"/>
        <w:spacing w:line="360" w:lineRule="auto"/>
        <w:ind w:firstLine="480"/>
        <w:rPr>
          <w:rFonts w:ascii="宋体" w:hAnsi="宋体" w:cs="宋体"/>
          <w:b/>
          <w:bCs/>
          <w:sz w:val="24"/>
        </w:rPr>
      </w:pPr>
      <w:r>
        <w:rPr>
          <w:rFonts w:hint="eastAsia" w:ascii="宋体" w:hAnsi="宋体" w:cs="宋体"/>
          <w:b/>
          <w:bCs/>
          <w:sz w:val="24"/>
          <w:lang w:val="en-US" w:eastAsia="zh-CN"/>
        </w:rPr>
        <w:t>响应</w:t>
      </w:r>
      <w:r>
        <w:rPr>
          <w:rFonts w:ascii="宋体" w:hAnsi="宋体" w:cs="宋体"/>
          <w:b/>
          <w:bCs/>
          <w:sz w:val="24"/>
        </w:rPr>
        <w:t>“双碳”战略，</w:t>
      </w:r>
      <w:r>
        <w:rPr>
          <w:rFonts w:hint="eastAsia" w:ascii="宋体" w:hAnsi="宋体" w:cs="宋体"/>
          <w:b/>
          <w:bCs/>
          <w:sz w:val="24"/>
          <w:lang w:val="en-US" w:eastAsia="zh-CN"/>
        </w:rPr>
        <w:t>重点发力</w:t>
      </w:r>
      <w:r>
        <w:rPr>
          <w:rFonts w:hint="eastAsia" w:ascii="宋体" w:hAnsi="宋体" w:cs="宋体"/>
          <w:b/>
          <w:bCs/>
          <w:sz w:val="24"/>
        </w:rPr>
        <w:t>绿色</w:t>
      </w:r>
      <w:r>
        <w:rPr>
          <w:rFonts w:hint="eastAsia" w:ascii="宋体" w:hAnsi="宋体" w:cs="宋体"/>
          <w:b/>
          <w:bCs/>
          <w:sz w:val="24"/>
          <w:lang w:val="en-US" w:eastAsia="zh-CN"/>
        </w:rPr>
        <w:t>金融</w:t>
      </w:r>
    </w:p>
    <w:p>
      <w:pPr>
        <w:numPr>
          <w:ilvl w:val="0"/>
          <w:numId w:val="0"/>
        </w:numPr>
        <w:snapToGrid w:val="0"/>
        <w:spacing w:line="360" w:lineRule="auto"/>
        <w:ind w:firstLine="480" w:firstLineChars="200"/>
        <w:rPr>
          <w:rFonts w:ascii="宋体" w:hAnsi="宋体" w:eastAsia="宋体" w:cs="宋体"/>
          <w:sz w:val="24"/>
          <w:szCs w:val="24"/>
        </w:rPr>
      </w:pPr>
      <w:r>
        <w:rPr>
          <w:rFonts w:ascii="宋体" w:hAnsi="宋体" w:eastAsia="宋体" w:cs="宋体"/>
          <w:sz w:val="24"/>
          <w:szCs w:val="24"/>
        </w:rPr>
        <w:t>公司积极响应国家“双碳”战略，高度重视绿色产业发展，</w:t>
      </w:r>
      <w:r>
        <w:rPr>
          <w:rFonts w:hint="eastAsia" w:ascii="宋体" w:hAnsi="宋体" w:cs="宋体"/>
          <w:b w:val="0"/>
          <w:bCs w:val="0"/>
          <w:kern w:val="2"/>
          <w:sz w:val="24"/>
          <w:szCs w:val="24"/>
          <w:lang w:val="en-US" w:eastAsia="zh-CN" w:bidi="ar"/>
        </w:rPr>
        <w:t>制定</w:t>
      </w:r>
      <w:r>
        <w:rPr>
          <w:rFonts w:hint="default" w:ascii="宋体" w:hAnsi="宋体" w:eastAsia="宋体" w:cs="宋体"/>
          <w:b w:val="0"/>
          <w:bCs w:val="0"/>
          <w:kern w:val="2"/>
          <w:sz w:val="24"/>
          <w:szCs w:val="24"/>
          <w:lang w:val="en-US" w:eastAsia="zh-CN" w:bidi="ar"/>
        </w:rPr>
        <w:t>《2024-2026年可持续发展（ESG）战略规划》，将可持续发展理念融入公司发展战略、</w:t>
      </w:r>
      <w:r>
        <w:rPr>
          <w:rFonts w:ascii="宋体" w:hAnsi="宋体" w:eastAsia="宋体" w:cs="宋体"/>
          <w:sz w:val="24"/>
          <w:szCs w:val="24"/>
        </w:rPr>
        <w:t>将绿色信贷发展纳入全行战略任务</w:t>
      </w:r>
      <w:r>
        <w:rPr>
          <w:rFonts w:hint="eastAsia" w:ascii="宋体" w:hAnsi="宋体" w:cs="宋体"/>
          <w:sz w:val="24"/>
          <w:szCs w:val="24"/>
          <w:lang w:eastAsia="zh-CN"/>
        </w:rPr>
        <w:t>。</w:t>
      </w:r>
      <w:r>
        <w:rPr>
          <w:rFonts w:hint="eastAsia" w:ascii="宋体" w:hAnsi="宋体" w:cs="宋体"/>
          <w:sz w:val="24"/>
          <w:szCs w:val="24"/>
          <w:lang w:val="en-US" w:eastAsia="zh-CN"/>
        </w:rPr>
        <w:t>董事会下设战略与ESG委员会，经营管理层</w:t>
      </w:r>
      <w:r>
        <w:rPr>
          <w:rFonts w:ascii="宋体" w:hAnsi="宋体" w:eastAsia="宋体" w:cs="宋体"/>
          <w:sz w:val="24"/>
          <w:szCs w:val="24"/>
        </w:rPr>
        <w:t>成立总行行长牵头、覆盖全行部门和分支机构的绿色金融工作领导小组及绿色金融工作小组，并成立绿色金融部二级部门。同时，公司将客户的环境、社会和治理表现，纳入授信全流程管理。重点支持节能环保、新能源、新材料等产业，大力创新绿色产品与服务，不断完善绿色金融产品体系，推出“光伏贷”、碳排放权质押贷款、节能减排贷等绿色信贷产品，绿色信贷保持快速增长，充分发挥金融对环境治理和社会发展的资源配置作用。</w:t>
      </w:r>
    </w:p>
    <w:p>
      <w:pPr>
        <w:numPr>
          <w:ilvl w:val="0"/>
          <w:numId w:val="2"/>
        </w:numPr>
        <w:snapToGrid w:val="0"/>
        <w:spacing w:line="360" w:lineRule="auto"/>
        <w:ind w:firstLine="480"/>
        <w:rPr>
          <w:rFonts w:ascii="宋体" w:hAnsi="宋体" w:cs="宋体"/>
          <w:b/>
          <w:bCs/>
          <w:sz w:val="24"/>
        </w:rPr>
      </w:pPr>
      <w:r>
        <w:rPr>
          <w:rFonts w:hint="eastAsia" w:ascii="宋体" w:hAnsi="宋体" w:eastAsia="宋体" w:cs="宋体"/>
          <w:b/>
          <w:bCs/>
          <w:sz w:val="24"/>
          <w:szCs w:val="24"/>
        </w:rPr>
        <w:t>坚持特色化经营，</w:t>
      </w:r>
      <w:r>
        <w:rPr>
          <w:rFonts w:hint="eastAsia" w:ascii="宋体" w:hAnsi="宋体" w:cs="宋体"/>
          <w:b/>
          <w:bCs/>
          <w:sz w:val="24"/>
          <w:lang w:val="en-US" w:eastAsia="zh-CN"/>
        </w:rPr>
        <w:t>深耕</w:t>
      </w:r>
      <w:r>
        <w:rPr>
          <w:rFonts w:hint="eastAsia" w:ascii="宋体" w:hAnsi="宋体" w:cs="宋体"/>
          <w:b/>
          <w:bCs/>
          <w:sz w:val="24"/>
        </w:rPr>
        <w:t>两岸</w:t>
      </w:r>
      <w:r>
        <w:rPr>
          <w:rFonts w:hint="eastAsia" w:ascii="宋体" w:hAnsi="宋体" w:cs="宋体"/>
          <w:b/>
          <w:bCs/>
          <w:sz w:val="24"/>
          <w:lang w:val="en-US" w:eastAsia="zh-CN"/>
        </w:rPr>
        <w:t>金融业务</w:t>
      </w:r>
    </w:p>
    <w:p>
      <w:pPr>
        <w:snapToGrid w:val="0"/>
        <w:spacing w:line="360" w:lineRule="auto"/>
        <w:ind w:firstLine="480"/>
        <w:rPr>
          <w:rFonts w:hint="eastAsia" w:ascii="宋体" w:hAnsi="宋体" w:cs="宋体"/>
          <w:sz w:val="24"/>
        </w:rPr>
      </w:pPr>
      <w:r>
        <w:rPr>
          <w:rFonts w:hint="eastAsia" w:ascii="宋体" w:hAnsi="宋体" w:cs="宋体"/>
          <w:sz w:val="24"/>
        </w:rPr>
        <w:t>公司多年来依托台资股东背景及区位优势，围绕个人、公司及同业构建全面的两岸金融业务体系，</w:t>
      </w:r>
      <w:r>
        <w:rPr>
          <w:rFonts w:hint="eastAsia" w:ascii="宋体" w:hAnsi="宋体" w:cs="宋体"/>
          <w:b w:val="0"/>
          <w:bCs w:val="0"/>
          <w:color w:val="auto"/>
          <w:sz w:val="24"/>
          <w:szCs w:val="24"/>
          <w:lang w:val="en-US" w:eastAsia="zh-CN"/>
        </w:rPr>
        <w:t>是</w:t>
      </w:r>
      <w:r>
        <w:rPr>
          <w:rFonts w:hint="eastAsia" w:ascii="宋体" w:hAnsi="宋体" w:cs="宋体"/>
          <w:sz w:val="24"/>
        </w:rPr>
        <w:t>福建省台企授信户数最多、针对台胞发放信用卡数量最多的金融机构。公司从总行、分行到支行搭建了完善的两岸金融服务组织架构，设立台商金融部、台商业务部等管理部门和台商专营团队、对台特色支行，为台胞台企提供专业化服务；创新推出“薪速汇”“资金大三通”“两岸通速汇”“台胞信用卡”“台e</w:t>
      </w:r>
      <w:r>
        <w:rPr>
          <w:rFonts w:ascii="宋体" w:hAnsi="宋体" w:cs="宋体"/>
          <w:sz w:val="24"/>
        </w:rPr>
        <w:t>贷”“</w:t>
      </w:r>
      <w:r>
        <w:rPr>
          <w:rFonts w:hint="eastAsia" w:ascii="宋体" w:hAnsi="宋体" w:cs="宋体"/>
          <w:sz w:val="24"/>
        </w:rPr>
        <w:t>台农贷”“台商税易贷</w:t>
      </w:r>
      <w:r>
        <w:rPr>
          <w:rFonts w:ascii="宋体" w:hAnsi="宋体" w:cs="宋体"/>
          <w:sz w:val="24"/>
        </w:rPr>
        <w:t>”</w:t>
      </w:r>
      <w:r>
        <w:rPr>
          <w:rFonts w:hint="eastAsia" w:ascii="宋体" w:hAnsi="宋体" w:cs="宋体"/>
          <w:sz w:val="24"/>
        </w:rPr>
        <w:t>“台商流水贷”等特色产品，在手机银行</w:t>
      </w:r>
      <w:r>
        <w:rPr>
          <w:rFonts w:ascii="宋体" w:hAnsi="宋体" w:cs="宋体"/>
          <w:sz w:val="24"/>
        </w:rPr>
        <w:t>APP、空中柜台等渠道增加专属服务功</w:t>
      </w:r>
      <w:r>
        <w:rPr>
          <w:rFonts w:hint="eastAsia" w:ascii="宋体" w:hAnsi="宋体" w:cs="宋体"/>
          <w:sz w:val="24"/>
        </w:rPr>
        <w:t>能</w:t>
      </w:r>
      <w:r>
        <w:rPr>
          <w:rFonts w:hint="eastAsia" w:ascii="宋体" w:hAnsi="宋体" w:cs="宋体"/>
          <w:sz w:val="24"/>
          <w:lang w:eastAsia="zh-CN"/>
        </w:rPr>
        <w:t>，</w:t>
      </w:r>
      <w:r>
        <w:rPr>
          <w:rFonts w:hint="eastAsia" w:ascii="宋体" w:hAnsi="宋体" w:cs="宋体"/>
          <w:sz w:val="24"/>
        </w:rPr>
        <w:t>致力于成为最懂台商的银行以及两岸金融合作</w:t>
      </w:r>
      <w:r>
        <w:rPr>
          <w:rFonts w:hint="eastAsia" w:ascii="宋体" w:hAnsi="宋体" w:cs="宋体"/>
          <w:sz w:val="24"/>
          <w:lang w:val="en-US" w:eastAsia="zh-CN"/>
        </w:rPr>
        <w:t>标杆</w:t>
      </w:r>
      <w:r>
        <w:rPr>
          <w:rFonts w:hint="eastAsia" w:ascii="宋体" w:hAnsi="宋体" w:cs="宋体"/>
          <w:sz w:val="24"/>
        </w:rPr>
        <w:t>银行。</w:t>
      </w:r>
    </w:p>
    <w:p>
      <w:pPr>
        <w:numPr>
          <w:ilvl w:val="0"/>
          <w:numId w:val="2"/>
        </w:numPr>
        <w:snapToGrid w:val="0"/>
        <w:spacing w:line="360" w:lineRule="auto"/>
        <w:ind w:firstLine="480"/>
        <w:rPr>
          <w:rFonts w:ascii="宋体" w:hAnsi="宋体" w:cs="宋体"/>
          <w:b/>
          <w:bCs/>
          <w:sz w:val="24"/>
        </w:rPr>
      </w:pPr>
      <w:r>
        <w:rPr>
          <w:rFonts w:hint="eastAsia" w:ascii="宋体" w:hAnsi="宋体" w:cs="宋体"/>
          <w:b/>
          <w:bCs/>
          <w:sz w:val="24"/>
          <w:lang w:val="en-US" w:eastAsia="zh-CN"/>
        </w:rPr>
        <w:t>筑牢风险底线</w:t>
      </w:r>
      <w:r>
        <w:rPr>
          <w:rFonts w:hint="eastAsia" w:ascii="宋体" w:hAnsi="宋体" w:cs="宋体"/>
          <w:b/>
          <w:bCs/>
          <w:sz w:val="24"/>
        </w:rPr>
        <w:t>，</w:t>
      </w:r>
      <w:r>
        <w:rPr>
          <w:rFonts w:hint="eastAsia" w:ascii="宋体" w:hAnsi="宋体" w:cs="宋体"/>
          <w:b/>
          <w:bCs/>
          <w:sz w:val="24"/>
          <w:lang w:val="en-US" w:eastAsia="zh-CN"/>
        </w:rPr>
        <w:t>夯实高质量发展基础</w:t>
      </w:r>
    </w:p>
    <w:p>
      <w:pPr>
        <w:snapToGrid w:val="0"/>
        <w:spacing w:line="360" w:lineRule="auto"/>
        <w:ind w:firstLine="480"/>
        <w:rPr>
          <w:rFonts w:hint="eastAsia" w:ascii="宋体" w:hAnsi="宋体" w:cs="宋体"/>
          <w:sz w:val="24"/>
        </w:rPr>
      </w:pPr>
      <w:r>
        <w:rPr>
          <w:rFonts w:hint="eastAsia" w:ascii="宋体" w:hAnsi="宋体" w:cs="宋体"/>
          <w:sz w:val="24"/>
        </w:rPr>
        <w:t>公司秉承稳健经营的发展理念，从风险管理组织架构、风险策略、风险工具建设等方面不断夯实风险管理基础，积极优化风险全流程管控模式，组建专业化风控策略团队，持续强化风险前置管控，精细化指导各分行落实全面风险管理，深化风险信息的归集、挖掘与应用，加快大数据风控在授信审批、信贷额度、风险预警、差异化风险管理策略中的应用，提高潜在风险识别能力。</w:t>
      </w:r>
      <w:r>
        <w:rPr>
          <w:rFonts w:ascii="宋体" w:hAnsi="宋体" w:eastAsia="宋体" w:cs="宋体"/>
          <w:sz w:val="24"/>
          <w:szCs w:val="24"/>
        </w:rPr>
        <w:t>多年来，公司资产质量及风险抵补能力持续保持较好水平。近三年不良贷款率逐年下降，分别为0.91%、0.86%、0.76%，居上市银行</w:t>
      </w:r>
      <w:r>
        <w:rPr>
          <w:rFonts w:hint="eastAsia" w:ascii="宋体" w:hAnsi="宋体" w:cs="宋体"/>
          <w:sz w:val="24"/>
          <w:szCs w:val="24"/>
          <w:lang w:val="en-US" w:eastAsia="zh-CN"/>
        </w:rPr>
        <w:t>前列</w:t>
      </w:r>
      <w:r>
        <w:rPr>
          <w:rFonts w:ascii="宋体" w:hAnsi="宋体" w:eastAsia="宋体" w:cs="宋体"/>
          <w:sz w:val="24"/>
          <w:szCs w:val="24"/>
        </w:rPr>
        <w:t>；拨备覆盖率分别为370.64%、387.93%、412.89%，持续保持同业</w:t>
      </w:r>
      <w:r>
        <w:rPr>
          <w:rFonts w:hint="eastAsia" w:ascii="宋体" w:hAnsi="宋体" w:cs="宋体"/>
          <w:sz w:val="24"/>
          <w:szCs w:val="24"/>
          <w:lang w:val="en-US" w:eastAsia="zh-CN"/>
        </w:rPr>
        <w:t>较优</w:t>
      </w:r>
      <w:r>
        <w:rPr>
          <w:rFonts w:ascii="宋体" w:hAnsi="宋体" w:eastAsia="宋体" w:cs="宋体"/>
          <w:sz w:val="24"/>
          <w:szCs w:val="24"/>
        </w:rPr>
        <w:t>水平。2024年上半年，公司继续秉持稳健经营理念，</w:t>
      </w:r>
      <w:r>
        <w:rPr>
          <w:rFonts w:hint="eastAsia" w:ascii="宋体" w:hAnsi="宋体" w:cs="宋体"/>
          <w:sz w:val="24"/>
          <w:szCs w:val="24"/>
          <w:lang w:val="en-US" w:eastAsia="zh-CN"/>
        </w:rPr>
        <w:t>维持较低</w:t>
      </w:r>
      <w:r>
        <w:rPr>
          <w:rFonts w:ascii="宋体" w:hAnsi="宋体" w:eastAsia="宋体" w:cs="宋体"/>
          <w:sz w:val="24"/>
          <w:szCs w:val="24"/>
        </w:rPr>
        <w:t>不良</w:t>
      </w:r>
      <w:r>
        <w:rPr>
          <w:rFonts w:hint="eastAsia" w:ascii="宋体" w:hAnsi="宋体" w:cs="宋体"/>
          <w:sz w:val="24"/>
          <w:szCs w:val="24"/>
          <w:lang w:val="en-US" w:eastAsia="zh-CN"/>
        </w:rPr>
        <w:t>贷款</w:t>
      </w:r>
      <w:r>
        <w:rPr>
          <w:rFonts w:ascii="宋体" w:hAnsi="宋体" w:eastAsia="宋体" w:cs="宋体"/>
          <w:sz w:val="24"/>
          <w:szCs w:val="24"/>
        </w:rPr>
        <w:t>率</w:t>
      </w:r>
      <w:r>
        <w:rPr>
          <w:rFonts w:hint="eastAsia" w:ascii="宋体" w:hAnsi="宋体" w:cs="宋体"/>
          <w:sz w:val="24"/>
          <w:szCs w:val="24"/>
          <w:lang w:val="en-US" w:eastAsia="zh-CN"/>
        </w:rPr>
        <w:t>水平，</w:t>
      </w:r>
      <w:r>
        <w:rPr>
          <w:rFonts w:ascii="宋体" w:hAnsi="宋体" w:eastAsia="宋体" w:cs="宋体"/>
          <w:sz w:val="24"/>
          <w:szCs w:val="24"/>
        </w:rPr>
        <w:t>上半年计提减值损失同比增长144.18%，</w:t>
      </w:r>
      <w:bookmarkStart w:id="0" w:name="_GoBack"/>
      <w:bookmarkEnd w:id="0"/>
      <w:r>
        <w:rPr>
          <w:rFonts w:ascii="宋体" w:hAnsi="宋体" w:eastAsia="宋体" w:cs="宋体"/>
          <w:sz w:val="24"/>
          <w:szCs w:val="24"/>
        </w:rPr>
        <w:t>增厚应对风险的“安全垫”。</w:t>
      </w:r>
    </w:p>
    <w:p>
      <w:pPr>
        <w:numPr>
          <w:ilvl w:val="0"/>
          <w:numId w:val="2"/>
        </w:numPr>
        <w:snapToGrid w:val="0"/>
        <w:spacing w:line="360" w:lineRule="auto"/>
        <w:ind w:firstLine="480"/>
        <w:rPr>
          <w:rFonts w:hint="eastAsia" w:ascii="宋体" w:hAnsi="宋体" w:cs="宋体"/>
          <w:b/>
          <w:bCs/>
          <w:sz w:val="24"/>
        </w:rPr>
      </w:pPr>
      <w:r>
        <w:rPr>
          <w:rFonts w:hint="eastAsia" w:ascii="宋体" w:hAnsi="宋体" w:cs="宋体"/>
          <w:b/>
          <w:bCs/>
          <w:sz w:val="24"/>
        </w:rPr>
        <w:t>提升信息披露质量</w:t>
      </w:r>
      <w:r>
        <w:rPr>
          <w:rFonts w:hint="eastAsia" w:ascii="宋体" w:hAnsi="宋体" w:cs="宋体"/>
          <w:b/>
          <w:bCs/>
          <w:sz w:val="24"/>
          <w:lang w:eastAsia="zh-CN"/>
        </w:rPr>
        <w:t>，</w:t>
      </w:r>
      <w:r>
        <w:rPr>
          <w:rFonts w:hint="eastAsia" w:ascii="宋体" w:hAnsi="宋体" w:cs="宋体"/>
          <w:b/>
          <w:bCs/>
          <w:sz w:val="24"/>
        </w:rPr>
        <w:t>建立多渠道沟通机制</w:t>
      </w:r>
    </w:p>
    <w:p>
      <w:pPr>
        <w:snapToGrid w:val="0"/>
        <w:spacing w:line="360" w:lineRule="auto"/>
        <w:ind w:firstLine="480"/>
        <w:rPr>
          <w:rFonts w:ascii="宋体" w:hAnsi="宋体" w:cs="宋体"/>
          <w:sz w:val="24"/>
        </w:rPr>
      </w:pPr>
      <w:r>
        <w:rPr>
          <w:rFonts w:hint="eastAsia" w:ascii="宋体" w:hAnsi="宋体" w:cs="宋体"/>
          <w:sz w:val="24"/>
        </w:rPr>
        <w:t>公司遵循真实、准确、完整、及时、公平的信息披露原则，不断健全信息披露工作体系，坚持优化信披工作机制，提升信息披露质量。坚守信息披露的合规底线，重视披露内容的有效性和易懂性，加强经营业务分析，提高数据分析质量，不断增强信息披露报告的可读性。公司始终重视投资者的诉求和沟通，建立多渠道的沟通机制，持续通过召开业绩说明会、开展投资者调研等形式，积极与机构投资者、行业分析师保持有效沟通。设立了投资者邮箱和投资者热线，及时回复E互动平台投资者提问，保持与投资者的日常沟通，实现与资本市场的良好互动。</w:t>
      </w:r>
    </w:p>
    <w:p>
      <w:pPr>
        <w:numPr>
          <w:ilvl w:val="0"/>
          <w:numId w:val="2"/>
        </w:numPr>
        <w:snapToGrid w:val="0"/>
        <w:spacing w:line="360" w:lineRule="auto"/>
        <w:ind w:firstLine="480"/>
        <w:rPr>
          <w:rFonts w:hint="eastAsia" w:ascii="宋体" w:hAnsi="宋体" w:cs="宋体"/>
          <w:b/>
          <w:bCs/>
          <w:sz w:val="24"/>
        </w:rPr>
      </w:pPr>
      <w:r>
        <w:rPr>
          <w:rFonts w:hint="eastAsia" w:ascii="宋体" w:hAnsi="宋体" w:cs="宋体"/>
          <w:b/>
          <w:bCs/>
          <w:sz w:val="24"/>
        </w:rPr>
        <w:t>高度重视投资者体验，致力提升投资回报</w:t>
      </w:r>
    </w:p>
    <w:p>
      <w:pPr>
        <w:snapToGrid w:val="0"/>
        <w:spacing w:line="360" w:lineRule="auto"/>
        <w:ind w:firstLine="480"/>
        <w:rPr>
          <w:rFonts w:ascii="宋体" w:hAnsi="宋体" w:cs="宋体"/>
          <w:sz w:val="24"/>
        </w:rPr>
      </w:pPr>
      <w:r>
        <w:rPr>
          <w:rFonts w:hint="eastAsia" w:ascii="宋体" w:hAnsi="宋体" w:cs="宋体"/>
          <w:sz w:val="24"/>
        </w:rPr>
        <w:t>公司</w:t>
      </w:r>
      <w:r>
        <w:rPr>
          <w:rFonts w:ascii="宋体" w:hAnsi="宋体" w:cs="宋体"/>
          <w:sz w:val="24"/>
        </w:rPr>
        <w:t>上市以来一直坚持稳定、持续的分红政策，2021-2023年度每股现金分红分别为0.25元、0.29元和0.31元，保持稳定增长，现金分红率已连续三年超过30%。</w:t>
      </w:r>
      <w:r>
        <w:rPr>
          <w:rFonts w:ascii="宋体" w:hAnsi="宋体" w:eastAsia="宋体" w:cs="宋体"/>
          <w:sz w:val="24"/>
          <w:szCs w:val="24"/>
        </w:rPr>
        <w:t>公司将在资本充足率满足监管要求和业务长远发展的前提下，参考上市银行中期分红的实施情况，充分考虑投资者投资回报需求，积极研究中期分红事宜。</w:t>
      </w:r>
    </w:p>
    <w:p>
      <w:pPr>
        <w:snapToGrid w:val="0"/>
        <w:spacing w:line="360" w:lineRule="auto"/>
        <w:ind w:firstLine="480"/>
        <w:rPr>
          <w:rFonts w:ascii="宋体" w:hAnsi="宋体" w:cs="宋体"/>
          <w:sz w:val="24"/>
        </w:rPr>
      </w:pPr>
      <w:r>
        <w:rPr>
          <w:rFonts w:ascii="宋体" w:hAnsi="宋体" w:cs="宋体"/>
          <w:sz w:val="24"/>
        </w:rPr>
        <w:t>特此公告。</w:t>
      </w:r>
    </w:p>
    <w:p>
      <w:pPr>
        <w:snapToGrid w:val="0"/>
        <w:spacing w:line="360" w:lineRule="auto"/>
        <w:ind w:firstLine="480"/>
        <w:rPr>
          <w:rFonts w:ascii="宋体" w:hAnsi="宋体" w:cs="宋体"/>
          <w:sz w:val="24"/>
        </w:rPr>
      </w:pPr>
    </w:p>
    <w:p>
      <w:pPr>
        <w:spacing w:line="360" w:lineRule="auto"/>
        <w:ind w:firstLine="480" w:firstLineChars="200"/>
        <w:jc w:val="left"/>
        <w:rPr>
          <w:rFonts w:ascii="宋体" w:hAnsi="宋体" w:cs="宋体"/>
          <w:sz w:val="24"/>
        </w:rPr>
      </w:pPr>
    </w:p>
    <w:p>
      <w:pPr>
        <w:spacing w:line="360" w:lineRule="auto"/>
        <w:ind w:firstLine="480" w:firstLineChars="200"/>
        <w:jc w:val="right"/>
        <w:rPr>
          <w:rFonts w:ascii="宋体" w:hAnsi="宋体" w:cs="宋体"/>
          <w:sz w:val="24"/>
        </w:rPr>
      </w:pPr>
      <w:r>
        <w:rPr>
          <w:rFonts w:hint="eastAsia" w:ascii="宋体" w:hAnsi="宋体" w:cs="宋体"/>
          <w:sz w:val="24"/>
        </w:rPr>
        <w:t xml:space="preserve"> </w:t>
      </w:r>
      <w:r>
        <w:rPr>
          <w:rFonts w:ascii="宋体" w:hAnsi="宋体" w:cs="宋体"/>
          <w:sz w:val="24"/>
        </w:rPr>
        <w:t xml:space="preserve">                                      厦门银行股份有限公司董事会</w:t>
      </w:r>
    </w:p>
    <w:p>
      <w:pPr>
        <w:spacing w:line="360" w:lineRule="auto"/>
        <w:ind w:firstLine="480" w:firstLineChars="200"/>
        <w:jc w:val="right"/>
        <w:rPr>
          <w:rFonts w:ascii="宋体" w:hAnsi="宋体" w:cs="宋体"/>
          <w:sz w:val="24"/>
        </w:rPr>
      </w:pPr>
      <w:r>
        <w:rPr>
          <w:rFonts w:ascii="宋体" w:hAnsi="宋体" w:cs="宋体"/>
          <w:sz w:val="24"/>
        </w:rPr>
        <w:t xml:space="preserve">                                               2024年</w:t>
      </w:r>
      <w:r>
        <w:rPr>
          <w:rFonts w:hint="eastAsia" w:ascii="宋体" w:hAnsi="宋体" w:cs="宋体"/>
          <w:sz w:val="24"/>
        </w:rPr>
        <w:t>8月2</w:t>
      </w:r>
      <w:r>
        <w:rPr>
          <w:rFonts w:ascii="宋体" w:hAnsi="宋体" w:cs="宋体"/>
          <w:sz w:val="24"/>
        </w:rPr>
        <w:t>9日</w:t>
      </w:r>
    </w:p>
    <w:p>
      <w:pPr>
        <w:snapToGrid w:val="0"/>
        <w:spacing w:line="360" w:lineRule="auto"/>
        <w:ind w:firstLine="480"/>
        <w:rPr>
          <w:rFonts w:ascii="宋体" w:hAnsi="宋体" w:cs="宋体"/>
          <w:sz w:val="24"/>
        </w:rPr>
      </w:pPr>
    </w:p>
    <w:p>
      <w:pPr>
        <w:spacing w:line="600" w:lineRule="exact"/>
        <w:ind w:right="120" w:firstLine="600" w:firstLineChars="250"/>
        <w:jc w:val="right"/>
        <w:rPr>
          <w:rFonts w:asciiTheme="minorEastAsia" w:hAnsiTheme="minorEastAsia" w:eastAsiaTheme="minorEastAsia"/>
          <w:sz w:val="24"/>
        </w:rPr>
      </w:pPr>
    </w:p>
    <w:sectPr>
      <w:footerReference r:id="rId3" w:type="even"/>
      <w:pgSz w:w="11906" w:h="16838"/>
      <w:pgMar w:top="1440" w:right="1800" w:bottom="155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Sim Sun">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end"/>
    </w:r>
  </w:p>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5CD9A"/>
    <w:multiLevelType w:val="singleLevel"/>
    <w:tmpl w:val="8925CD9A"/>
    <w:lvl w:ilvl="0" w:tentative="0">
      <w:start w:val="2"/>
      <w:numFmt w:val="chineseCounting"/>
      <w:pStyle w:val="5"/>
      <w:suff w:val="nothing"/>
      <w:lvlText w:val="%1、"/>
      <w:lvlJc w:val="left"/>
      <w:rPr>
        <w:rFonts w:hint="eastAsia"/>
      </w:rPr>
    </w:lvl>
  </w:abstractNum>
  <w:abstractNum w:abstractNumId="1">
    <w:nsid w:val="A75EA731"/>
    <w:multiLevelType w:val="singleLevel"/>
    <w:tmpl w:val="A75EA73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FA8"/>
    <w:rsid w:val="0000048C"/>
    <w:rsid w:val="00000BCE"/>
    <w:rsid w:val="000014EC"/>
    <w:rsid w:val="00001AB0"/>
    <w:rsid w:val="00012DED"/>
    <w:rsid w:val="000172D6"/>
    <w:rsid w:val="000223BF"/>
    <w:rsid w:val="000238EE"/>
    <w:rsid w:val="00030CE2"/>
    <w:rsid w:val="000339F3"/>
    <w:rsid w:val="00040AE9"/>
    <w:rsid w:val="00041630"/>
    <w:rsid w:val="00044ACE"/>
    <w:rsid w:val="00046A1D"/>
    <w:rsid w:val="0005073B"/>
    <w:rsid w:val="00050EF5"/>
    <w:rsid w:val="0005344C"/>
    <w:rsid w:val="0005357C"/>
    <w:rsid w:val="00053690"/>
    <w:rsid w:val="00055D24"/>
    <w:rsid w:val="000606ED"/>
    <w:rsid w:val="000624D3"/>
    <w:rsid w:val="00062F70"/>
    <w:rsid w:val="00064492"/>
    <w:rsid w:val="00067C95"/>
    <w:rsid w:val="000727FE"/>
    <w:rsid w:val="00073C7A"/>
    <w:rsid w:val="000803C1"/>
    <w:rsid w:val="00083954"/>
    <w:rsid w:val="00094411"/>
    <w:rsid w:val="00095D66"/>
    <w:rsid w:val="000A6F32"/>
    <w:rsid w:val="000B21CD"/>
    <w:rsid w:val="000B65CE"/>
    <w:rsid w:val="000B6CE2"/>
    <w:rsid w:val="000C328E"/>
    <w:rsid w:val="000C70C6"/>
    <w:rsid w:val="000D74A8"/>
    <w:rsid w:val="000D7F78"/>
    <w:rsid w:val="000E1156"/>
    <w:rsid w:val="000F0563"/>
    <w:rsid w:val="000F3972"/>
    <w:rsid w:val="001003AE"/>
    <w:rsid w:val="00101775"/>
    <w:rsid w:val="001039CB"/>
    <w:rsid w:val="00104083"/>
    <w:rsid w:val="001154D6"/>
    <w:rsid w:val="00116209"/>
    <w:rsid w:val="00121587"/>
    <w:rsid w:val="0012401B"/>
    <w:rsid w:val="001256AE"/>
    <w:rsid w:val="00126CE1"/>
    <w:rsid w:val="00130132"/>
    <w:rsid w:val="0013101B"/>
    <w:rsid w:val="00134078"/>
    <w:rsid w:val="00136909"/>
    <w:rsid w:val="00157B1A"/>
    <w:rsid w:val="00161C4C"/>
    <w:rsid w:val="00163119"/>
    <w:rsid w:val="001640C9"/>
    <w:rsid w:val="00165CA5"/>
    <w:rsid w:val="00166728"/>
    <w:rsid w:val="0016795D"/>
    <w:rsid w:val="00171939"/>
    <w:rsid w:val="00172A27"/>
    <w:rsid w:val="00183F07"/>
    <w:rsid w:val="0019605B"/>
    <w:rsid w:val="001A6344"/>
    <w:rsid w:val="001B4B5A"/>
    <w:rsid w:val="001B4FD5"/>
    <w:rsid w:val="001B5F87"/>
    <w:rsid w:val="001B74EC"/>
    <w:rsid w:val="001C0AA0"/>
    <w:rsid w:val="001C0C7A"/>
    <w:rsid w:val="001C23D6"/>
    <w:rsid w:val="001C2415"/>
    <w:rsid w:val="001C6A18"/>
    <w:rsid w:val="001D00C4"/>
    <w:rsid w:val="001D3BFF"/>
    <w:rsid w:val="001E25A3"/>
    <w:rsid w:val="001E3904"/>
    <w:rsid w:val="001F7888"/>
    <w:rsid w:val="002014AA"/>
    <w:rsid w:val="002030C8"/>
    <w:rsid w:val="00203A9C"/>
    <w:rsid w:val="00203C14"/>
    <w:rsid w:val="00203DAA"/>
    <w:rsid w:val="00210644"/>
    <w:rsid w:val="00216072"/>
    <w:rsid w:val="00220C75"/>
    <w:rsid w:val="0022161E"/>
    <w:rsid w:val="00227790"/>
    <w:rsid w:val="00233E64"/>
    <w:rsid w:val="00235321"/>
    <w:rsid w:val="00240722"/>
    <w:rsid w:val="002410DE"/>
    <w:rsid w:val="00245355"/>
    <w:rsid w:val="00251995"/>
    <w:rsid w:val="00260B17"/>
    <w:rsid w:val="00261352"/>
    <w:rsid w:val="002614BA"/>
    <w:rsid w:val="00262EE2"/>
    <w:rsid w:val="00264145"/>
    <w:rsid w:val="0029186D"/>
    <w:rsid w:val="002951A6"/>
    <w:rsid w:val="00295277"/>
    <w:rsid w:val="002A15C0"/>
    <w:rsid w:val="002A5DB7"/>
    <w:rsid w:val="002B24E6"/>
    <w:rsid w:val="002B5EDB"/>
    <w:rsid w:val="002B6693"/>
    <w:rsid w:val="002C002E"/>
    <w:rsid w:val="002C31F1"/>
    <w:rsid w:val="002D5B5C"/>
    <w:rsid w:val="002D62CA"/>
    <w:rsid w:val="002D6888"/>
    <w:rsid w:val="002D6F9D"/>
    <w:rsid w:val="002E253F"/>
    <w:rsid w:val="002E29DD"/>
    <w:rsid w:val="002F0BFF"/>
    <w:rsid w:val="002F1CBC"/>
    <w:rsid w:val="00300A3E"/>
    <w:rsid w:val="0030144F"/>
    <w:rsid w:val="00304036"/>
    <w:rsid w:val="00317C85"/>
    <w:rsid w:val="00320C6C"/>
    <w:rsid w:val="0032220E"/>
    <w:rsid w:val="00323E56"/>
    <w:rsid w:val="00324655"/>
    <w:rsid w:val="00326805"/>
    <w:rsid w:val="00327FD6"/>
    <w:rsid w:val="00337E21"/>
    <w:rsid w:val="003405F1"/>
    <w:rsid w:val="00342210"/>
    <w:rsid w:val="0034302B"/>
    <w:rsid w:val="003516A1"/>
    <w:rsid w:val="00355ACF"/>
    <w:rsid w:val="0036284A"/>
    <w:rsid w:val="00365D39"/>
    <w:rsid w:val="003666D0"/>
    <w:rsid w:val="003745D4"/>
    <w:rsid w:val="003769C8"/>
    <w:rsid w:val="003821E6"/>
    <w:rsid w:val="00395301"/>
    <w:rsid w:val="003957B9"/>
    <w:rsid w:val="00396293"/>
    <w:rsid w:val="003A030C"/>
    <w:rsid w:val="003A5223"/>
    <w:rsid w:val="003A6D3C"/>
    <w:rsid w:val="003B7CBB"/>
    <w:rsid w:val="003C74CD"/>
    <w:rsid w:val="003D0FA5"/>
    <w:rsid w:val="003E5296"/>
    <w:rsid w:val="003E5424"/>
    <w:rsid w:val="003E7427"/>
    <w:rsid w:val="003F38FF"/>
    <w:rsid w:val="0040111C"/>
    <w:rsid w:val="004024E6"/>
    <w:rsid w:val="00403413"/>
    <w:rsid w:val="00416DA2"/>
    <w:rsid w:val="00417E69"/>
    <w:rsid w:val="00420C9E"/>
    <w:rsid w:val="004217BE"/>
    <w:rsid w:val="00440AE7"/>
    <w:rsid w:val="00443852"/>
    <w:rsid w:val="00443EBB"/>
    <w:rsid w:val="00447D24"/>
    <w:rsid w:val="00453FB2"/>
    <w:rsid w:val="0045448F"/>
    <w:rsid w:val="00455EF7"/>
    <w:rsid w:val="00460B7C"/>
    <w:rsid w:val="00463FC5"/>
    <w:rsid w:val="00471038"/>
    <w:rsid w:val="00471B11"/>
    <w:rsid w:val="00472C9B"/>
    <w:rsid w:val="00473CCC"/>
    <w:rsid w:val="00474E84"/>
    <w:rsid w:val="004776AF"/>
    <w:rsid w:val="004801A6"/>
    <w:rsid w:val="00480A68"/>
    <w:rsid w:val="00483F6A"/>
    <w:rsid w:val="004916A9"/>
    <w:rsid w:val="004A0B8D"/>
    <w:rsid w:val="004A1B5B"/>
    <w:rsid w:val="004C00C2"/>
    <w:rsid w:val="004C01C0"/>
    <w:rsid w:val="004C34C6"/>
    <w:rsid w:val="004D5F87"/>
    <w:rsid w:val="004D76E2"/>
    <w:rsid w:val="004D7957"/>
    <w:rsid w:val="004E1A75"/>
    <w:rsid w:val="004E346A"/>
    <w:rsid w:val="004E41BE"/>
    <w:rsid w:val="004E6E51"/>
    <w:rsid w:val="004F17F3"/>
    <w:rsid w:val="004F6663"/>
    <w:rsid w:val="00507850"/>
    <w:rsid w:val="00515F54"/>
    <w:rsid w:val="0052095C"/>
    <w:rsid w:val="00525307"/>
    <w:rsid w:val="00525D0F"/>
    <w:rsid w:val="00527692"/>
    <w:rsid w:val="005314B3"/>
    <w:rsid w:val="00531F78"/>
    <w:rsid w:val="00532166"/>
    <w:rsid w:val="00533FCF"/>
    <w:rsid w:val="005355EE"/>
    <w:rsid w:val="00537E4A"/>
    <w:rsid w:val="00540DCA"/>
    <w:rsid w:val="005411CC"/>
    <w:rsid w:val="005500B5"/>
    <w:rsid w:val="005514E9"/>
    <w:rsid w:val="00553F66"/>
    <w:rsid w:val="0056001D"/>
    <w:rsid w:val="005613A0"/>
    <w:rsid w:val="00561576"/>
    <w:rsid w:val="00561D6A"/>
    <w:rsid w:val="00561D97"/>
    <w:rsid w:val="005638FB"/>
    <w:rsid w:val="005810EA"/>
    <w:rsid w:val="005934CC"/>
    <w:rsid w:val="00594F79"/>
    <w:rsid w:val="0059669E"/>
    <w:rsid w:val="005972C3"/>
    <w:rsid w:val="005A08CF"/>
    <w:rsid w:val="005A2EB6"/>
    <w:rsid w:val="005A3F01"/>
    <w:rsid w:val="005A7795"/>
    <w:rsid w:val="005B0322"/>
    <w:rsid w:val="005B0DE8"/>
    <w:rsid w:val="005B736F"/>
    <w:rsid w:val="005C08F5"/>
    <w:rsid w:val="005C4372"/>
    <w:rsid w:val="005C6736"/>
    <w:rsid w:val="005D32D6"/>
    <w:rsid w:val="005D7F5C"/>
    <w:rsid w:val="005E2DC0"/>
    <w:rsid w:val="005E6153"/>
    <w:rsid w:val="005E702C"/>
    <w:rsid w:val="005E7315"/>
    <w:rsid w:val="005F13B0"/>
    <w:rsid w:val="005F3D9D"/>
    <w:rsid w:val="005F6EDD"/>
    <w:rsid w:val="006013C1"/>
    <w:rsid w:val="00603C11"/>
    <w:rsid w:val="0060552A"/>
    <w:rsid w:val="0061037D"/>
    <w:rsid w:val="0061085C"/>
    <w:rsid w:val="006116BC"/>
    <w:rsid w:val="00620D2A"/>
    <w:rsid w:val="006346D9"/>
    <w:rsid w:val="006371AC"/>
    <w:rsid w:val="006407C6"/>
    <w:rsid w:val="006438E8"/>
    <w:rsid w:val="00652D66"/>
    <w:rsid w:val="00656559"/>
    <w:rsid w:val="006575E1"/>
    <w:rsid w:val="0066080B"/>
    <w:rsid w:val="00661A61"/>
    <w:rsid w:val="006649DB"/>
    <w:rsid w:val="0067445E"/>
    <w:rsid w:val="00680472"/>
    <w:rsid w:val="00684CF6"/>
    <w:rsid w:val="00691684"/>
    <w:rsid w:val="006933EE"/>
    <w:rsid w:val="00695D28"/>
    <w:rsid w:val="006A03A2"/>
    <w:rsid w:val="006A2BAD"/>
    <w:rsid w:val="006B2C9C"/>
    <w:rsid w:val="006B4B29"/>
    <w:rsid w:val="006C001A"/>
    <w:rsid w:val="006C2778"/>
    <w:rsid w:val="006C5456"/>
    <w:rsid w:val="006C7FF0"/>
    <w:rsid w:val="006D074B"/>
    <w:rsid w:val="006D6650"/>
    <w:rsid w:val="006D6B01"/>
    <w:rsid w:val="006D7855"/>
    <w:rsid w:val="006E2573"/>
    <w:rsid w:val="006E2724"/>
    <w:rsid w:val="006E3B22"/>
    <w:rsid w:val="006F0B99"/>
    <w:rsid w:val="006F121B"/>
    <w:rsid w:val="006F16FE"/>
    <w:rsid w:val="006F2936"/>
    <w:rsid w:val="006F3105"/>
    <w:rsid w:val="006F3357"/>
    <w:rsid w:val="006F6F48"/>
    <w:rsid w:val="00700E5F"/>
    <w:rsid w:val="00706B9D"/>
    <w:rsid w:val="00710A68"/>
    <w:rsid w:val="00710AA2"/>
    <w:rsid w:val="00711FA6"/>
    <w:rsid w:val="00712587"/>
    <w:rsid w:val="00712FCA"/>
    <w:rsid w:val="0071485D"/>
    <w:rsid w:val="007157E9"/>
    <w:rsid w:val="00722D78"/>
    <w:rsid w:val="00723056"/>
    <w:rsid w:val="007252A4"/>
    <w:rsid w:val="007314C5"/>
    <w:rsid w:val="007332C5"/>
    <w:rsid w:val="0073485A"/>
    <w:rsid w:val="007348CE"/>
    <w:rsid w:val="0073559D"/>
    <w:rsid w:val="00735A9E"/>
    <w:rsid w:val="00752042"/>
    <w:rsid w:val="0076154C"/>
    <w:rsid w:val="007618A5"/>
    <w:rsid w:val="00765183"/>
    <w:rsid w:val="00766B73"/>
    <w:rsid w:val="00766D8B"/>
    <w:rsid w:val="007678BD"/>
    <w:rsid w:val="00773D86"/>
    <w:rsid w:val="007801E3"/>
    <w:rsid w:val="007879A2"/>
    <w:rsid w:val="00787C87"/>
    <w:rsid w:val="007A05FA"/>
    <w:rsid w:val="007A4AE3"/>
    <w:rsid w:val="007A6200"/>
    <w:rsid w:val="007A6235"/>
    <w:rsid w:val="007A64C3"/>
    <w:rsid w:val="007A684E"/>
    <w:rsid w:val="007A7440"/>
    <w:rsid w:val="007B232B"/>
    <w:rsid w:val="007B4B16"/>
    <w:rsid w:val="007B5CB2"/>
    <w:rsid w:val="007C2305"/>
    <w:rsid w:val="007C2339"/>
    <w:rsid w:val="007C582F"/>
    <w:rsid w:val="007C6178"/>
    <w:rsid w:val="007C6B82"/>
    <w:rsid w:val="007C7CD0"/>
    <w:rsid w:val="007D129F"/>
    <w:rsid w:val="007D201A"/>
    <w:rsid w:val="007D222C"/>
    <w:rsid w:val="007D23F5"/>
    <w:rsid w:val="007E08FE"/>
    <w:rsid w:val="007E0A7B"/>
    <w:rsid w:val="007F601B"/>
    <w:rsid w:val="008017B6"/>
    <w:rsid w:val="0080310A"/>
    <w:rsid w:val="00805493"/>
    <w:rsid w:val="00807BB8"/>
    <w:rsid w:val="00811CD7"/>
    <w:rsid w:val="00816DFF"/>
    <w:rsid w:val="00825486"/>
    <w:rsid w:val="008262C4"/>
    <w:rsid w:val="008306B9"/>
    <w:rsid w:val="00830EE0"/>
    <w:rsid w:val="0083348E"/>
    <w:rsid w:val="00834BD7"/>
    <w:rsid w:val="00837613"/>
    <w:rsid w:val="00841BD5"/>
    <w:rsid w:val="0084762B"/>
    <w:rsid w:val="008504E1"/>
    <w:rsid w:val="00850B82"/>
    <w:rsid w:val="008548A6"/>
    <w:rsid w:val="0085544C"/>
    <w:rsid w:val="008559AE"/>
    <w:rsid w:val="00864026"/>
    <w:rsid w:val="008671A0"/>
    <w:rsid w:val="0087018E"/>
    <w:rsid w:val="00873BF2"/>
    <w:rsid w:val="00881A87"/>
    <w:rsid w:val="008824B7"/>
    <w:rsid w:val="00882FA8"/>
    <w:rsid w:val="00885F80"/>
    <w:rsid w:val="0089009A"/>
    <w:rsid w:val="00891D0F"/>
    <w:rsid w:val="008A236A"/>
    <w:rsid w:val="008B43F2"/>
    <w:rsid w:val="008C1875"/>
    <w:rsid w:val="008C2A02"/>
    <w:rsid w:val="008D2DC4"/>
    <w:rsid w:val="008D4253"/>
    <w:rsid w:val="008D5A0F"/>
    <w:rsid w:val="008D62C4"/>
    <w:rsid w:val="008D789E"/>
    <w:rsid w:val="008D7A40"/>
    <w:rsid w:val="008E0DF3"/>
    <w:rsid w:val="008E68DA"/>
    <w:rsid w:val="008F0A9E"/>
    <w:rsid w:val="008F2421"/>
    <w:rsid w:val="008F3573"/>
    <w:rsid w:val="008F4515"/>
    <w:rsid w:val="00900D2E"/>
    <w:rsid w:val="0090355C"/>
    <w:rsid w:val="00905D6A"/>
    <w:rsid w:val="00910495"/>
    <w:rsid w:val="0091185D"/>
    <w:rsid w:val="009126A8"/>
    <w:rsid w:val="0091496C"/>
    <w:rsid w:val="00921F40"/>
    <w:rsid w:val="00926225"/>
    <w:rsid w:val="00926CC3"/>
    <w:rsid w:val="00926FEF"/>
    <w:rsid w:val="0092732D"/>
    <w:rsid w:val="00927A91"/>
    <w:rsid w:val="00940B8E"/>
    <w:rsid w:val="00943987"/>
    <w:rsid w:val="00946054"/>
    <w:rsid w:val="00950A77"/>
    <w:rsid w:val="0095354B"/>
    <w:rsid w:val="009536F4"/>
    <w:rsid w:val="00954A82"/>
    <w:rsid w:val="009601A2"/>
    <w:rsid w:val="00961DAB"/>
    <w:rsid w:val="00964205"/>
    <w:rsid w:val="00967C85"/>
    <w:rsid w:val="00977C27"/>
    <w:rsid w:val="00983713"/>
    <w:rsid w:val="00990700"/>
    <w:rsid w:val="009938E8"/>
    <w:rsid w:val="00994EBF"/>
    <w:rsid w:val="009A241B"/>
    <w:rsid w:val="009A3CE5"/>
    <w:rsid w:val="009A5218"/>
    <w:rsid w:val="009B2DBE"/>
    <w:rsid w:val="009B4D42"/>
    <w:rsid w:val="009B4E2B"/>
    <w:rsid w:val="009C6183"/>
    <w:rsid w:val="009C7469"/>
    <w:rsid w:val="009D09EA"/>
    <w:rsid w:val="009D2093"/>
    <w:rsid w:val="009D2247"/>
    <w:rsid w:val="009D3C8D"/>
    <w:rsid w:val="009D4C65"/>
    <w:rsid w:val="009D5D3F"/>
    <w:rsid w:val="009D64C0"/>
    <w:rsid w:val="009E34AC"/>
    <w:rsid w:val="009E6458"/>
    <w:rsid w:val="009E6BEE"/>
    <w:rsid w:val="009F3F4B"/>
    <w:rsid w:val="009F4D58"/>
    <w:rsid w:val="00A01BDA"/>
    <w:rsid w:val="00A0556D"/>
    <w:rsid w:val="00A07A43"/>
    <w:rsid w:val="00A10205"/>
    <w:rsid w:val="00A10FBF"/>
    <w:rsid w:val="00A1631F"/>
    <w:rsid w:val="00A203C6"/>
    <w:rsid w:val="00A26CE4"/>
    <w:rsid w:val="00A26D49"/>
    <w:rsid w:val="00A27ECF"/>
    <w:rsid w:val="00A30A9D"/>
    <w:rsid w:val="00A363CF"/>
    <w:rsid w:val="00A373CB"/>
    <w:rsid w:val="00A51621"/>
    <w:rsid w:val="00A5247B"/>
    <w:rsid w:val="00A52591"/>
    <w:rsid w:val="00A66772"/>
    <w:rsid w:val="00A70F2D"/>
    <w:rsid w:val="00A71914"/>
    <w:rsid w:val="00A74C5B"/>
    <w:rsid w:val="00A7666B"/>
    <w:rsid w:val="00A816EE"/>
    <w:rsid w:val="00A8225D"/>
    <w:rsid w:val="00A82300"/>
    <w:rsid w:val="00A90B6D"/>
    <w:rsid w:val="00A9245A"/>
    <w:rsid w:val="00A9423E"/>
    <w:rsid w:val="00AA64C4"/>
    <w:rsid w:val="00AB4C4A"/>
    <w:rsid w:val="00AC109C"/>
    <w:rsid w:val="00AC20DB"/>
    <w:rsid w:val="00AD6CDC"/>
    <w:rsid w:val="00AE263E"/>
    <w:rsid w:val="00AE4D0A"/>
    <w:rsid w:val="00AE4EBA"/>
    <w:rsid w:val="00B01D51"/>
    <w:rsid w:val="00B07456"/>
    <w:rsid w:val="00B13D18"/>
    <w:rsid w:val="00B14FE1"/>
    <w:rsid w:val="00B16B73"/>
    <w:rsid w:val="00B20586"/>
    <w:rsid w:val="00B26D97"/>
    <w:rsid w:val="00B278CC"/>
    <w:rsid w:val="00B306F9"/>
    <w:rsid w:val="00B30F4B"/>
    <w:rsid w:val="00B3280C"/>
    <w:rsid w:val="00B342B4"/>
    <w:rsid w:val="00B35087"/>
    <w:rsid w:val="00B45432"/>
    <w:rsid w:val="00B46770"/>
    <w:rsid w:val="00B50DD5"/>
    <w:rsid w:val="00B51063"/>
    <w:rsid w:val="00B52DFA"/>
    <w:rsid w:val="00B53724"/>
    <w:rsid w:val="00B56C9D"/>
    <w:rsid w:val="00B67BB0"/>
    <w:rsid w:val="00B7181A"/>
    <w:rsid w:val="00B722EF"/>
    <w:rsid w:val="00B7710B"/>
    <w:rsid w:val="00B8419C"/>
    <w:rsid w:val="00B8731F"/>
    <w:rsid w:val="00B95A5B"/>
    <w:rsid w:val="00BA075B"/>
    <w:rsid w:val="00BA3BE2"/>
    <w:rsid w:val="00BA7CDF"/>
    <w:rsid w:val="00BB3645"/>
    <w:rsid w:val="00BB7ED4"/>
    <w:rsid w:val="00BD5C46"/>
    <w:rsid w:val="00BE0EF8"/>
    <w:rsid w:val="00BE4326"/>
    <w:rsid w:val="00BE4439"/>
    <w:rsid w:val="00BF12D1"/>
    <w:rsid w:val="00BF3A9C"/>
    <w:rsid w:val="00BF6611"/>
    <w:rsid w:val="00BF7CFA"/>
    <w:rsid w:val="00C07EE7"/>
    <w:rsid w:val="00C12B71"/>
    <w:rsid w:val="00C211CB"/>
    <w:rsid w:val="00C30898"/>
    <w:rsid w:val="00C35361"/>
    <w:rsid w:val="00C46304"/>
    <w:rsid w:val="00C4773B"/>
    <w:rsid w:val="00C5130C"/>
    <w:rsid w:val="00C52C8C"/>
    <w:rsid w:val="00C53320"/>
    <w:rsid w:val="00C53FEC"/>
    <w:rsid w:val="00C5620D"/>
    <w:rsid w:val="00C635B4"/>
    <w:rsid w:val="00C64A8D"/>
    <w:rsid w:val="00C6511B"/>
    <w:rsid w:val="00C65BDF"/>
    <w:rsid w:val="00C668A8"/>
    <w:rsid w:val="00C70089"/>
    <w:rsid w:val="00C700E9"/>
    <w:rsid w:val="00C7557C"/>
    <w:rsid w:val="00C83E90"/>
    <w:rsid w:val="00C8446D"/>
    <w:rsid w:val="00C94297"/>
    <w:rsid w:val="00CA4754"/>
    <w:rsid w:val="00CA75FF"/>
    <w:rsid w:val="00CB4797"/>
    <w:rsid w:val="00CB7EEC"/>
    <w:rsid w:val="00CC0DEE"/>
    <w:rsid w:val="00CC2D8D"/>
    <w:rsid w:val="00CC7893"/>
    <w:rsid w:val="00CD774B"/>
    <w:rsid w:val="00CE14AC"/>
    <w:rsid w:val="00CE615C"/>
    <w:rsid w:val="00CF2FFD"/>
    <w:rsid w:val="00D0754D"/>
    <w:rsid w:val="00D077BE"/>
    <w:rsid w:val="00D1025A"/>
    <w:rsid w:val="00D108B3"/>
    <w:rsid w:val="00D11887"/>
    <w:rsid w:val="00D1317D"/>
    <w:rsid w:val="00D14DA8"/>
    <w:rsid w:val="00D15B14"/>
    <w:rsid w:val="00D2028E"/>
    <w:rsid w:val="00D31C8A"/>
    <w:rsid w:val="00D33C5C"/>
    <w:rsid w:val="00D33FB2"/>
    <w:rsid w:val="00D34106"/>
    <w:rsid w:val="00D351A1"/>
    <w:rsid w:val="00D353AB"/>
    <w:rsid w:val="00D43565"/>
    <w:rsid w:val="00D43C07"/>
    <w:rsid w:val="00D45352"/>
    <w:rsid w:val="00D53897"/>
    <w:rsid w:val="00D62B64"/>
    <w:rsid w:val="00D64EB6"/>
    <w:rsid w:val="00D67AFC"/>
    <w:rsid w:val="00D67EFA"/>
    <w:rsid w:val="00D7360F"/>
    <w:rsid w:val="00D75875"/>
    <w:rsid w:val="00D77E2D"/>
    <w:rsid w:val="00D81B41"/>
    <w:rsid w:val="00D95A0C"/>
    <w:rsid w:val="00D96727"/>
    <w:rsid w:val="00D97893"/>
    <w:rsid w:val="00DA0B82"/>
    <w:rsid w:val="00DA7674"/>
    <w:rsid w:val="00DA7807"/>
    <w:rsid w:val="00DB6A38"/>
    <w:rsid w:val="00DC0504"/>
    <w:rsid w:val="00DC3674"/>
    <w:rsid w:val="00DC40E3"/>
    <w:rsid w:val="00DC6053"/>
    <w:rsid w:val="00DC7786"/>
    <w:rsid w:val="00DD324C"/>
    <w:rsid w:val="00DD366D"/>
    <w:rsid w:val="00DE668C"/>
    <w:rsid w:val="00DF0207"/>
    <w:rsid w:val="00E03169"/>
    <w:rsid w:val="00E03AA9"/>
    <w:rsid w:val="00E070EC"/>
    <w:rsid w:val="00E12162"/>
    <w:rsid w:val="00E12C73"/>
    <w:rsid w:val="00E24247"/>
    <w:rsid w:val="00E2603D"/>
    <w:rsid w:val="00E27003"/>
    <w:rsid w:val="00E33868"/>
    <w:rsid w:val="00E3552F"/>
    <w:rsid w:val="00E3622E"/>
    <w:rsid w:val="00E41EAE"/>
    <w:rsid w:val="00E4314F"/>
    <w:rsid w:val="00E442C6"/>
    <w:rsid w:val="00E5433B"/>
    <w:rsid w:val="00E6413D"/>
    <w:rsid w:val="00E6425A"/>
    <w:rsid w:val="00E70334"/>
    <w:rsid w:val="00E73B6A"/>
    <w:rsid w:val="00E74AB2"/>
    <w:rsid w:val="00E7573C"/>
    <w:rsid w:val="00E772AD"/>
    <w:rsid w:val="00E823A3"/>
    <w:rsid w:val="00E8587E"/>
    <w:rsid w:val="00E860B2"/>
    <w:rsid w:val="00E90689"/>
    <w:rsid w:val="00E93548"/>
    <w:rsid w:val="00E94B89"/>
    <w:rsid w:val="00EA5333"/>
    <w:rsid w:val="00EA5A7E"/>
    <w:rsid w:val="00EB0C05"/>
    <w:rsid w:val="00EB7141"/>
    <w:rsid w:val="00EC1B77"/>
    <w:rsid w:val="00EC1D10"/>
    <w:rsid w:val="00EC297E"/>
    <w:rsid w:val="00ED106A"/>
    <w:rsid w:val="00ED67B4"/>
    <w:rsid w:val="00ED7964"/>
    <w:rsid w:val="00EE0215"/>
    <w:rsid w:val="00EE30A2"/>
    <w:rsid w:val="00EE4FF3"/>
    <w:rsid w:val="00EE52E3"/>
    <w:rsid w:val="00EE613F"/>
    <w:rsid w:val="00EE6DFB"/>
    <w:rsid w:val="00EF1FA6"/>
    <w:rsid w:val="00F048DE"/>
    <w:rsid w:val="00F064E5"/>
    <w:rsid w:val="00F06B38"/>
    <w:rsid w:val="00F10485"/>
    <w:rsid w:val="00F1194D"/>
    <w:rsid w:val="00F14D6F"/>
    <w:rsid w:val="00F151BE"/>
    <w:rsid w:val="00F16F3F"/>
    <w:rsid w:val="00F23565"/>
    <w:rsid w:val="00F27107"/>
    <w:rsid w:val="00F27BE6"/>
    <w:rsid w:val="00F30695"/>
    <w:rsid w:val="00F32F3A"/>
    <w:rsid w:val="00F36401"/>
    <w:rsid w:val="00F37967"/>
    <w:rsid w:val="00F4004A"/>
    <w:rsid w:val="00F43280"/>
    <w:rsid w:val="00F44467"/>
    <w:rsid w:val="00F50DC1"/>
    <w:rsid w:val="00F55BBA"/>
    <w:rsid w:val="00F627E7"/>
    <w:rsid w:val="00F65D99"/>
    <w:rsid w:val="00F766DB"/>
    <w:rsid w:val="00F77564"/>
    <w:rsid w:val="00F77B60"/>
    <w:rsid w:val="00F83039"/>
    <w:rsid w:val="00F91D73"/>
    <w:rsid w:val="00F93C04"/>
    <w:rsid w:val="00FA3AAB"/>
    <w:rsid w:val="00FB7D5E"/>
    <w:rsid w:val="00FC24C5"/>
    <w:rsid w:val="00FD26C7"/>
    <w:rsid w:val="00FD667A"/>
    <w:rsid w:val="00FD79EF"/>
    <w:rsid w:val="00FE380C"/>
    <w:rsid w:val="00FE6422"/>
    <w:rsid w:val="00FE7474"/>
    <w:rsid w:val="00FF6FBE"/>
    <w:rsid w:val="00FF7F1C"/>
    <w:rsid w:val="0183728A"/>
    <w:rsid w:val="01CA41C8"/>
    <w:rsid w:val="01EC6EBD"/>
    <w:rsid w:val="02D40A66"/>
    <w:rsid w:val="034C0B0E"/>
    <w:rsid w:val="04427BAF"/>
    <w:rsid w:val="04934494"/>
    <w:rsid w:val="04980A96"/>
    <w:rsid w:val="04A96738"/>
    <w:rsid w:val="04B45A12"/>
    <w:rsid w:val="05560BE8"/>
    <w:rsid w:val="0594368B"/>
    <w:rsid w:val="06062004"/>
    <w:rsid w:val="06A046EE"/>
    <w:rsid w:val="089112ED"/>
    <w:rsid w:val="093A3D49"/>
    <w:rsid w:val="095B3589"/>
    <w:rsid w:val="09CC4590"/>
    <w:rsid w:val="0A4D4DC2"/>
    <w:rsid w:val="0ADD6C61"/>
    <w:rsid w:val="0BDA7410"/>
    <w:rsid w:val="0C897FA2"/>
    <w:rsid w:val="0D95362E"/>
    <w:rsid w:val="0D9557B8"/>
    <w:rsid w:val="0DA847A4"/>
    <w:rsid w:val="0E5F0420"/>
    <w:rsid w:val="0EBF4967"/>
    <w:rsid w:val="0F72791D"/>
    <w:rsid w:val="0FF11BCF"/>
    <w:rsid w:val="1000728B"/>
    <w:rsid w:val="10476C19"/>
    <w:rsid w:val="12831ABA"/>
    <w:rsid w:val="12C15B53"/>
    <w:rsid w:val="12F028E4"/>
    <w:rsid w:val="15102B46"/>
    <w:rsid w:val="1556100F"/>
    <w:rsid w:val="15E169F5"/>
    <w:rsid w:val="15E37BB6"/>
    <w:rsid w:val="15E91F38"/>
    <w:rsid w:val="175003F7"/>
    <w:rsid w:val="184C57E9"/>
    <w:rsid w:val="184D518C"/>
    <w:rsid w:val="19AF5431"/>
    <w:rsid w:val="19ED74B4"/>
    <w:rsid w:val="1B172B3A"/>
    <w:rsid w:val="1B44128B"/>
    <w:rsid w:val="1DA9316B"/>
    <w:rsid w:val="1DAE2D67"/>
    <w:rsid w:val="1DFC25A7"/>
    <w:rsid w:val="1F1D314C"/>
    <w:rsid w:val="201B7679"/>
    <w:rsid w:val="20B60B5B"/>
    <w:rsid w:val="215F48AC"/>
    <w:rsid w:val="217A3B41"/>
    <w:rsid w:val="21B63CE4"/>
    <w:rsid w:val="252A26D8"/>
    <w:rsid w:val="269E01DA"/>
    <w:rsid w:val="26E62A22"/>
    <w:rsid w:val="273916EB"/>
    <w:rsid w:val="288177EA"/>
    <w:rsid w:val="29150D2B"/>
    <w:rsid w:val="299C1276"/>
    <w:rsid w:val="2A012DF7"/>
    <w:rsid w:val="2AA704EF"/>
    <w:rsid w:val="2AC44C21"/>
    <w:rsid w:val="2B2018D4"/>
    <w:rsid w:val="2B4C7596"/>
    <w:rsid w:val="2BA508B1"/>
    <w:rsid w:val="2CA67F3B"/>
    <w:rsid w:val="2CDC52C4"/>
    <w:rsid w:val="2D014B38"/>
    <w:rsid w:val="2D3FD935"/>
    <w:rsid w:val="2E1C41BD"/>
    <w:rsid w:val="2FAE20C9"/>
    <w:rsid w:val="2FD727B1"/>
    <w:rsid w:val="3045392D"/>
    <w:rsid w:val="30652E8B"/>
    <w:rsid w:val="30687A90"/>
    <w:rsid w:val="307F49A0"/>
    <w:rsid w:val="3282506A"/>
    <w:rsid w:val="34E73D30"/>
    <w:rsid w:val="35440762"/>
    <w:rsid w:val="356E38E4"/>
    <w:rsid w:val="35EF2722"/>
    <w:rsid w:val="35FD79B8"/>
    <w:rsid w:val="36476A1A"/>
    <w:rsid w:val="370352C4"/>
    <w:rsid w:val="371E20D5"/>
    <w:rsid w:val="382D6DF9"/>
    <w:rsid w:val="38B735F4"/>
    <w:rsid w:val="38BD37E2"/>
    <w:rsid w:val="39F32E95"/>
    <w:rsid w:val="3B176492"/>
    <w:rsid w:val="3C217EA5"/>
    <w:rsid w:val="3D5C2477"/>
    <w:rsid w:val="3DC25066"/>
    <w:rsid w:val="3EC1649A"/>
    <w:rsid w:val="3EDB774E"/>
    <w:rsid w:val="3EEE30CB"/>
    <w:rsid w:val="3FB9665A"/>
    <w:rsid w:val="3FF7A632"/>
    <w:rsid w:val="3FFF6F54"/>
    <w:rsid w:val="4051742C"/>
    <w:rsid w:val="410F7A7F"/>
    <w:rsid w:val="41D27B33"/>
    <w:rsid w:val="42400C92"/>
    <w:rsid w:val="42513ADD"/>
    <w:rsid w:val="43930A7B"/>
    <w:rsid w:val="43CA63C8"/>
    <w:rsid w:val="45034E48"/>
    <w:rsid w:val="46957BD9"/>
    <w:rsid w:val="4B1D091D"/>
    <w:rsid w:val="4B2B5700"/>
    <w:rsid w:val="4B5F0E37"/>
    <w:rsid w:val="4BE114A9"/>
    <w:rsid w:val="4DA31AD1"/>
    <w:rsid w:val="4E1E43F2"/>
    <w:rsid w:val="500322C0"/>
    <w:rsid w:val="50057955"/>
    <w:rsid w:val="50341825"/>
    <w:rsid w:val="503A4FEB"/>
    <w:rsid w:val="51122D33"/>
    <w:rsid w:val="515B7E88"/>
    <w:rsid w:val="515D4FED"/>
    <w:rsid w:val="51802950"/>
    <w:rsid w:val="525363DF"/>
    <w:rsid w:val="527563D6"/>
    <w:rsid w:val="52AC050A"/>
    <w:rsid w:val="534A7633"/>
    <w:rsid w:val="53D5002F"/>
    <w:rsid w:val="540864FB"/>
    <w:rsid w:val="54E923A2"/>
    <w:rsid w:val="5518595C"/>
    <w:rsid w:val="553B154F"/>
    <w:rsid w:val="55975E91"/>
    <w:rsid w:val="579B5B44"/>
    <w:rsid w:val="57B2672E"/>
    <w:rsid w:val="57EC57BD"/>
    <w:rsid w:val="5818326D"/>
    <w:rsid w:val="584652F0"/>
    <w:rsid w:val="5A893518"/>
    <w:rsid w:val="5AA6300E"/>
    <w:rsid w:val="5B117F79"/>
    <w:rsid w:val="5B5773E8"/>
    <w:rsid w:val="5D156096"/>
    <w:rsid w:val="5D930F11"/>
    <w:rsid w:val="5E275BCB"/>
    <w:rsid w:val="5E9640DD"/>
    <w:rsid w:val="5F232D0A"/>
    <w:rsid w:val="5F9E126E"/>
    <w:rsid w:val="60002155"/>
    <w:rsid w:val="603074D0"/>
    <w:rsid w:val="619130F3"/>
    <w:rsid w:val="6292772E"/>
    <w:rsid w:val="643F914B"/>
    <w:rsid w:val="64F437EB"/>
    <w:rsid w:val="655546E2"/>
    <w:rsid w:val="65CF64B9"/>
    <w:rsid w:val="66061C70"/>
    <w:rsid w:val="66901D58"/>
    <w:rsid w:val="669924FF"/>
    <w:rsid w:val="66B0719D"/>
    <w:rsid w:val="66B328D7"/>
    <w:rsid w:val="66EE2DD0"/>
    <w:rsid w:val="67E37495"/>
    <w:rsid w:val="67F60DC6"/>
    <w:rsid w:val="68F76AF4"/>
    <w:rsid w:val="691C549B"/>
    <w:rsid w:val="69600B54"/>
    <w:rsid w:val="69B14C92"/>
    <w:rsid w:val="69E90943"/>
    <w:rsid w:val="6AE35220"/>
    <w:rsid w:val="6BFF48EA"/>
    <w:rsid w:val="6C7A1884"/>
    <w:rsid w:val="6C90182A"/>
    <w:rsid w:val="6C9478C3"/>
    <w:rsid w:val="6DE71D1B"/>
    <w:rsid w:val="6DEB00D6"/>
    <w:rsid w:val="6DF37E27"/>
    <w:rsid w:val="6E955D68"/>
    <w:rsid w:val="6F575522"/>
    <w:rsid w:val="6F6F1665"/>
    <w:rsid w:val="6F7E5139"/>
    <w:rsid w:val="6FEB4A41"/>
    <w:rsid w:val="6FF61359"/>
    <w:rsid w:val="6FF72E40"/>
    <w:rsid w:val="6FFA6B19"/>
    <w:rsid w:val="6FFB5EDA"/>
    <w:rsid w:val="6FFF4E72"/>
    <w:rsid w:val="70335223"/>
    <w:rsid w:val="70B54C81"/>
    <w:rsid w:val="71216399"/>
    <w:rsid w:val="71D27D18"/>
    <w:rsid w:val="71DA0A57"/>
    <w:rsid w:val="72F97F20"/>
    <w:rsid w:val="73B122D6"/>
    <w:rsid w:val="73DF2130"/>
    <w:rsid w:val="740079D4"/>
    <w:rsid w:val="7536530E"/>
    <w:rsid w:val="77042FD3"/>
    <w:rsid w:val="776158EB"/>
    <w:rsid w:val="7767CD7E"/>
    <w:rsid w:val="777FE05B"/>
    <w:rsid w:val="77F701F4"/>
    <w:rsid w:val="77FB2B9C"/>
    <w:rsid w:val="79336C57"/>
    <w:rsid w:val="7985633B"/>
    <w:rsid w:val="79AE4C58"/>
    <w:rsid w:val="7A2B7DFF"/>
    <w:rsid w:val="7A3F65B2"/>
    <w:rsid w:val="7B4464CB"/>
    <w:rsid w:val="7B600D13"/>
    <w:rsid w:val="7BB38A69"/>
    <w:rsid w:val="7BFD0A9F"/>
    <w:rsid w:val="7D892E81"/>
    <w:rsid w:val="7DBF36A3"/>
    <w:rsid w:val="7DBFE90F"/>
    <w:rsid w:val="7DE22335"/>
    <w:rsid w:val="7E347027"/>
    <w:rsid w:val="7EFDD837"/>
    <w:rsid w:val="7F5F0106"/>
    <w:rsid w:val="7F5F778E"/>
    <w:rsid w:val="7F836C0F"/>
    <w:rsid w:val="7FA358C2"/>
    <w:rsid w:val="7FD8F8B5"/>
    <w:rsid w:val="7FDF3F00"/>
    <w:rsid w:val="7FFBFDB3"/>
    <w:rsid w:val="8FEB3439"/>
    <w:rsid w:val="903E583F"/>
    <w:rsid w:val="B77EE423"/>
    <w:rsid w:val="B7FE0EA2"/>
    <w:rsid w:val="BADF720C"/>
    <w:rsid w:val="BB77F864"/>
    <w:rsid w:val="BFEDD4A9"/>
    <w:rsid w:val="BFF00AE2"/>
    <w:rsid w:val="C76E493B"/>
    <w:rsid w:val="C9634A4C"/>
    <w:rsid w:val="CBFF3504"/>
    <w:rsid w:val="CDEE6D60"/>
    <w:rsid w:val="CF0E76DC"/>
    <w:rsid w:val="D1BFB61B"/>
    <w:rsid w:val="DB5EA52F"/>
    <w:rsid w:val="DDFDC90A"/>
    <w:rsid w:val="E3D5542A"/>
    <w:rsid w:val="E7DF77DE"/>
    <w:rsid w:val="E9EFDCA4"/>
    <w:rsid w:val="E9FEC6DD"/>
    <w:rsid w:val="EE5DE815"/>
    <w:rsid w:val="EE6E96F1"/>
    <w:rsid w:val="EFEE8FA1"/>
    <w:rsid w:val="F5DA04C7"/>
    <w:rsid w:val="F6F50C70"/>
    <w:rsid w:val="F758F4AE"/>
    <w:rsid w:val="F7EA8A88"/>
    <w:rsid w:val="FB7FEC03"/>
    <w:rsid w:val="FC9BA811"/>
    <w:rsid w:val="FDED7D3C"/>
    <w:rsid w:val="FE5FA8CA"/>
    <w:rsid w:val="FEDEDF4A"/>
    <w:rsid w:val="FEF727EE"/>
    <w:rsid w:val="FF36018C"/>
    <w:rsid w:val="FF77921C"/>
    <w:rsid w:val="FFBBCFC5"/>
    <w:rsid w:val="FFD5F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semiHidden/>
    <w:unhideWhenUsed/>
    <w:qFormat/>
    <w:uiPriority w:val="9"/>
    <w:pPr>
      <w:spacing w:beforeAutospacing="1" w:afterAutospacing="1"/>
      <w:jc w:val="left"/>
      <w:outlineLvl w:val="4"/>
    </w:pPr>
    <w:rPr>
      <w:rFonts w:hint="eastAsia" w:ascii="宋体" w:hAnsi="宋体"/>
      <w:b/>
      <w:bCs/>
      <w:kern w:val="0"/>
      <w:sz w:val="20"/>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annotation text"/>
    <w:basedOn w:val="1"/>
    <w:link w:val="28"/>
    <w:qFormat/>
    <w:uiPriority w:val="0"/>
    <w:pPr>
      <w:jc w:val="left"/>
    </w:pPr>
    <w:rPr>
      <w:rFonts w:ascii="Calibri" w:hAnsi="Calibri"/>
      <w:szCs w:val="22"/>
    </w:rPr>
  </w:style>
  <w:style w:type="paragraph" w:styleId="5">
    <w:name w:val="List Number 3"/>
    <w:basedOn w:val="1"/>
    <w:unhideWhenUsed/>
    <w:qFormat/>
    <w:uiPriority w:val="99"/>
    <w:pPr>
      <w:numPr>
        <w:ilvl w:val="0"/>
        <w:numId w:val="1"/>
      </w:numPr>
      <w:tabs>
        <w:tab w:val="left" w:pos="1200"/>
      </w:tabs>
    </w:pPr>
  </w:style>
  <w:style w:type="paragraph" w:styleId="6">
    <w:name w:val="Plain Text"/>
    <w:basedOn w:val="1"/>
    <w:link w:val="26"/>
    <w:unhideWhenUsed/>
    <w:qFormat/>
    <w:uiPriority w:val="99"/>
    <w:rPr>
      <w:rFonts w:ascii="宋体" w:hAnsi="Courier New"/>
      <w:szCs w:val="21"/>
    </w:rPr>
  </w:style>
  <w:style w:type="paragraph" w:styleId="7">
    <w:name w:val="Date"/>
    <w:basedOn w:val="1"/>
    <w:next w:val="1"/>
    <w:qFormat/>
    <w:uiPriority w:val="0"/>
    <w:pPr>
      <w:ind w:left="100" w:leftChars="2500"/>
    </w:pPr>
  </w:style>
  <w:style w:type="paragraph" w:styleId="8">
    <w:name w:val="Balloon Text"/>
    <w:basedOn w:val="1"/>
    <w:link w:val="20"/>
    <w:qFormat/>
    <w:uiPriority w:val="0"/>
    <w:rPr>
      <w:sz w:val="16"/>
      <w:szCs w:val="16"/>
    </w:rPr>
  </w:style>
  <w:style w:type="paragraph" w:styleId="9">
    <w:name w:val="footer"/>
    <w:basedOn w:val="1"/>
    <w:link w:val="27"/>
    <w:qFormat/>
    <w:uiPriority w:val="99"/>
    <w:pPr>
      <w:tabs>
        <w:tab w:val="center" w:pos="4153"/>
        <w:tab w:val="right" w:pos="8306"/>
      </w:tabs>
      <w:snapToGrid w:val="0"/>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annotation subject"/>
    <w:basedOn w:val="4"/>
    <w:next w:val="4"/>
    <w:link w:val="29"/>
    <w:unhideWhenUsed/>
    <w:qFormat/>
    <w:uiPriority w:val="99"/>
    <w:rPr>
      <w:b/>
      <w:bCs/>
      <w:szCs w:val="24"/>
    </w:rPr>
  </w:style>
  <w:style w:type="character" w:styleId="15">
    <w:name w:val="Strong"/>
    <w:qFormat/>
    <w:uiPriority w:val="0"/>
    <w:rPr>
      <w:b/>
      <w:bCs/>
    </w:rPr>
  </w:style>
  <w:style w:type="character" w:styleId="16">
    <w:name w:val="page number"/>
    <w:basedOn w:val="14"/>
    <w:qFormat/>
    <w:uiPriority w:val="0"/>
  </w:style>
  <w:style w:type="character" w:styleId="17">
    <w:name w:val="Hyperlink"/>
    <w:basedOn w:val="14"/>
    <w:unhideWhenUsed/>
    <w:qFormat/>
    <w:uiPriority w:val="99"/>
    <w:rPr>
      <w:color w:val="0000FF" w:themeColor="hyperlink"/>
      <w:u w:val="single"/>
      <w14:textFill>
        <w14:solidFill>
          <w14:schemeClr w14:val="hlink"/>
        </w14:solidFill>
      </w14:textFill>
    </w:rPr>
  </w:style>
  <w:style w:type="character" w:styleId="18">
    <w:name w:val="annotation reference"/>
    <w:qFormat/>
    <w:uiPriority w:val="0"/>
    <w:rPr>
      <w:sz w:val="21"/>
      <w:szCs w:val="21"/>
    </w:rPr>
  </w:style>
  <w:style w:type="character" w:customStyle="1" w:styleId="19">
    <w:name w:val="页眉 Char"/>
    <w:link w:val="10"/>
    <w:qFormat/>
    <w:uiPriority w:val="0"/>
    <w:rPr>
      <w:kern w:val="2"/>
      <w:sz w:val="18"/>
      <w:szCs w:val="18"/>
    </w:rPr>
  </w:style>
  <w:style w:type="character" w:customStyle="1" w:styleId="20">
    <w:name w:val="批注框文本 Char"/>
    <w:link w:val="8"/>
    <w:qFormat/>
    <w:uiPriority w:val="0"/>
    <w:rPr>
      <w:kern w:val="2"/>
      <w:sz w:val="16"/>
      <w:szCs w:val="16"/>
    </w:rPr>
  </w:style>
  <w:style w:type="paragraph" w:customStyle="1" w:styleId="21">
    <w:name w:val="Char"/>
    <w:basedOn w:val="1"/>
    <w:qFormat/>
    <w:uiPriority w:val="0"/>
    <w:pPr>
      <w:widowControl/>
      <w:spacing w:after="160" w:line="240" w:lineRule="exact"/>
      <w:jc w:val="left"/>
    </w:pPr>
    <w:rPr>
      <w:rFonts w:ascii="Verdana" w:hAnsi="Verdana" w:eastAsia="Times New Roman"/>
      <w:kern w:val="0"/>
      <w:sz w:val="20"/>
      <w:szCs w:val="20"/>
      <w:lang w:eastAsia="en-US"/>
    </w:rPr>
  </w:style>
  <w:style w:type="paragraph" w:customStyle="1" w:styleId="22">
    <w:name w:val="Char Char Char Char Char Char Char Char Char Char"/>
    <w:basedOn w:val="1"/>
    <w:qFormat/>
    <w:uiPriority w:val="0"/>
    <w:pPr>
      <w:spacing w:line="360" w:lineRule="auto"/>
      <w:ind w:firstLine="617" w:firstLineChars="257"/>
    </w:pPr>
    <w:rPr>
      <w:sz w:val="24"/>
      <w:lang w:val="en-GB"/>
    </w:rPr>
  </w:style>
  <w:style w:type="paragraph" w:customStyle="1" w:styleId="23">
    <w:name w:val="列出段落1"/>
    <w:basedOn w:val="1"/>
    <w:qFormat/>
    <w:uiPriority w:val="0"/>
    <w:pPr>
      <w:widowControl/>
      <w:ind w:firstLine="420" w:firstLineChars="200"/>
      <w:jc w:val="left"/>
    </w:pPr>
    <w:rPr>
      <w:rFonts w:ascii="宋体" w:hAnsi="宋体" w:cs="宋体"/>
      <w:kern w:val="0"/>
      <w:sz w:val="24"/>
    </w:rPr>
  </w:style>
  <w:style w:type="paragraph" w:customStyle="1" w:styleId="24">
    <w:name w:val="Char Char Char1 Char Char Char Char Char Char Char"/>
    <w:basedOn w:val="1"/>
    <w:qFormat/>
    <w:uiPriority w:val="0"/>
    <w:pPr>
      <w:spacing w:line="360" w:lineRule="auto"/>
      <w:ind w:firstLine="617" w:firstLineChars="257"/>
    </w:pPr>
    <w:rPr>
      <w:sz w:val="24"/>
      <w:lang w:val="en-GB"/>
    </w:rPr>
  </w:style>
  <w:style w:type="paragraph" w:customStyle="1" w:styleId="25">
    <w:name w:val="_Style 1"/>
    <w:basedOn w:val="1"/>
    <w:next w:val="6"/>
    <w:qFormat/>
    <w:uiPriority w:val="0"/>
    <w:rPr>
      <w:rFonts w:ascii="宋体" w:hAnsi="Courier New" w:cs="Courier New"/>
      <w:szCs w:val="21"/>
    </w:rPr>
  </w:style>
  <w:style w:type="character" w:customStyle="1" w:styleId="26">
    <w:name w:val="纯文本 Char"/>
    <w:link w:val="6"/>
    <w:semiHidden/>
    <w:qFormat/>
    <w:uiPriority w:val="99"/>
    <w:rPr>
      <w:rFonts w:ascii="宋体" w:hAnsi="Courier New" w:cs="Courier New"/>
      <w:kern w:val="2"/>
      <w:sz w:val="21"/>
      <w:szCs w:val="21"/>
    </w:rPr>
  </w:style>
  <w:style w:type="character" w:customStyle="1" w:styleId="27">
    <w:name w:val="页脚 Char"/>
    <w:link w:val="9"/>
    <w:qFormat/>
    <w:uiPriority w:val="99"/>
    <w:rPr>
      <w:kern w:val="2"/>
      <w:sz w:val="18"/>
      <w:szCs w:val="18"/>
    </w:rPr>
  </w:style>
  <w:style w:type="character" w:customStyle="1" w:styleId="28">
    <w:name w:val="批注文字 Char"/>
    <w:link w:val="4"/>
    <w:qFormat/>
    <w:uiPriority w:val="0"/>
    <w:rPr>
      <w:rFonts w:ascii="Calibri" w:hAnsi="Calibri" w:eastAsia="宋体" w:cs="Times New Roman"/>
      <w:kern w:val="2"/>
      <w:sz w:val="21"/>
      <w:szCs w:val="22"/>
    </w:rPr>
  </w:style>
  <w:style w:type="character" w:customStyle="1" w:styleId="29">
    <w:name w:val="批注主题 Char"/>
    <w:link w:val="12"/>
    <w:semiHidden/>
    <w:qFormat/>
    <w:uiPriority w:val="99"/>
    <w:rPr>
      <w:rFonts w:ascii="Calibri" w:hAnsi="Calibri" w:eastAsia="宋体" w:cs="Times New Roman"/>
      <w:b/>
      <w:bCs/>
      <w:kern w:val="2"/>
      <w:sz w:val="21"/>
      <w:szCs w:val="24"/>
    </w:rPr>
  </w:style>
  <w:style w:type="paragraph" w:customStyle="1" w:styleId="30">
    <w:name w:val="Default"/>
    <w:qFormat/>
    <w:uiPriority w:val="0"/>
    <w:pPr>
      <w:widowControl w:val="0"/>
      <w:autoSpaceDE w:val="0"/>
      <w:autoSpaceDN w:val="0"/>
      <w:adjustRightInd w:val="0"/>
    </w:pPr>
    <w:rPr>
      <w:rFonts w:ascii="Sim Sun" w:hAnsi="Times New Roman" w:eastAsia="Sim Sun" w:cs="Sim Sun"/>
      <w:color w:val="000000"/>
      <w:sz w:val="24"/>
      <w:szCs w:val="24"/>
      <w:lang w:val="en-US" w:eastAsia="zh-CN" w:bidi="ar-SA"/>
    </w:rPr>
  </w:style>
  <w:style w:type="character" w:customStyle="1" w:styleId="31">
    <w:name w:val="markedcontent"/>
    <w:basedOn w:val="14"/>
    <w:qFormat/>
    <w:uiPriority w:val="0"/>
  </w:style>
  <w:style w:type="paragraph" w:customStyle="1" w:styleId="32">
    <w:name w:val="修订1"/>
    <w:hidden/>
    <w:semiHidden/>
    <w:qFormat/>
    <w:uiPriority w:val="99"/>
    <w:rPr>
      <w:rFonts w:ascii="Times New Roman" w:hAnsi="Times New Roman" w:eastAsia="宋体" w:cs="Times New Roman"/>
      <w:kern w:val="2"/>
      <w:sz w:val="21"/>
      <w:szCs w:val="24"/>
      <w:lang w:val="en-US" w:eastAsia="zh-CN" w:bidi="ar-SA"/>
    </w:rPr>
  </w:style>
  <w:style w:type="paragraph" w:styleId="3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CB831-3699-4252-B3C1-BAAC4E4B771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280</Words>
  <Characters>1598</Characters>
  <Lines>13</Lines>
  <Paragraphs>3</Paragraphs>
  <TotalTime>10</TotalTime>
  <ScaleCrop>false</ScaleCrop>
  <LinksUpToDate>false</LinksUpToDate>
  <CharactersWithSpaces>1875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2024-01-02T08:00:00Z</dcterms:created>
  <dc:creator>黄庆安</dc:creator>
  <cp:lastModifiedBy>Administrator</cp:lastModifiedBy>
  <cp:lastPrinted>2020-06-25T05:00:00Z</cp:lastPrinted>
  <dcterms:modified xsi:type="dcterms:W3CDTF">2024-08-29T13:27:19Z</dcterms:modified>
  <dc:title>厦门市商业银行股份有限公司</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ECEA317F730E4C06876D495F8187F7E2</vt:lpwstr>
  </property>
</Properties>
</file>