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i w:val="0"/>
          <w:iCs w:val="0"/>
          <w:caps w:val="0"/>
          <w:color w:val="333333"/>
          <w:spacing w:val="0"/>
          <w:kern w:val="0"/>
          <w:sz w:val="36"/>
          <w:szCs w:val="36"/>
          <w:shd w:val="clear" w:fill="FFFFFF"/>
          <w:lang w:val="en-US" w:eastAsia="zh-CN" w:bidi="ar"/>
        </w:rPr>
      </w:pPr>
      <w:r>
        <w:rPr>
          <w:rFonts w:hint="eastAsia" w:ascii="宋体" w:hAnsi="宋体" w:eastAsia="宋体" w:cs="宋体"/>
          <w:b/>
          <w:bCs/>
          <w:i w:val="0"/>
          <w:iCs w:val="0"/>
          <w:caps w:val="0"/>
          <w:color w:val="333333"/>
          <w:spacing w:val="0"/>
          <w:kern w:val="0"/>
          <w:sz w:val="36"/>
          <w:szCs w:val="36"/>
          <w:shd w:val="clear" w:fill="FFFFFF"/>
          <w:lang w:val="en-US" w:eastAsia="zh-CN" w:bidi="ar"/>
        </w:rPr>
        <w:t>国家发展改革委 中国银监会关于印发</w:t>
      </w:r>
    </w:p>
    <w:p>
      <w:pPr>
        <w:jc w:val="center"/>
        <w:rPr>
          <w:rFonts w:hint="eastAsia" w:ascii="宋体" w:hAnsi="宋体" w:eastAsia="宋体" w:cs="宋体"/>
          <w:b/>
          <w:bCs/>
          <w:i w:val="0"/>
          <w:iCs w:val="0"/>
          <w:caps w:val="0"/>
          <w:color w:val="333333"/>
          <w:spacing w:val="0"/>
          <w:kern w:val="0"/>
          <w:sz w:val="36"/>
          <w:szCs w:val="36"/>
          <w:shd w:val="clear" w:fill="FFFFFF"/>
          <w:lang w:val="en-US" w:eastAsia="zh-CN" w:bidi="ar"/>
        </w:rPr>
      </w:pPr>
      <w:r>
        <w:rPr>
          <w:rFonts w:hint="eastAsia" w:ascii="宋体" w:hAnsi="宋体" w:eastAsia="宋体" w:cs="宋体"/>
          <w:b/>
          <w:bCs/>
          <w:i w:val="0"/>
          <w:iCs w:val="0"/>
          <w:caps w:val="0"/>
          <w:color w:val="333333"/>
          <w:spacing w:val="0"/>
          <w:kern w:val="0"/>
          <w:sz w:val="36"/>
          <w:szCs w:val="36"/>
          <w:shd w:val="clear" w:fill="FFFFFF"/>
          <w:lang w:val="en-US" w:eastAsia="zh-CN" w:bidi="ar"/>
        </w:rPr>
        <w:t>《商业银行服务政府指导价政府定价目录》的通知</w:t>
      </w:r>
    </w:p>
    <w:p>
      <w:pPr>
        <w:jc w:val="center"/>
        <w:rPr>
          <w:rFonts w:hint="eastAsia" w:ascii="楷体" w:hAnsi="楷体" w:eastAsia="楷体" w:cs="楷体"/>
          <w:i w:val="0"/>
          <w:iCs w:val="0"/>
          <w:caps w:val="0"/>
          <w:color w:val="333333"/>
          <w:spacing w:val="0"/>
          <w:kern w:val="0"/>
          <w:sz w:val="24"/>
          <w:szCs w:val="24"/>
          <w:shd w:val="clear" w:fill="FFFFFF"/>
          <w:lang w:val="en-US" w:eastAsia="zh-CN" w:bidi="ar"/>
        </w:rPr>
      </w:pPr>
      <w:r>
        <w:rPr>
          <w:rFonts w:ascii="楷体" w:hAnsi="楷体" w:eastAsia="楷体" w:cs="楷体"/>
          <w:i w:val="0"/>
          <w:iCs w:val="0"/>
          <w:caps w:val="0"/>
          <w:color w:val="333333"/>
          <w:spacing w:val="0"/>
          <w:kern w:val="0"/>
          <w:sz w:val="24"/>
          <w:szCs w:val="24"/>
          <w:shd w:val="clear" w:fill="FFFFFF"/>
          <w:lang w:val="en-US" w:eastAsia="zh-CN" w:bidi="ar"/>
        </w:rPr>
        <w:t>发改价格〔</w:t>
      </w:r>
      <w:r>
        <w:rPr>
          <w:rFonts w:hint="eastAsia" w:ascii="楷体" w:hAnsi="楷体" w:eastAsia="楷体" w:cs="楷体"/>
          <w:i w:val="0"/>
          <w:iCs w:val="0"/>
          <w:caps w:val="0"/>
          <w:color w:val="333333"/>
          <w:spacing w:val="0"/>
          <w:kern w:val="0"/>
          <w:sz w:val="24"/>
          <w:szCs w:val="24"/>
          <w:shd w:val="clear" w:fill="FFFFFF"/>
          <w:lang w:val="en-US" w:eastAsia="zh-CN" w:bidi="ar"/>
        </w:rPr>
        <w:t>2014〕268号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各省、自治区、直辖市及计划单列市发展改革委、物价局，各银监局，各政策性银行、国有商业银行、股份制商业银行，中国邮政储蓄银行：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为满足银行客户（包括自然人、法人和其他组织）的基本金融服务需求，维护其合法权益，促进银行业健康可持续发展，根据《价格法》、《商业银行服务价格管理办法》等有关规定，制定《商业银行服务政府指导价政府定价目录》（以下简称《目录》，见附件）。现印发给你们，并就有关规定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一、商业银行为银行客户提供的基础金融服务实行政府指导价、政府定价管理。实行政府指导价、政府定价的基础金融服务包括部分转账汇款、现金汇款、取现和票据等商业银行服务项目，具体收费项目和收费标准按照《目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二、商业银行免收社会保险经办机构和本行签约开立的个人基本养老金（含退休金）账户，每月前2笔且每笔不超过2500元（含2500元）的本行异地（含本行柜台和ATM）取现手续费。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三、对于银行客户账户中（不含信用卡）没有享受免收账户管理费（含小额账户管理费）和年费的，商业银行应根据客户申请，为其提供一个免收账户管理费（含小额账户管理费）和年费的账户（不含信用卡、贵宾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四、商业银行为银行客户提供账户变动短信提醒服务并收费的，应事先通过网点或电子渠道等与银行客户签约；未与银行客户签约的，不得收费。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五、本通知规定的商业银行是指依据《商业银行法》和《外资银行管理条例》等法律法规设立的银行业金融机构。本通知适用于商业银行开展的境内人民币业务。在中华人民共和国境内经国务院银行业监督管理机构批准设立的其他银行业金融机构，参照本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六、上述规定自2014年8月1日起执行。此前有关规定与本通知不一致的，以本通知为准。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请各省、自治区、直辖市及计划单列市价格主管部门将本通知转发至本行政区域内的商业银行，并督促其落实各项规定。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 </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0" w:afterAutospacing="0"/>
        <w:ind w:left="0" w:right="0" w:firstLine="480" w:firstLineChars="200"/>
        <w:jc w:val="left"/>
        <w:textAlignment w:val="auto"/>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附件：商业银行服务政府指导价政府定价目录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jc w:val="righ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国家发展改革委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jc w:val="righ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中国银监会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0" w:afterAutospacing="0"/>
        <w:ind w:left="0" w:right="0" w:firstLine="0"/>
        <w:jc w:val="righ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2014年2月14日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i w:val="0"/>
          <w:iCs w:val="0"/>
          <w:caps w:val="0"/>
          <w:color w:val="444444"/>
          <w:spacing w:val="0"/>
          <w:kern w:val="0"/>
          <w:sz w:val="16"/>
          <w:szCs w:val="16"/>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44444"/>
          <w:spacing w:val="0"/>
          <w:sz w:val="16"/>
          <w:szCs w:val="16"/>
        </w:rPr>
      </w:pPr>
      <w:r>
        <w:rPr>
          <w:rFonts w:hint="eastAsia" w:ascii="微软雅黑" w:hAnsi="微软雅黑" w:eastAsia="微软雅黑" w:cs="微软雅黑"/>
          <w:b/>
          <w:bCs/>
          <w:i w:val="0"/>
          <w:iCs w:val="0"/>
          <w:caps w:val="0"/>
          <w:color w:val="444444"/>
          <w:spacing w:val="0"/>
          <w:kern w:val="0"/>
          <w:sz w:val="16"/>
          <w:szCs w:val="16"/>
          <w:bdr w:val="none" w:color="auto" w:sz="0" w:space="0"/>
          <w:lang w:val="en-US" w:eastAsia="zh-CN" w:bidi="ar"/>
        </w:rPr>
        <w:t>商业银行服务政府指导价政府定价目录</w:t>
      </w:r>
    </w:p>
    <w:tbl>
      <w:tblPr>
        <w:tblW w:w="90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56"/>
        <w:gridCol w:w="1098"/>
        <w:gridCol w:w="1913"/>
        <w:gridCol w:w="3547"/>
        <w:gridCol w:w="965"/>
        <w:gridCol w:w="10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jc w:val="center"/>
        </w:trPr>
        <w:tc>
          <w:tcPr>
            <w:tcW w:w="45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序号</w:t>
            </w:r>
          </w:p>
        </w:tc>
        <w:tc>
          <w:tcPr>
            <w:tcW w:w="111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收费项目</w:t>
            </w:r>
          </w:p>
        </w:tc>
        <w:tc>
          <w:tcPr>
            <w:tcW w:w="194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服务内容</w:t>
            </w:r>
          </w:p>
        </w:tc>
        <w:tc>
          <w:tcPr>
            <w:tcW w:w="36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收费标准</w:t>
            </w:r>
          </w:p>
        </w:tc>
        <w:tc>
          <w:tcPr>
            <w:tcW w:w="83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定价形式</w:t>
            </w:r>
          </w:p>
        </w:tc>
        <w:tc>
          <w:tcPr>
            <w:tcW w:w="109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pPr>
            <w:r>
              <w:rPr>
                <w:rFonts w:ascii="宋体" w:hAnsi="宋体" w:eastAsia="宋体" w:cs="宋体"/>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965"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个人跨行柜台转账汇款手续费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通过柜台将个人客户的资金从本行账户（不含信用卡）转移到其他银行（含同城和异地）的账户</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每笔0.2万元以下（含0.2万元），收费不超过2元；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0.2万—0.5万元（含0.5万元），不超过5元；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0.5万—1万元（含1万元），不超过10元；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1万—5万元（含5万元），不超过15元；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5万元以上，不超过0.03%，最高收费50元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转账范围包括向其他银行的本人、其他个人或单位的账户进行资金转移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905" w:hRule="atLeast"/>
          <w:jc w:val="center"/>
        </w:trPr>
        <w:tc>
          <w:tcPr>
            <w:tcW w:w="456"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2</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对公跨行柜台转账汇款手续费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通过柜台将对公客户的资金从本行账户转移到其他银行（含同城和异地）的账户</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每笔1万元以下（含1万元），收费不超过5元；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1万—10万元（含10万元），不超过10元；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10万—50万元（含50万元），不超过15元；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50万—100万元（含100万元），不超过20元；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100万元以上，不超过0.002%，最高收费200元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转账范围包括向其他银行的本单位、其他单位或个人的账户进行资金转移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70"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3</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个人现金汇款手续费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将个人客户现金汇入异地本行账户或汇入其他银行（含同城和异地）的账户</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每笔不超过汇款金额的0.5%，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最高收费50元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70" w:hRule="atLeast"/>
          <w:jc w:val="center"/>
        </w:trPr>
        <w:tc>
          <w:tcPr>
            <w:tcW w:w="456"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4</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个人异地本行柜台取现手续费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通过异地本行柜台为本行个人客户办理取现业务（不含信用卡）</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每笔不超过取现金额的0.5%，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最高收费50元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5</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支票手续费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为个人或对公客户办理支票业务</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每笔不超过1元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6</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支票挂失费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为个人或对公客户办理支票挂失</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按票面金额0.1%（不足5元收取5元）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政府定价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7</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支票工本费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出售给个人或对公客户的支票凭证</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每份0.4元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政府定价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8</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本票手续费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为个人或对公客户办理本票业务</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每笔不超过1元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9</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本票挂失费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为个人或对公客户办理本票挂失</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按票面金额0.1%（不足5元收取5元）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政府定价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10</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本票工本费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出售给个人或对公客户的本票凭证</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每份0.48元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政府定价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11</w:t>
            </w:r>
          </w:p>
        </w:tc>
        <w:tc>
          <w:tcPr>
            <w:tcW w:w="111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银行汇票手续费</w:t>
            </w:r>
          </w:p>
        </w:tc>
        <w:tc>
          <w:tcPr>
            <w:tcW w:w="194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为个人或对公客户办理银行汇票业务</w:t>
            </w:r>
          </w:p>
        </w:tc>
        <w:tc>
          <w:tcPr>
            <w:tcW w:w="36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每笔不超过1元</w:t>
            </w:r>
          </w:p>
        </w:tc>
        <w:tc>
          <w:tcPr>
            <w:tcW w:w="8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政府指导价</w:t>
            </w:r>
          </w:p>
        </w:tc>
        <w:tc>
          <w:tcPr>
            <w:tcW w:w="109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single" w:color="auto" w:sz="8" w:space="0"/>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12</w:t>
            </w:r>
          </w:p>
        </w:tc>
        <w:tc>
          <w:tcPr>
            <w:tcW w:w="111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银行汇票挂失费</w:t>
            </w:r>
          </w:p>
        </w:tc>
        <w:tc>
          <w:tcPr>
            <w:tcW w:w="194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为个人或对公客户办理银行汇票挂失</w:t>
            </w:r>
          </w:p>
        </w:tc>
        <w:tc>
          <w:tcPr>
            <w:tcW w:w="361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pPr>
            <w:r>
              <w:rPr>
                <w:rFonts w:ascii="宋体" w:hAnsi="宋体" w:eastAsia="宋体" w:cs="宋体"/>
                <w:kern w:val="0"/>
                <w:sz w:val="24"/>
                <w:szCs w:val="24"/>
                <w:bdr w:val="none" w:color="auto" w:sz="0" w:space="0"/>
                <w:lang w:val="en-US" w:eastAsia="zh-CN" w:bidi="ar"/>
              </w:rPr>
              <w:t>按票面金额0.1%（不足5元收取5元）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政府</w:t>
            </w:r>
            <w:r>
              <w:rPr>
                <w:rFonts w:hint="eastAsia" w:ascii="宋体" w:hAnsi="宋体" w:eastAsia="宋体" w:cs="宋体"/>
                <w:kern w:val="0"/>
                <w:sz w:val="24"/>
                <w:szCs w:val="24"/>
                <w:lang w:val="en-US" w:eastAsia="zh-CN" w:bidi="ar"/>
              </w:rPr>
              <w:t>定</w:t>
            </w:r>
            <w:r>
              <w:rPr>
                <w:rFonts w:ascii="宋体" w:hAnsi="宋体" w:eastAsia="宋体" w:cs="宋体"/>
                <w:kern w:val="0"/>
                <w:sz w:val="24"/>
                <w:szCs w:val="24"/>
                <w:lang w:val="en-US" w:eastAsia="zh-CN" w:bidi="ar"/>
              </w:rPr>
              <w:t>价</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65" w:hRule="atLeast"/>
          <w:jc w:val="center"/>
        </w:trPr>
        <w:tc>
          <w:tcPr>
            <w:tcW w:w="456" w:type="dxa"/>
            <w:tcBorders>
              <w:top w:val="single" w:color="auto" w:sz="8" w:space="0"/>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宋体" w:hAnsi="宋体" w:eastAsia="宋体" w:cs="宋体"/>
                <w:kern w:val="0"/>
                <w:sz w:val="24"/>
                <w:szCs w:val="24"/>
                <w:bdr w:val="none" w:color="auto" w:sz="0" w:space="0"/>
                <w:lang w:val="en-US" w:eastAsia="zh-CN" w:bidi="ar"/>
              </w:rPr>
            </w:pPr>
            <w:r>
              <w:rPr>
                <w:rFonts w:hint="eastAsia" w:ascii="宋体" w:hAnsi="宋体" w:eastAsia="宋体" w:cs="宋体"/>
                <w:kern w:val="0"/>
                <w:sz w:val="24"/>
                <w:szCs w:val="24"/>
                <w:bdr w:val="none" w:color="auto" w:sz="0" w:space="0"/>
                <w:lang w:val="en-US" w:eastAsia="zh-CN" w:bidi="ar"/>
              </w:rPr>
              <w:t>13</w:t>
            </w:r>
          </w:p>
        </w:tc>
        <w:tc>
          <w:tcPr>
            <w:tcW w:w="111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宋体" w:hAnsi="宋体" w:eastAsia="宋体" w:cs="宋体"/>
                <w:kern w:val="0"/>
                <w:sz w:val="24"/>
                <w:szCs w:val="24"/>
                <w:bdr w:val="none" w:color="auto" w:sz="0" w:space="0"/>
                <w:lang w:val="en-US" w:eastAsia="zh-CN" w:bidi="ar"/>
              </w:rPr>
            </w:pPr>
            <w:r>
              <w:rPr>
                <w:rFonts w:hint="eastAsia" w:ascii="宋体" w:hAnsi="宋体" w:eastAsia="宋体" w:cs="宋体"/>
                <w:kern w:val="0"/>
                <w:sz w:val="24"/>
                <w:szCs w:val="24"/>
                <w:bdr w:val="none" w:color="auto" w:sz="0" w:space="0"/>
                <w:lang w:val="en-US" w:eastAsia="zh-CN" w:bidi="ar"/>
              </w:rPr>
              <w:t>银行汇票工本费</w:t>
            </w:r>
          </w:p>
        </w:tc>
        <w:tc>
          <w:tcPr>
            <w:tcW w:w="194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宋体" w:hAnsi="宋体" w:eastAsia="宋体" w:cs="宋体"/>
                <w:kern w:val="0"/>
                <w:sz w:val="24"/>
                <w:szCs w:val="24"/>
                <w:bdr w:val="none" w:color="auto" w:sz="0" w:space="0"/>
                <w:lang w:val="en-US" w:eastAsia="zh-CN" w:bidi="ar"/>
              </w:rPr>
            </w:pPr>
            <w:r>
              <w:rPr>
                <w:rFonts w:hint="eastAsia" w:ascii="宋体" w:hAnsi="宋体" w:eastAsia="宋体" w:cs="宋体"/>
                <w:kern w:val="0"/>
                <w:sz w:val="24"/>
                <w:szCs w:val="24"/>
                <w:bdr w:val="none" w:color="auto" w:sz="0" w:space="0"/>
                <w:lang w:val="en-US" w:eastAsia="zh-CN" w:bidi="ar"/>
              </w:rPr>
              <w:t>出售给个人或对公客户的银行汇票凭证</w:t>
            </w:r>
          </w:p>
        </w:tc>
        <w:tc>
          <w:tcPr>
            <w:tcW w:w="361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宋体" w:hAnsi="宋体" w:eastAsia="宋体" w:cs="宋体"/>
                <w:kern w:val="0"/>
                <w:sz w:val="24"/>
                <w:szCs w:val="24"/>
                <w:bdr w:val="none" w:color="auto" w:sz="0" w:space="0"/>
                <w:lang w:val="en-US" w:eastAsia="zh-CN" w:bidi="ar"/>
              </w:rPr>
            </w:pPr>
            <w:r>
              <w:rPr>
                <w:rFonts w:hint="eastAsia" w:ascii="宋体" w:hAnsi="宋体" w:eastAsia="宋体" w:cs="宋体"/>
                <w:kern w:val="0"/>
                <w:sz w:val="24"/>
                <w:szCs w:val="24"/>
                <w:bdr w:val="none" w:color="auto" w:sz="0" w:space="0"/>
                <w:lang w:val="en-US" w:eastAsia="zh-CN" w:bidi="ar"/>
              </w:rPr>
              <w:t>每份0.48元</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政府定价</w:t>
            </w:r>
          </w:p>
        </w:tc>
        <w:tc>
          <w:tcPr>
            <w:tcW w:w="0" w:type="auto"/>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ascii="宋体" w:hAnsi="宋体" w:eastAsia="宋体" w:cs="宋体"/>
                <w:kern w:val="0"/>
                <w:sz w:val="24"/>
                <w:szCs w:val="24"/>
                <w:lang w:val="en-US" w:eastAsia="zh-CN" w:bidi="ar"/>
              </w:rPr>
            </w:pPr>
          </w:p>
        </w:tc>
      </w:tr>
    </w:tbl>
    <w:p>
      <w:pPr>
        <w:jc w:val="left"/>
        <w:rPr>
          <w:rFonts w:hint="eastAsia" w:ascii="楷体" w:hAnsi="楷体" w:eastAsia="楷体" w:cs="楷体"/>
          <w:i w:val="0"/>
          <w:iCs w:val="0"/>
          <w:caps w:val="0"/>
          <w:color w:val="333333"/>
          <w:spacing w:val="0"/>
          <w:kern w:val="0"/>
          <w:sz w:val="24"/>
          <w:szCs w:val="24"/>
          <w:shd w:val="clear" w:fill="FFFFFF"/>
          <w:lang w:val="en-US" w:eastAsia="zh-CN" w:bidi="ar"/>
        </w:rPr>
      </w:pPr>
    </w:p>
    <w:p>
      <w:pPr>
        <w:jc w:val="left"/>
        <w:rPr>
          <w:rFonts w:hint="default" w:ascii="楷体" w:hAnsi="楷体" w:eastAsia="楷体" w:cs="楷体"/>
          <w:i w:val="0"/>
          <w:iCs w:val="0"/>
          <w:caps w:val="0"/>
          <w:color w:val="333333"/>
          <w:spacing w:val="0"/>
          <w:kern w:val="0"/>
          <w:sz w:val="24"/>
          <w:szCs w:val="24"/>
          <w:shd w:val="clear" w:fill="FFFFFF"/>
          <w:lang w:val="en-US" w:eastAsia="zh-CN" w:bidi="ar"/>
        </w:rPr>
      </w:pPr>
      <w:r>
        <w:rPr>
          <w:rFonts w:hint="eastAsia" w:ascii="楷体" w:hAnsi="楷体" w:eastAsia="楷体" w:cs="楷体"/>
          <w:i w:val="0"/>
          <w:iCs w:val="0"/>
          <w:caps w:val="0"/>
          <w:color w:val="333333"/>
          <w:spacing w:val="0"/>
          <w:kern w:val="0"/>
          <w:sz w:val="24"/>
          <w:szCs w:val="24"/>
          <w:shd w:val="clear" w:fill="FFFFFF"/>
          <w:lang w:val="en-US" w:eastAsia="zh-CN" w:bidi="ar"/>
        </w:rPr>
        <w:t>注：商业银行办理个人跨行柜台转账汇款、对公跨行柜台转账汇款和个人现金汇款业务，汇款金额应不迟于2个工作日内到账（商业银行因不可控制的外部原因或存在技术条件制约导致资金不能到账或延迟到账、客户与商业银行有特别约定等情况除外）。若银行客户要求实时到账，收费标准在此基础上上浮不超过20%，但每笔最高收费标准不变。</w:t>
      </w: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33821"/>
    <w:rsid w:val="00091C16"/>
    <w:rsid w:val="00523E3D"/>
    <w:rsid w:val="005A1863"/>
    <w:rsid w:val="007973FF"/>
    <w:rsid w:val="00883FE0"/>
    <w:rsid w:val="009F67A0"/>
    <w:rsid w:val="00AE0DAA"/>
    <w:rsid w:val="00BF7E4E"/>
    <w:rsid w:val="00E9183E"/>
    <w:rsid w:val="01821CAC"/>
    <w:rsid w:val="02463B6D"/>
    <w:rsid w:val="02605F07"/>
    <w:rsid w:val="029D3B5C"/>
    <w:rsid w:val="02AC05C5"/>
    <w:rsid w:val="02B12DA9"/>
    <w:rsid w:val="02BB3FB6"/>
    <w:rsid w:val="02E96568"/>
    <w:rsid w:val="037747E4"/>
    <w:rsid w:val="03E26CDC"/>
    <w:rsid w:val="04CB3CD3"/>
    <w:rsid w:val="04F50C0B"/>
    <w:rsid w:val="05255F3A"/>
    <w:rsid w:val="052D46A7"/>
    <w:rsid w:val="05864CCF"/>
    <w:rsid w:val="05D01528"/>
    <w:rsid w:val="05D83C9A"/>
    <w:rsid w:val="06604E94"/>
    <w:rsid w:val="067513F5"/>
    <w:rsid w:val="06780DB1"/>
    <w:rsid w:val="06E322D0"/>
    <w:rsid w:val="071E0FF5"/>
    <w:rsid w:val="07440CC8"/>
    <w:rsid w:val="07C025AD"/>
    <w:rsid w:val="07C7789E"/>
    <w:rsid w:val="08000B9C"/>
    <w:rsid w:val="0819259C"/>
    <w:rsid w:val="0883268E"/>
    <w:rsid w:val="089009AB"/>
    <w:rsid w:val="08E96341"/>
    <w:rsid w:val="0900775E"/>
    <w:rsid w:val="092C6867"/>
    <w:rsid w:val="09D37F11"/>
    <w:rsid w:val="09FF548B"/>
    <w:rsid w:val="0A2A2C43"/>
    <w:rsid w:val="0A4C4516"/>
    <w:rsid w:val="0AB816A0"/>
    <w:rsid w:val="0AE20706"/>
    <w:rsid w:val="0B4944C2"/>
    <w:rsid w:val="0B914C29"/>
    <w:rsid w:val="0B9C4C69"/>
    <w:rsid w:val="0C1622CB"/>
    <w:rsid w:val="0C9F325A"/>
    <w:rsid w:val="0D0F5130"/>
    <w:rsid w:val="0DAE7C11"/>
    <w:rsid w:val="0DBD53E2"/>
    <w:rsid w:val="0E320FC4"/>
    <w:rsid w:val="0E480DF1"/>
    <w:rsid w:val="0E8A0E96"/>
    <w:rsid w:val="0E9D0F06"/>
    <w:rsid w:val="0F2F3B6C"/>
    <w:rsid w:val="0FA77FD2"/>
    <w:rsid w:val="0FF6000D"/>
    <w:rsid w:val="105949C2"/>
    <w:rsid w:val="105D3783"/>
    <w:rsid w:val="10F66965"/>
    <w:rsid w:val="120103E5"/>
    <w:rsid w:val="12147416"/>
    <w:rsid w:val="126964F3"/>
    <w:rsid w:val="12B856F8"/>
    <w:rsid w:val="12C43A0D"/>
    <w:rsid w:val="12C958C9"/>
    <w:rsid w:val="132C45E1"/>
    <w:rsid w:val="13307B5D"/>
    <w:rsid w:val="134C7968"/>
    <w:rsid w:val="139C287C"/>
    <w:rsid w:val="147B6D94"/>
    <w:rsid w:val="14B3071B"/>
    <w:rsid w:val="15295270"/>
    <w:rsid w:val="152D1178"/>
    <w:rsid w:val="153D53D9"/>
    <w:rsid w:val="156A74B8"/>
    <w:rsid w:val="15C32DE2"/>
    <w:rsid w:val="15C92317"/>
    <w:rsid w:val="15D46200"/>
    <w:rsid w:val="161B7469"/>
    <w:rsid w:val="162C047C"/>
    <w:rsid w:val="16374E96"/>
    <w:rsid w:val="1637617A"/>
    <w:rsid w:val="16505AE4"/>
    <w:rsid w:val="16F045AA"/>
    <w:rsid w:val="17FF2AF7"/>
    <w:rsid w:val="18396C57"/>
    <w:rsid w:val="185444FE"/>
    <w:rsid w:val="18620E12"/>
    <w:rsid w:val="186F4B52"/>
    <w:rsid w:val="19264671"/>
    <w:rsid w:val="193C4941"/>
    <w:rsid w:val="197D0010"/>
    <w:rsid w:val="19FC5A0E"/>
    <w:rsid w:val="1A1B2C7C"/>
    <w:rsid w:val="1A5E3774"/>
    <w:rsid w:val="1A660DEC"/>
    <w:rsid w:val="1A793200"/>
    <w:rsid w:val="1A7D1962"/>
    <w:rsid w:val="1A831C6C"/>
    <w:rsid w:val="1A9E5C1F"/>
    <w:rsid w:val="1AB2120D"/>
    <w:rsid w:val="1AB6059B"/>
    <w:rsid w:val="1AE157B4"/>
    <w:rsid w:val="1B0C3DC6"/>
    <w:rsid w:val="1B514107"/>
    <w:rsid w:val="1B67599C"/>
    <w:rsid w:val="1BDB38F5"/>
    <w:rsid w:val="1C4A2AB2"/>
    <w:rsid w:val="1C992AF3"/>
    <w:rsid w:val="1DAF5E4C"/>
    <w:rsid w:val="1DBB1F73"/>
    <w:rsid w:val="1DE63975"/>
    <w:rsid w:val="1E2B27CA"/>
    <w:rsid w:val="1E4F5F64"/>
    <w:rsid w:val="1E6271E4"/>
    <w:rsid w:val="1E8A23A7"/>
    <w:rsid w:val="1EC7379B"/>
    <w:rsid w:val="1EDD5972"/>
    <w:rsid w:val="1FCA6AD7"/>
    <w:rsid w:val="1FDD1D38"/>
    <w:rsid w:val="1FF70EF8"/>
    <w:rsid w:val="20220243"/>
    <w:rsid w:val="203F0933"/>
    <w:rsid w:val="20DF0CEB"/>
    <w:rsid w:val="20E3048C"/>
    <w:rsid w:val="20FF17EF"/>
    <w:rsid w:val="21182387"/>
    <w:rsid w:val="21210C48"/>
    <w:rsid w:val="21EF741F"/>
    <w:rsid w:val="21F34BEE"/>
    <w:rsid w:val="22221FFE"/>
    <w:rsid w:val="22694F5C"/>
    <w:rsid w:val="22A31794"/>
    <w:rsid w:val="22A949FD"/>
    <w:rsid w:val="22F13091"/>
    <w:rsid w:val="237877B2"/>
    <w:rsid w:val="241C09A6"/>
    <w:rsid w:val="24881C8A"/>
    <w:rsid w:val="24992352"/>
    <w:rsid w:val="24ED4549"/>
    <w:rsid w:val="25262DC6"/>
    <w:rsid w:val="254215AE"/>
    <w:rsid w:val="255D41DA"/>
    <w:rsid w:val="25677973"/>
    <w:rsid w:val="257F667B"/>
    <w:rsid w:val="2638000E"/>
    <w:rsid w:val="264F630A"/>
    <w:rsid w:val="26624FB4"/>
    <w:rsid w:val="26F25512"/>
    <w:rsid w:val="273349A9"/>
    <w:rsid w:val="27563905"/>
    <w:rsid w:val="2784272E"/>
    <w:rsid w:val="286C5B8E"/>
    <w:rsid w:val="28E735F9"/>
    <w:rsid w:val="297A630F"/>
    <w:rsid w:val="29922B32"/>
    <w:rsid w:val="29CB5F26"/>
    <w:rsid w:val="2A1B6671"/>
    <w:rsid w:val="2AAC3828"/>
    <w:rsid w:val="2B101182"/>
    <w:rsid w:val="2B1705CA"/>
    <w:rsid w:val="2B304858"/>
    <w:rsid w:val="2BA65497"/>
    <w:rsid w:val="2BB00503"/>
    <w:rsid w:val="2BC302F8"/>
    <w:rsid w:val="2C1C567B"/>
    <w:rsid w:val="2C4A4F06"/>
    <w:rsid w:val="2C9F11BB"/>
    <w:rsid w:val="2CB94515"/>
    <w:rsid w:val="2CD80364"/>
    <w:rsid w:val="2D5608E4"/>
    <w:rsid w:val="2D89162D"/>
    <w:rsid w:val="2D8C01B0"/>
    <w:rsid w:val="2D9B4332"/>
    <w:rsid w:val="2E026B82"/>
    <w:rsid w:val="2EAB7828"/>
    <w:rsid w:val="2EBD74EB"/>
    <w:rsid w:val="2EF52899"/>
    <w:rsid w:val="2F54148A"/>
    <w:rsid w:val="2F78260C"/>
    <w:rsid w:val="2F8E20C6"/>
    <w:rsid w:val="2FE43FE7"/>
    <w:rsid w:val="30667DAA"/>
    <w:rsid w:val="3071138A"/>
    <w:rsid w:val="308221E9"/>
    <w:rsid w:val="311436C2"/>
    <w:rsid w:val="31505F30"/>
    <w:rsid w:val="31743157"/>
    <w:rsid w:val="31CA7369"/>
    <w:rsid w:val="31DF5B7E"/>
    <w:rsid w:val="32064700"/>
    <w:rsid w:val="32133821"/>
    <w:rsid w:val="321361FC"/>
    <w:rsid w:val="32C604D9"/>
    <w:rsid w:val="32D05729"/>
    <w:rsid w:val="33245D99"/>
    <w:rsid w:val="338C5550"/>
    <w:rsid w:val="33B052AE"/>
    <w:rsid w:val="33CF7C4E"/>
    <w:rsid w:val="34024926"/>
    <w:rsid w:val="344A2E18"/>
    <w:rsid w:val="34C049D5"/>
    <w:rsid w:val="35E625A2"/>
    <w:rsid w:val="3733539E"/>
    <w:rsid w:val="37384CF3"/>
    <w:rsid w:val="37930C7D"/>
    <w:rsid w:val="37FD3924"/>
    <w:rsid w:val="38223008"/>
    <w:rsid w:val="38461281"/>
    <w:rsid w:val="38547AE8"/>
    <w:rsid w:val="38842E69"/>
    <w:rsid w:val="38BE4A0D"/>
    <w:rsid w:val="38D348C4"/>
    <w:rsid w:val="38F43541"/>
    <w:rsid w:val="38FC2C5A"/>
    <w:rsid w:val="392F3556"/>
    <w:rsid w:val="39641BDB"/>
    <w:rsid w:val="39DE279D"/>
    <w:rsid w:val="39FC0DAD"/>
    <w:rsid w:val="3A044D5A"/>
    <w:rsid w:val="3A2317B4"/>
    <w:rsid w:val="3A630F65"/>
    <w:rsid w:val="3AD56151"/>
    <w:rsid w:val="3B994FF7"/>
    <w:rsid w:val="3BB1725F"/>
    <w:rsid w:val="3BC73F56"/>
    <w:rsid w:val="3C6D77BB"/>
    <w:rsid w:val="3C721B71"/>
    <w:rsid w:val="3C760C29"/>
    <w:rsid w:val="3C8E1B1F"/>
    <w:rsid w:val="3CCF54AB"/>
    <w:rsid w:val="3CD158C5"/>
    <w:rsid w:val="3D195E42"/>
    <w:rsid w:val="3D6A2ED3"/>
    <w:rsid w:val="3DA7290A"/>
    <w:rsid w:val="3E1D6097"/>
    <w:rsid w:val="3E4435BA"/>
    <w:rsid w:val="3E541C0C"/>
    <w:rsid w:val="3E8861AC"/>
    <w:rsid w:val="3E892423"/>
    <w:rsid w:val="3EFA0EDD"/>
    <w:rsid w:val="3F755221"/>
    <w:rsid w:val="3F7C0591"/>
    <w:rsid w:val="3FA303AF"/>
    <w:rsid w:val="3FC41092"/>
    <w:rsid w:val="3FCC72B4"/>
    <w:rsid w:val="407F0200"/>
    <w:rsid w:val="40B55454"/>
    <w:rsid w:val="40BA4728"/>
    <w:rsid w:val="410F7A69"/>
    <w:rsid w:val="41577C1F"/>
    <w:rsid w:val="415805B5"/>
    <w:rsid w:val="41C77C36"/>
    <w:rsid w:val="421B6C0C"/>
    <w:rsid w:val="42874B47"/>
    <w:rsid w:val="428B0F99"/>
    <w:rsid w:val="42DD65AD"/>
    <w:rsid w:val="42EA6F27"/>
    <w:rsid w:val="42F233F1"/>
    <w:rsid w:val="43156B60"/>
    <w:rsid w:val="432E705A"/>
    <w:rsid w:val="43CC6D61"/>
    <w:rsid w:val="44122EEB"/>
    <w:rsid w:val="445F7AB9"/>
    <w:rsid w:val="44675826"/>
    <w:rsid w:val="44B2547F"/>
    <w:rsid w:val="44CD2F71"/>
    <w:rsid w:val="455145DA"/>
    <w:rsid w:val="456477CF"/>
    <w:rsid w:val="45A6533A"/>
    <w:rsid w:val="462E208D"/>
    <w:rsid w:val="469D03E2"/>
    <w:rsid w:val="46B2382A"/>
    <w:rsid w:val="46D86687"/>
    <w:rsid w:val="471072EE"/>
    <w:rsid w:val="47200AA3"/>
    <w:rsid w:val="474B2E6A"/>
    <w:rsid w:val="47637C2D"/>
    <w:rsid w:val="476C0E9C"/>
    <w:rsid w:val="477C6277"/>
    <w:rsid w:val="47D13714"/>
    <w:rsid w:val="48B97453"/>
    <w:rsid w:val="49095251"/>
    <w:rsid w:val="493A0F2E"/>
    <w:rsid w:val="4985798C"/>
    <w:rsid w:val="49A35C03"/>
    <w:rsid w:val="49AB4E9B"/>
    <w:rsid w:val="4A4D542C"/>
    <w:rsid w:val="4ABF3812"/>
    <w:rsid w:val="4B4A5A3F"/>
    <w:rsid w:val="4B57463B"/>
    <w:rsid w:val="4BD33D93"/>
    <w:rsid w:val="4BF264C4"/>
    <w:rsid w:val="4D247530"/>
    <w:rsid w:val="4D2D34F6"/>
    <w:rsid w:val="4D5A1789"/>
    <w:rsid w:val="4D8F5BB8"/>
    <w:rsid w:val="4DA17C4C"/>
    <w:rsid w:val="4DB30E11"/>
    <w:rsid w:val="4DE24AB0"/>
    <w:rsid w:val="4DE81DD7"/>
    <w:rsid w:val="4E2274F8"/>
    <w:rsid w:val="4E5F2ECC"/>
    <w:rsid w:val="4FF00A32"/>
    <w:rsid w:val="501B2A0C"/>
    <w:rsid w:val="50AB54FD"/>
    <w:rsid w:val="50B316C9"/>
    <w:rsid w:val="50BA1787"/>
    <w:rsid w:val="50D3741B"/>
    <w:rsid w:val="50EC077F"/>
    <w:rsid w:val="51095717"/>
    <w:rsid w:val="510A70E5"/>
    <w:rsid w:val="512408CF"/>
    <w:rsid w:val="513134FD"/>
    <w:rsid w:val="514E1535"/>
    <w:rsid w:val="51991BE2"/>
    <w:rsid w:val="520D10E0"/>
    <w:rsid w:val="52536E98"/>
    <w:rsid w:val="52714B1E"/>
    <w:rsid w:val="52C05F18"/>
    <w:rsid w:val="52F43EFA"/>
    <w:rsid w:val="53421140"/>
    <w:rsid w:val="534B1615"/>
    <w:rsid w:val="536D0059"/>
    <w:rsid w:val="538903E9"/>
    <w:rsid w:val="53B52B52"/>
    <w:rsid w:val="53C541B3"/>
    <w:rsid w:val="53EA3AAD"/>
    <w:rsid w:val="54061D84"/>
    <w:rsid w:val="540B558A"/>
    <w:rsid w:val="543B281D"/>
    <w:rsid w:val="5450449B"/>
    <w:rsid w:val="549C152D"/>
    <w:rsid w:val="550E06F3"/>
    <w:rsid w:val="55292E75"/>
    <w:rsid w:val="559D155F"/>
    <w:rsid w:val="55EB31A0"/>
    <w:rsid w:val="56047C0A"/>
    <w:rsid w:val="562C3775"/>
    <w:rsid w:val="568A467A"/>
    <w:rsid w:val="56A469E4"/>
    <w:rsid w:val="56E51844"/>
    <w:rsid w:val="56F75198"/>
    <w:rsid w:val="57985D58"/>
    <w:rsid w:val="57B17848"/>
    <w:rsid w:val="57BA1DB6"/>
    <w:rsid w:val="57DF437D"/>
    <w:rsid w:val="58446E8C"/>
    <w:rsid w:val="58561875"/>
    <w:rsid w:val="58A17D99"/>
    <w:rsid w:val="58AD068C"/>
    <w:rsid w:val="58FD43FD"/>
    <w:rsid w:val="590C1962"/>
    <w:rsid w:val="59700374"/>
    <w:rsid w:val="59D51C86"/>
    <w:rsid w:val="59FD47BD"/>
    <w:rsid w:val="5A6F7FBF"/>
    <w:rsid w:val="5AAA51D4"/>
    <w:rsid w:val="5AC55221"/>
    <w:rsid w:val="5B2832D8"/>
    <w:rsid w:val="5C7B16A6"/>
    <w:rsid w:val="5CCD6012"/>
    <w:rsid w:val="5D3025B0"/>
    <w:rsid w:val="5D7C4777"/>
    <w:rsid w:val="5E5D1B02"/>
    <w:rsid w:val="5E5F3F2F"/>
    <w:rsid w:val="5EEC00BC"/>
    <w:rsid w:val="5F234BB2"/>
    <w:rsid w:val="5F317764"/>
    <w:rsid w:val="5FE630D4"/>
    <w:rsid w:val="5FED0A12"/>
    <w:rsid w:val="5FFA59C9"/>
    <w:rsid w:val="60431256"/>
    <w:rsid w:val="608C007F"/>
    <w:rsid w:val="609D0829"/>
    <w:rsid w:val="60AB2A3B"/>
    <w:rsid w:val="60C051C1"/>
    <w:rsid w:val="60E726B6"/>
    <w:rsid w:val="61041640"/>
    <w:rsid w:val="61390B7F"/>
    <w:rsid w:val="627C0AC7"/>
    <w:rsid w:val="62C537C5"/>
    <w:rsid w:val="62E35A0E"/>
    <w:rsid w:val="636D673A"/>
    <w:rsid w:val="63B05ABD"/>
    <w:rsid w:val="63F905AF"/>
    <w:rsid w:val="64B32A64"/>
    <w:rsid w:val="64CE56A7"/>
    <w:rsid w:val="65640D2E"/>
    <w:rsid w:val="658F2F6A"/>
    <w:rsid w:val="6590180D"/>
    <w:rsid w:val="65977E7A"/>
    <w:rsid w:val="659C7E36"/>
    <w:rsid w:val="662C276C"/>
    <w:rsid w:val="66C55C42"/>
    <w:rsid w:val="67037EFE"/>
    <w:rsid w:val="6724545D"/>
    <w:rsid w:val="679B3B7A"/>
    <w:rsid w:val="67A034EB"/>
    <w:rsid w:val="67CA03D2"/>
    <w:rsid w:val="67DE145D"/>
    <w:rsid w:val="67F24868"/>
    <w:rsid w:val="68303A86"/>
    <w:rsid w:val="68F17830"/>
    <w:rsid w:val="6972149E"/>
    <w:rsid w:val="69A478C1"/>
    <w:rsid w:val="69AD4DC5"/>
    <w:rsid w:val="6A776786"/>
    <w:rsid w:val="6ADE63E2"/>
    <w:rsid w:val="6AF017DB"/>
    <w:rsid w:val="6B1D72B0"/>
    <w:rsid w:val="6B5D6DE4"/>
    <w:rsid w:val="6B615D5C"/>
    <w:rsid w:val="6B6D17AE"/>
    <w:rsid w:val="6BC71B96"/>
    <w:rsid w:val="6BCC0A60"/>
    <w:rsid w:val="6BE57277"/>
    <w:rsid w:val="6BF004DC"/>
    <w:rsid w:val="6C177A00"/>
    <w:rsid w:val="6C8F130B"/>
    <w:rsid w:val="6C9427C0"/>
    <w:rsid w:val="6CC74FCC"/>
    <w:rsid w:val="6D1508EE"/>
    <w:rsid w:val="6DF72E21"/>
    <w:rsid w:val="6EBB4BE1"/>
    <w:rsid w:val="6F224A30"/>
    <w:rsid w:val="6FA45550"/>
    <w:rsid w:val="6FAF6661"/>
    <w:rsid w:val="6FB935CE"/>
    <w:rsid w:val="6FCA1B1E"/>
    <w:rsid w:val="70136854"/>
    <w:rsid w:val="70136DEE"/>
    <w:rsid w:val="70253256"/>
    <w:rsid w:val="70B86BD8"/>
    <w:rsid w:val="70EE573B"/>
    <w:rsid w:val="71346DD3"/>
    <w:rsid w:val="71667E4D"/>
    <w:rsid w:val="72000629"/>
    <w:rsid w:val="7281461D"/>
    <w:rsid w:val="7309692C"/>
    <w:rsid w:val="73130492"/>
    <w:rsid w:val="73195627"/>
    <w:rsid w:val="73771C33"/>
    <w:rsid w:val="73B84C60"/>
    <w:rsid w:val="73C600F6"/>
    <w:rsid w:val="74715549"/>
    <w:rsid w:val="747F0774"/>
    <w:rsid w:val="74901B61"/>
    <w:rsid w:val="74EB2F41"/>
    <w:rsid w:val="75070F8F"/>
    <w:rsid w:val="750C1C80"/>
    <w:rsid w:val="753535AA"/>
    <w:rsid w:val="75971529"/>
    <w:rsid w:val="75A757E1"/>
    <w:rsid w:val="75AD4DA0"/>
    <w:rsid w:val="75C155A2"/>
    <w:rsid w:val="76110DDC"/>
    <w:rsid w:val="762A59B7"/>
    <w:rsid w:val="76310DB6"/>
    <w:rsid w:val="763F2D7F"/>
    <w:rsid w:val="76857544"/>
    <w:rsid w:val="76952009"/>
    <w:rsid w:val="772448E8"/>
    <w:rsid w:val="77270546"/>
    <w:rsid w:val="77312F08"/>
    <w:rsid w:val="77331A78"/>
    <w:rsid w:val="777C68BD"/>
    <w:rsid w:val="77A05FB7"/>
    <w:rsid w:val="7803206E"/>
    <w:rsid w:val="783D6EEE"/>
    <w:rsid w:val="783F57C7"/>
    <w:rsid w:val="78681BDF"/>
    <w:rsid w:val="78730AEE"/>
    <w:rsid w:val="788F5D70"/>
    <w:rsid w:val="78993A6A"/>
    <w:rsid w:val="791729E0"/>
    <w:rsid w:val="796A7A62"/>
    <w:rsid w:val="799C0001"/>
    <w:rsid w:val="79AC1F4D"/>
    <w:rsid w:val="79E412FF"/>
    <w:rsid w:val="7A17653D"/>
    <w:rsid w:val="7A187F10"/>
    <w:rsid w:val="7A236782"/>
    <w:rsid w:val="7A5D2432"/>
    <w:rsid w:val="7AB95912"/>
    <w:rsid w:val="7AD917E3"/>
    <w:rsid w:val="7AF34CCE"/>
    <w:rsid w:val="7B564427"/>
    <w:rsid w:val="7B707B15"/>
    <w:rsid w:val="7B8F517D"/>
    <w:rsid w:val="7B9037EC"/>
    <w:rsid w:val="7BED31B4"/>
    <w:rsid w:val="7CC21646"/>
    <w:rsid w:val="7D296201"/>
    <w:rsid w:val="7D395656"/>
    <w:rsid w:val="7E1F7E25"/>
    <w:rsid w:val="7E313539"/>
    <w:rsid w:val="7E494B5E"/>
    <w:rsid w:val="7F354DE7"/>
    <w:rsid w:val="7F522D09"/>
    <w:rsid w:val="7FC1100F"/>
    <w:rsid w:val="7FF53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2024-06-13T06:15:00Z</dcterms:created>
  <dc:creator>yjy</dc:creator>
  <cp:lastModifiedBy>yjy</cp:lastModifiedBy>
  <dcterms:modified xsi:type="dcterms:W3CDTF">2024-06-13T06:46:49Z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8A0BB352296F47F3A27FA0BBB439D0E3</vt:lpwstr>
  </property>
</Properties>
</file>