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684A3F" w14:textId="77777777" w:rsidR="005430C2" w:rsidRDefault="00E33CC4">
      <w:pPr>
        <w:pStyle w:val="aa"/>
        <w:spacing w:line="460" w:lineRule="exact"/>
        <w:ind w:firstLineChars="0" w:firstLine="0"/>
        <w:jc w:val="center"/>
        <w:rPr>
          <w:rFonts w:hint="default"/>
          <w:b/>
          <w:bCs/>
          <w:sz w:val="32"/>
          <w:szCs w:val="32"/>
        </w:rPr>
      </w:pPr>
      <w:r>
        <w:rPr>
          <w:b/>
          <w:bCs/>
          <w:sz w:val="32"/>
          <w:szCs w:val="32"/>
        </w:rPr>
        <w:t>厦门银行股份有限公司股权管理办法</w:t>
      </w:r>
    </w:p>
    <w:p w14:paraId="1EF52E14" w14:textId="7AE406F9" w:rsidR="005430C2" w:rsidRDefault="00E33CC4">
      <w:pPr>
        <w:pStyle w:val="aa"/>
        <w:spacing w:line="460" w:lineRule="exact"/>
        <w:ind w:firstLineChars="0" w:firstLine="0"/>
        <w:jc w:val="center"/>
        <w:rPr>
          <w:rFonts w:hint="default"/>
          <w:b/>
          <w:bCs/>
          <w:sz w:val="32"/>
          <w:szCs w:val="32"/>
        </w:rPr>
      </w:pPr>
      <w:r>
        <w:rPr>
          <w:b/>
          <w:bCs/>
          <w:sz w:val="32"/>
          <w:szCs w:val="32"/>
        </w:rPr>
        <w:t>（202</w:t>
      </w:r>
      <w:r>
        <w:rPr>
          <w:rFonts w:hint="default"/>
          <w:b/>
          <w:bCs/>
          <w:sz w:val="32"/>
          <w:szCs w:val="32"/>
        </w:rPr>
        <w:t>3</w:t>
      </w:r>
      <w:r>
        <w:rPr>
          <w:b/>
          <w:bCs/>
          <w:sz w:val="32"/>
          <w:szCs w:val="32"/>
        </w:rPr>
        <w:t>年修订）</w:t>
      </w:r>
    </w:p>
    <w:p w14:paraId="3EF56AEA" w14:textId="77777777" w:rsidR="005430C2" w:rsidRDefault="005430C2">
      <w:pPr>
        <w:rPr>
          <w:rFonts w:hint="default"/>
        </w:rPr>
      </w:pPr>
    </w:p>
    <w:p w14:paraId="68136EF1" w14:textId="77777777" w:rsidR="005430C2" w:rsidRDefault="005430C2">
      <w:pPr>
        <w:rPr>
          <w:rFonts w:hint="default"/>
        </w:rPr>
      </w:pPr>
    </w:p>
    <w:p w14:paraId="4C940EE2" w14:textId="77777777" w:rsidR="005430C2" w:rsidRDefault="00E33CC4">
      <w:pPr>
        <w:spacing w:line="360" w:lineRule="auto"/>
        <w:ind w:firstLineChars="200" w:firstLine="562"/>
        <w:jc w:val="center"/>
        <w:rPr>
          <w:rFonts w:hint="default"/>
          <w:b/>
          <w:bCs/>
          <w:sz w:val="28"/>
          <w:szCs w:val="28"/>
        </w:rPr>
      </w:pPr>
      <w:r>
        <w:rPr>
          <w:b/>
          <w:bCs/>
          <w:sz w:val="28"/>
          <w:szCs w:val="28"/>
        </w:rPr>
        <w:t>第一章  总则</w:t>
      </w:r>
    </w:p>
    <w:p w14:paraId="670BCD30" w14:textId="77777777" w:rsidR="005430C2" w:rsidRDefault="00E33CC4">
      <w:pPr>
        <w:numPr>
          <w:ilvl w:val="0"/>
          <w:numId w:val="2"/>
        </w:numPr>
        <w:spacing w:line="360" w:lineRule="auto"/>
        <w:jc w:val="both"/>
        <w:rPr>
          <w:rFonts w:hint="default"/>
          <w:sz w:val="28"/>
          <w:szCs w:val="28"/>
        </w:rPr>
      </w:pPr>
      <w:r>
        <w:rPr>
          <w:sz w:val="28"/>
          <w:szCs w:val="28"/>
        </w:rPr>
        <w:t>为规范厦门银行股份有限公司（以下简称“本行”）股权管理，保护股东和本行的合法权益，根据《中华人民共和国公司法》《中华人民共和国商业银行法》《中华人民共和国银行业监督管理法》《银行保险机构公司治理准则》《商业银行股权管理暂行办法》《中国银监会关于加强商业银行股权质押管理的通知》《银行保险机构大股东行为监管办法（试行）》《关于进一步加强银行保险机构股东承诺管理有关事项的通知》《关于加强银行保险机构股权和关联交易数据治理的通知》《中国证券登记结算有限责任公司上海分公司证券发行人业务指南》等法律、行政法规、部门规章、规范性文件（以下简称“法律法规”）以及《厦门银行股份有限公司章程》（以下简称“本行章程”）相关规定，制定本办法。</w:t>
      </w:r>
    </w:p>
    <w:p w14:paraId="4ACBA984" w14:textId="77777777" w:rsidR="005430C2" w:rsidRDefault="00E33CC4">
      <w:pPr>
        <w:numPr>
          <w:ilvl w:val="0"/>
          <w:numId w:val="2"/>
        </w:numPr>
        <w:spacing w:line="360" w:lineRule="auto"/>
        <w:jc w:val="both"/>
        <w:rPr>
          <w:rFonts w:hint="default"/>
          <w:sz w:val="28"/>
          <w:szCs w:val="28"/>
        </w:rPr>
      </w:pPr>
      <w:r>
        <w:rPr>
          <w:sz w:val="28"/>
          <w:szCs w:val="28"/>
        </w:rPr>
        <w:t>本办法适用于持有本行的普通股股份（以下简称“股份”）的全体股东。</w:t>
      </w:r>
    </w:p>
    <w:p w14:paraId="02330932" w14:textId="77777777" w:rsidR="005430C2" w:rsidRDefault="00E33CC4">
      <w:pPr>
        <w:numPr>
          <w:ilvl w:val="0"/>
          <w:numId w:val="2"/>
        </w:numPr>
        <w:spacing w:line="360" w:lineRule="auto"/>
        <w:jc w:val="both"/>
        <w:rPr>
          <w:rFonts w:hint="default"/>
          <w:sz w:val="28"/>
          <w:szCs w:val="28"/>
        </w:rPr>
      </w:pPr>
      <w:r>
        <w:rPr>
          <w:sz w:val="28"/>
          <w:szCs w:val="28"/>
        </w:rPr>
        <w:t>本行股权管理遵循分类管理、资质优良、关系清晰、权责明确、公开透明的原则。</w:t>
      </w:r>
    </w:p>
    <w:p w14:paraId="7AF46747" w14:textId="77777777" w:rsidR="005430C2" w:rsidRDefault="00E33CC4">
      <w:pPr>
        <w:numPr>
          <w:ilvl w:val="0"/>
          <w:numId w:val="2"/>
        </w:numPr>
        <w:spacing w:line="360" w:lineRule="auto"/>
        <w:jc w:val="both"/>
        <w:rPr>
          <w:rFonts w:hint="default"/>
          <w:sz w:val="28"/>
          <w:szCs w:val="28"/>
        </w:rPr>
      </w:pPr>
      <w:r>
        <w:rPr>
          <w:sz w:val="28"/>
          <w:szCs w:val="28"/>
        </w:rPr>
        <w:t>本行及本行股东应当根据有关法律法规、监管规定、本行章程、本办法及其他相关规定，依法行使股东权利，履行法定义务，充分披露相关信息，接受社会监督。</w:t>
      </w:r>
    </w:p>
    <w:p w14:paraId="0D2AFDC4" w14:textId="77777777" w:rsidR="005430C2" w:rsidRDefault="005430C2">
      <w:pPr>
        <w:spacing w:line="360" w:lineRule="auto"/>
        <w:ind w:left="480"/>
        <w:jc w:val="both"/>
        <w:rPr>
          <w:rFonts w:hint="default"/>
          <w:b/>
          <w:bCs/>
          <w:sz w:val="28"/>
          <w:szCs w:val="28"/>
        </w:rPr>
      </w:pPr>
    </w:p>
    <w:p w14:paraId="4556130E" w14:textId="77777777" w:rsidR="005430C2" w:rsidRDefault="00E33CC4">
      <w:pPr>
        <w:spacing w:line="360" w:lineRule="auto"/>
        <w:ind w:firstLineChars="200" w:firstLine="562"/>
        <w:jc w:val="center"/>
        <w:rPr>
          <w:rFonts w:hint="default"/>
          <w:b/>
          <w:bCs/>
          <w:sz w:val="28"/>
          <w:szCs w:val="28"/>
        </w:rPr>
      </w:pPr>
      <w:r>
        <w:rPr>
          <w:b/>
          <w:bCs/>
          <w:sz w:val="28"/>
          <w:szCs w:val="28"/>
        </w:rPr>
        <w:lastRenderedPageBreak/>
        <w:t xml:space="preserve">第二章  </w:t>
      </w:r>
      <w:r>
        <w:rPr>
          <w:b/>
          <w:spacing w:val="-1"/>
          <w:sz w:val="28"/>
        </w:rPr>
        <w:t>股东责任</w:t>
      </w:r>
    </w:p>
    <w:p w14:paraId="1225EB89" w14:textId="77777777" w:rsidR="005430C2" w:rsidRDefault="00E33CC4">
      <w:pPr>
        <w:numPr>
          <w:ilvl w:val="0"/>
          <w:numId w:val="2"/>
        </w:numPr>
        <w:spacing w:line="360" w:lineRule="auto"/>
        <w:jc w:val="both"/>
        <w:rPr>
          <w:rFonts w:hint="default"/>
          <w:sz w:val="28"/>
          <w:szCs w:val="28"/>
        </w:rPr>
      </w:pPr>
      <w:r>
        <w:rPr>
          <w:sz w:val="28"/>
          <w:szCs w:val="28"/>
        </w:rPr>
        <w:t>本行股东应具有良好的社会声誉、诚信记录、纳税记录和财务状况，符合法律法规规定和监管要求。</w:t>
      </w:r>
    </w:p>
    <w:p w14:paraId="53C9AC61" w14:textId="77777777" w:rsidR="005430C2" w:rsidRDefault="00E33CC4">
      <w:pPr>
        <w:numPr>
          <w:ilvl w:val="0"/>
          <w:numId w:val="2"/>
        </w:numPr>
        <w:spacing w:line="360" w:lineRule="auto"/>
        <w:jc w:val="both"/>
        <w:rPr>
          <w:rFonts w:hint="default"/>
          <w:sz w:val="28"/>
          <w:szCs w:val="28"/>
        </w:rPr>
      </w:pPr>
      <w:r>
        <w:rPr>
          <w:sz w:val="28"/>
          <w:szCs w:val="28"/>
        </w:rPr>
        <w:t>本行股东及其控股股东、实际控制人、关联方、一致行动人、最终受益人等各方关系应当清晰透明。</w:t>
      </w:r>
    </w:p>
    <w:p w14:paraId="7AE6D542" w14:textId="77777777" w:rsidR="005430C2" w:rsidRDefault="00E33CC4">
      <w:pPr>
        <w:spacing w:line="360" w:lineRule="auto"/>
        <w:ind w:left="480"/>
        <w:jc w:val="both"/>
        <w:rPr>
          <w:rFonts w:hint="default"/>
          <w:sz w:val="28"/>
          <w:szCs w:val="28"/>
        </w:rPr>
      </w:pPr>
      <w:r>
        <w:rPr>
          <w:sz w:val="28"/>
          <w:szCs w:val="28"/>
        </w:rPr>
        <w:t>本行股东与其关联方、一致行动人的持股比例合并计算。</w:t>
      </w:r>
    </w:p>
    <w:p w14:paraId="049044E2" w14:textId="0A1C2AFC" w:rsidR="005430C2" w:rsidRDefault="00E33CC4">
      <w:pPr>
        <w:numPr>
          <w:ilvl w:val="0"/>
          <w:numId w:val="2"/>
        </w:numPr>
        <w:spacing w:line="360" w:lineRule="auto"/>
        <w:jc w:val="both"/>
        <w:rPr>
          <w:rFonts w:hint="default"/>
          <w:sz w:val="28"/>
          <w:szCs w:val="28"/>
        </w:rPr>
      </w:pPr>
      <w:r>
        <w:rPr>
          <w:sz w:val="28"/>
        </w:rPr>
        <w:t>本行股东应当严格按照法律法规和</w:t>
      </w:r>
      <w:r w:rsidR="00731505">
        <w:rPr>
          <w:sz w:val="28"/>
        </w:rPr>
        <w:t>国家金融监督管理总局</w:t>
      </w:r>
      <w:r>
        <w:rPr>
          <w:sz w:val="28"/>
        </w:rPr>
        <w:t>及其派出机构（以下简称“银行保险监督管理机构”）的规定履行出资义务。</w:t>
      </w:r>
    </w:p>
    <w:p w14:paraId="2DAF47FA" w14:textId="77777777" w:rsidR="005430C2" w:rsidRDefault="00E33CC4" w:rsidP="00A41355">
      <w:pPr>
        <w:spacing w:line="360" w:lineRule="auto"/>
        <w:ind w:leftChars="200" w:left="440" w:firstLineChars="200" w:firstLine="560"/>
        <w:jc w:val="both"/>
        <w:rPr>
          <w:rFonts w:hint="default"/>
          <w:sz w:val="28"/>
        </w:rPr>
      </w:pPr>
      <w:r>
        <w:rPr>
          <w:sz w:val="28"/>
          <w:szCs w:val="28"/>
        </w:rPr>
        <w:t>本行股东应当使用自有资金入股，且确保资金来源合法，不得以委托资金、债务资金等非自有资金入股，法律法规另有规定的除外。</w:t>
      </w:r>
    </w:p>
    <w:p w14:paraId="38690C4D" w14:textId="77777777" w:rsidR="005430C2" w:rsidRDefault="00E33CC4">
      <w:pPr>
        <w:numPr>
          <w:ilvl w:val="0"/>
          <w:numId w:val="2"/>
        </w:numPr>
        <w:spacing w:line="360" w:lineRule="auto"/>
        <w:jc w:val="both"/>
        <w:rPr>
          <w:rFonts w:hint="default"/>
          <w:sz w:val="28"/>
          <w:szCs w:val="28"/>
        </w:rPr>
      </w:pPr>
      <w:r>
        <w:rPr>
          <w:sz w:val="28"/>
          <w:szCs w:val="28"/>
        </w:rPr>
        <w:t>本行股东不得委托他人或接受他人委托持有本行</w:t>
      </w:r>
    </w:p>
    <w:p w14:paraId="3109AE94" w14:textId="77777777" w:rsidR="005430C2" w:rsidRDefault="00E33CC4" w:rsidP="00A41355">
      <w:pPr>
        <w:spacing w:line="360" w:lineRule="auto"/>
        <w:ind w:leftChars="200" w:left="440"/>
        <w:jc w:val="both"/>
        <w:rPr>
          <w:rFonts w:hint="default"/>
          <w:sz w:val="28"/>
          <w:szCs w:val="28"/>
        </w:rPr>
      </w:pPr>
      <w:r>
        <w:rPr>
          <w:sz w:val="28"/>
          <w:szCs w:val="28"/>
        </w:rPr>
        <w:t>股份。</w:t>
      </w:r>
    </w:p>
    <w:p w14:paraId="5B7B3DFA" w14:textId="77777777" w:rsidR="005430C2" w:rsidRDefault="00E33CC4" w:rsidP="00A41355">
      <w:pPr>
        <w:spacing w:line="360" w:lineRule="auto"/>
        <w:ind w:leftChars="200" w:left="440" w:firstLineChars="200" w:firstLine="560"/>
        <w:jc w:val="both"/>
        <w:rPr>
          <w:rFonts w:hint="default"/>
          <w:sz w:val="28"/>
          <w:szCs w:val="28"/>
        </w:rPr>
      </w:pPr>
      <w:r>
        <w:rPr>
          <w:sz w:val="28"/>
          <w:szCs w:val="28"/>
        </w:rPr>
        <w:t>本行主要股东应当逐层说明其股权结构直至实际控制人、最终受益人，以及其与其他股东的关联关系或者一致行动关系。</w:t>
      </w:r>
    </w:p>
    <w:p w14:paraId="22059456" w14:textId="77777777" w:rsidR="005430C2" w:rsidRDefault="00E33CC4">
      <w:pPr>
        <w:numPr>
          <w:ilvl w:val="0"/>
          <w:numId w:val="2"/>
        </w:numPr>
        <w:spacing w:line="360" w:lineRule="auto"/>
        <w:jc w:val="both"/>
        <w:rPr>
          <w:rFonts w:hint="default"/>
          <w:sz w:val="28"/>
          <w:szCs w:val="28"/>
        </w:rPr>
      </w:pPr>
      <w:r>
        <w:rPr>
          <w:sz w:val="28"/>
          <w:szCs w:val="28"/>
        </w:rPr>
        <w:t>本行股东通过非二级市场转让所持有的本行股份，应当告知受让方需符合法律法规和银行保险监督管理机构规定的条件。</w:t>
      </w:r>
    </w:p>
    <w:p w14:paraId="4B186C07" w14:textId="77777777" w:rsidR="005430C2" w:rsidRDefault="00E33CC4">
      <w:pPr>
        <w:numPr>
          <w:ilvl w:val="0"/>
          <w:numId w:val="2"/>
        </w:numPr>
        <w:spacing w:line="360" w:lineRule="auto"/>
        <w:jc w:val="both"/>
        <w:rPr>
          <w:rFonts w:hint="default"/>
          <w:sz w:val="28"/>
          <w:szCs w:val="28"/>
        </w:rPr>
      </w:pPr>
      <w:r>
        <w:rPr>
          <w:sz w:val="28"/>
          <w:szCs w:val="28"/>
        </w:rPr>
        <w:t>同一投资人及其关联方、一致行动人入股本行应当遵守银行保险监督管理机构规定的持股比例要求，且作为主要股东参股商业银行的数量不得超过2家，或控股商业银行的数量不</w:t>
      </w:r>
      <w:r>
        <w:rPr>
          <w:sz w:val="28"/>
          <w:szCs w:val="28"/>
        </w:rPr>
        <w:lastRenderedPageBreak/>
        <w:t>得超过1家，法律法规另有规定的除外。</w:t>
      </w:r>
    </w:p>
    <w:p w14:paraId="0FBF2C17" w14:textId="77777777" w:rsidR="005430C2" w:rsidRDefault="00E33CC4">
      <w:pPr>
        <w:numPr>
          <w:ilvl w:val="0"/>
          <w:numId w:val="2"/>
        </w:numPr>
        <w:spacing w:line="360" w:lineRule="auto"/>
        <w:jc w:val="both"/>
        <w:rPr>
          <w:rFonts w:hint="default"/>
          <w:sz w:val="28"/>
        </w:rPr>
      </w:pPr>
      <w:r>
        <w:rPr>
          <w:sz w:val="28"/>
        </w:rPr>
        <w:t>本行主要股东及其控股股东、实际控制人不得存在下列情形：</w:t>
      </w:r>
    </w:p>
    <w:p w14:paraId="7E4FE908" w14:textId="77777777" w:rsidR="005430C2" w:rsidRDefault="00E33CC4" w:rsidP="00A41355">
      <w:pPr>
        <w:spacing w:line="360" w:lineRule="auto"/>
        <w:ind w:leftChars="400" w:left="880"/>
        <w:jc w:val="both"/>
        <w:rPr>
          <w:rFonts w:hint="default"/>
          <w:sz w:val="28"/>
        </w:rPr>
      </w:pPr>
      <w:r>
        <w:rPr>
          <w:sz w:val="28"/>
        </w:rPr>
        <w:t>（一）被列为相关部门失信联合惩戒对象；</w:t>
      </w:r>
    </w:p>
    <w:p w14:paraId="5AABC454" w14:textId="77777777" w:rsidR="005430C2" w:rsidRDefault="00E33CC4" w:rsidP="00A41355">
      <w:pPr>
        <w:spacing w:line="360" w:lineRule="auto"/>
        <w:ind w:leftChars="400" w:left="880"/>
        <w:jc w:val="both"/>
        <w:rPr>
          <w:rFonts w:hint="default"/>
          <w:sz w:val="28"/>
        </w:rPr>
      </w:pPr>
      <w:r>
        <w:rPr>
          <w:sz w:val="28"/>
        </w:rPr>
        <w:t>（二）存在严重逃废银行债务行为；</w:t>
      </w:r>
    </w:p>
    <w:p w14:paraId="0A979E10" w14:textId="77777777" w:rsidR="005430C2" w:rsidRDefault="00E33CC4" w:rsidP="00A41355">
      <w:pPr>
        <w:spacing w:line="360" w:lineRule="auto"/>
        <w:ind w:leftChars="400" w:left="880"/>
        <w:jc w:val="both"/>
        <w:rPr>
          <w:rFonts w:hint="default"/>
          <w:sz w:val="28"/>
        </w:rPr>
      </w:pPr>
      <w:r>
        <w:rPr>
          <w:sz w:val="28"/>
        </w:rPr>
        <w:t>（三）提供虚假材料或者作不实声明；</w:t>
      </w:r>
    </w:p>
    <w:p w14:paraId="75979397" w14:textId="77777777" w:rsidR="005430C2" w:rsidRDefault="00E33CC4" w:rsidP="00A41355">
      <w:pPr>
        <w:spacing w:line="360" w:lineRule="auto"/>
        <w:ind w:leftChars="400" w:left="880"/>
        <w:jc w:val="both"/>
        <w:rPr>
          <w:rFonts w:hint="default"/>
          <w:sz w:val="28"/>
        </w:rPr>
      </w:pPr>
      <w:r>
        <w:rPr>
          <w:sz w:val="28"/>
        </w:rPr>
        <w:t>（四）对本行经营失败或重大违法违规行为负有重大责任；</w:t>
      </w:r>
    </w:p>
    <w:p w14:paraId="53060882" w14:textId="77777777" w:rsidR="005430C2" w:rsidRDefault="00E33CC4" w:rsidP="00A41355">
      <w:pPr>
        <w:spacing w:line="360" w:lineRule="auto"/>
        <w:ind w:leftChars="400" w:left="880"/>
        <w:jc w:val="both"/>
        <w:rPr>
          <w:rFonts w:hint="default"/>
          <w:sz w:val="28"/>
        </w:rPr>
      </w:pPr>
      <w:r>
        <w:rPr>
          <w:sz w:val="28"/>
        </w:rPr>
        <w:t>（五）拒绝或阻碍银行保险监督管理机构依法实施监管；</w:t>
      </w:r>
    </w:p>
    <w:p w14:paraId="5059E62D" w14:textId="23E03746" w:rsidR="006523A3" w:rsidRDefault="00E33CC4" w:rsidP="006523A3">
      <w:pPr>
        <w:spacing w:line="360" w:lineRule="auto"/>
        <w:ind w:leftChars="400" w:left="880"/>
        <w:jc w:val="both"/>
        <w:rPr>
          <w:rFonts w:hint="default"/>
          <w:sz w:val="28"/>
        </w:rPr>
      </w:pPr>
      <w:r>
        <w:rPr>
          <w:sz w:val="28"/>
        </w:rPr>
        <w:t>（六）因违法违规行为被金融监管部门或政府有关部门查处，造成恶劣影响；</w:t>
      </w:r>
    </w:p>
    <w:p w14:paraId="5D5E4EDD" w14:textId="77777777" w:rsidR="005430C2" w:rsidRDefault="00E33CC4" w:rsidP="006523A3">
      <w:pPr>
        <w:spacing w:line="360" w:lineRule="auto"/>
        <w:ind w:leftChars="400" w:left="880"/>
        <w:jc w:val="both"/>
        <w:rPr>
          <w:rFonts w:hint="default"/>
          <w:sz w:val="28"/>
        </w:rPr>
      </w:pPr>
      <w:r>
        <w:rPr>
          <w:sz w:val="28"/>
        </w:rPr>
        <w:t>（七）其他可能对本行经营管理产生不利影响的情形。</w:t>
      </w:r>
    </w:p>
    <w:p w14:paraId="06046701" w14:textId="77777777" w:rsidR="005430C2" w:rsidRDefault="00E33CC4">
      <w:pPr>
        <w:numPr>
          <w:ilvl w:val="0"/>
          <w:numId w:val="2"/>
        </w:numPr>
        <w:spacing w:line="360" w:lineRule="auto"/>
        <w:jc w:val="both"/>
        <w:rPr>
          <w:rFonts w:hint="default"/>
          <w:sz w:val="28"/>
        </w:rPr>
      </w:pPr>
      <w:r>
        <w:rPr>
          <w:sz w:val="28"/>
        </w:rPr>
        <w:t>投资人及其关联方、一致行动人单独或合计</w:t>
      </w:r>
      <w:proofErr w:type="gramStart"/>
      <w:r>
        <w:rPr>
          <w:sz w:val="28"/>
        </w:rPr>
        <w:t>拟首次</w:t>
      </w:r>
      <w:proofErr w:type="gramEnd"/>
      <w:r>
        <w:rPr>
          <w:sz w:val="28"/>
        </w:rPr>
        <w:t>持有或累计增持本行资本总额或股份总额百分之五以上的，应当事先</w:t>
      </w:r>
      <w:proofErr w:type="gramStart"/>
      <w:r>
        <w:rPr>
          <w:sz w:val="28"/>
        </w:rPr>
        <w:t>报银行</w:t>
      </w:r>
      <w:proofErr w:type="gramEnd"/>
      <w:r>
        <w:rPr>
          <w:sz w:val="28"/>
        </w:rPr>
        <w:t>保险监督管理机构核准。对通过境内外证券市场拟持有本行股份总额百分之五以上的行政许可批复，有效期为六个月。审批的具体要求和程序按照银行保险监督管理机构相关规定执行。</w:t>
      </w:r>
    </w:p>
    <w:p w14:paraId="71F0485C" w14:textId="77777777" w:rsidR="005430C2" w:rsidRDefault="00E33CC4" w:rsidP="00A41355">
      <w:pPr>
        <w:spacing w:line="360" w:lineRule="auto"/>
        <w:ind w:leftChars="200" w:left="440" w:firstLineChars="200" w:firstLine="560"/>
        <w:jc w:val="both"/>
        <w:rPr>
          <w:rFonts w:hint="default"/>
          <w:sz w:val="28"/>
          <w:szCs w:val="28"/>
        </w:rPr>
      </w:pPr>
      <w:r>
        <w:rPr>
          <w:sz w:val="28"/>
          <w:szCs w:val="28"/>
        </w:rPr>
        <w:t>投资人及其关联方、一致行动人单独或合计持有本行资本总额或股份总额百分之一以上、百分之五以下的，应当在取得相应股份后五个工作日内向本行报告，由本行在收到报告的五个工作日内向银行保险监督管理机构报告。报告的具体要求和程序按照银行保险监督管理机构相关规定执行。</w:t>
      </w:r>
    </w:p>
    <w:p w14:paraId="2A14D7B3" w14:textId="77777777" w:rsidR="005430C2" w:rsidRDefault="00E33CC4" w:rsidP="00A41355">
      <w:pPr>
        <w:numPr>
          <w:ilvl w:val="0"/>
          <w:numId w:val="2"/>
        </w:numPr>
        <w:tabs>
          <w:tab w:val="left" w:pos="1140"/>
        </w:tabs>
        <w:spacing w:line="360" w:lineRule="auto"/>
        <w:jc w:val="both"/>
        <w:rPr>
          <w:rFonts w:hint="default"/>
          <w:sz w:val="28"/>
        </w:rPr>
      </w:pPr>
      <w:proofErr w:type="gramStart"/>
      <w:r>
        <w:rPr>
          <w:sz w:val="28"/>
        </w:rPr>
        <w:lastRenderedPageBreak/>
        <w:t>应经但未经</w:t>
      </w:r>
      <w:proofErr w:type="gramEnd"/>
      <w:r>
        <w:rPr>
          <w:sz w:val="28"/>
        </w:rPr>
        <w:t>监管部门批准或未向监管部门报告的股东，不得行使股东大会召开请求权、表决权、提名权、提案权、处分权等权利。</w:t>
      </w:r>
    </w:p>
    <w:p w14:paraId="7CA3C59D" w14:textId="77777777" w:rsidR="005430C2" w:rsidRDefault="00E33CC4">
      <w:pPr>
        <w:numPr>
          <w:ilvl w:val="0"/>
          <w:numId w:val="2"/>
        </w:numPr>
        <w:spacing w:line="360" w:lineRule="auto"/>
        <w:jc w:val="both"/>
        <w:rPr>
          <w:rFonts w:hint="default"/>
          <w:sz w:val="28"/>
        </w:rPr>
      </w:pPr>
      <w:r>
        <w:rPr>
          <w:sz w:val="28"/>
        </w:rPr>
        <w:t>本行主要股东自取得本行股份之日起五年内不得转让所持有的本行股份。</w:t>
      </w:r>
    </w:p>
    <w:p w14:paraId="31E12534" w14:textId="77777777" w:rsidR="005430C2" w:rsidRDefault="00E33CC4" w:rsidP="00A41355">
      <w:pPr>
        <w:spacing w:line="360" w:lineRule="auto"/>
        <w:ind w:leftChars="200" w:left="440" w:firstLineChars="200" w:firstLine="560"/>
        <w:jc w:val="both"/>
        <w:rPr>
          <w:rFonts w:hint="default"/>
          <w:sz w:val="28"/>
          <w:szCs w:val="28"/>
        </w:rPr>
      </w:pPr>
      <w:r>
        <w:rPr>
          <w:sz w:val="28"/>
          <w:szCs w:val="28"/>
        </w:rPr>
        <w:t>经银行保险监督管理机构批准采取风险处置措施、银行保险监督管理机构责令转让、涉及司法强制执行或者在同一股东控制的不同主体之间转让本行股份等特殊情形除外。</w:t>
      </w:r>
    </w:p>
    <w:p w14:paraId="7A8E2CDA" w14:textId="72855225" w:rsidR="005430C2" w:rsidRPr="00F16B51" w:rsidRDefault="00E33CC4" w:rsidP="00F16B51">
      <w:pPr>
        <w:numPr>
          <w:ilvl w:val="0"/>
          <w:numId w:val="2"/>
        </w:numPr>
        <w:spacing w:line="360" w:lineRule="auto"/>
        <w:jc w:val="both"/>
        <w:rPr>
          <w:rFonts w:hint="default"/>
          <w:sz w:val="28"/>
          <w:szCs w:val="28"/>
        </w:rPr>
      </w:pPr>
      <w:r>
        <w:rPr>
          <w:sz w:val="28"/>
        </w:rPr>
        <w:t>本行主要股东应严格按照法律法规、监管规定及本行章程行使出资人权利，履行出资人义务，不得滥用股东权利干预或利用其影响力干预董事会、高级管理层根据本行章程享有的决策权和管理权，不得越过董事会和高级管理层直接干预本行经营管理，进行利益输送，或以其他方式损害存款人、本行以及其他股东的合法权益。</w:t>
      </w:r>
    </w:p>
    <w:p w14:paraId="18641E53" w14:textId="77777777" w:rsidR="001E7211" w:rsidRPr="001E7211" w:rsidRDefault="001E7211" w:rsidP="001E7211">
      <w:pPr>
        <w:numPr>
          <w:ilvl w:val="0"/>
          <w:numId w:val="2"/>
        </w:numPr>
        <w:jc w:val="both"/>
        <w:rPr>
          <w:rFonts w:hint="default"/>
          <w:sz w:val="28"/>
        </w:rPr>
      </w:pPr>
      <w:r w:rsidRPr="001E7211">
        <w:rPr>
          <w:sz w:val="28"/>
        </w:rPr>
        <w:t>本行主要股东应根据法律法规和监管规定如实</w:t>
      </w:r>
      <w:proofErr w:type="gramStart"/>
      <w:r w:rsidRPr="001E7211">
        <w:rPr>
          <w:sz w:val="28"/>
        </w:rPr>
        <w:t>作出</w:t>
      </w:r>
      <w:proofErr w:type="gramEnd"/>
      <w:r w:rsidRPr="001E7211">
        <w:rPr>
          <w:sz w:val="28"/>
        </w:rPr>
        <w:t>承诺，书面承诺遵守法律法规、监管规定和本行章程，并就入股本行的目的</w:t>
      </w:r>
      <w:proofErr w:type="gramStart"/>
      <w:r w:rsidRPr="001E7211">
        <w:rPr>
          <w:sz w:val="28"/>
        </w:rPr>
        <w:t>作出</w:t>
      </w:r>
      <w:proofErr w:type="gramEnd"/>
      <w:r w:rsidRPr="001E7211">
        <w:rPr>
          <w:sz w:val="28"/>
        </w:rPr>
        <w:t>说明，切实履行承诺，承担主要股东的责任和义务。主要股东如违反承诺的，本行将根据法律法规和监管规定对其采取相应的限制股东权利等措施。 </w:t>
      </w:r>
    </w:p>
    <w:p w14:paraId="3D7D3AD1" w14:textId="03BFDCC6" w:rsidR="005430C2" w:rsidRDefault="00E33CC4">
      <w:pPr>
        <w:numPr>
          <w:ilvl w:val="0"/>
          <w:numId w:val="2"/>
        </w:numPr>
        <w:spacing w:line="360" w:lineRule="auto"/>
        <w:jc w:val="both"/>
        <w:rPr>
          <w:rFonts w:hint="default"/>
          <w:sz w:val="28"/>
        </w:rPr>
      </w:pPr>
      <w:r>
        <w:rPr>
          <w:sz w:val="28"/>
        </w:rPr>
        <w:t>本行主要股东应当根据监管规定书面承诺在必要时向本行补充资本，并通过本行每年向银行保险监督管理机构报告资本补充能力。</w:t>
      </w:r>
    </w:p>
    <w:p w14:paraId="08462950" w14:textId="3881C3B1" w:rsidR="005430C2" w:rsidRDefault="00E33CC4">
      <w:pPr>
        <w:numPr>
          <w:ilvl w:val="0"/>
          <w:numId w:val="2"/>
        </w:numPr>
        <w:spacing w:line="360" w:lineRule="auto"/>
        <w:jc w:val="both"/>
        <w:rPr>
          <w:rFonts w:hint="default"/>
          <w:sz w:val="28"/>
        </w:rPr>
      </w:pPr>
      <w:r>
        <w:rPr>
          <w:sz w:val="28"/>
        </w:rPr>
        <w:lastRenderedPageBreak/>
        <w:t>本行主要股东应建立有效的风险隔离机制，防止风险在股东、本行以及其他关联机构之间的传染和转移。</w:t>
      </w:r>
    </w:p>
    <w:p w14:paraId="06AB9D2F" w14:textId="7FAD5ACF" w:rsidR="005430C2" w:rsidRDefault="00E33CC4">
      <w:pPr>
        <w:numPr>
          <w:ilvl w:val="0"/>
          <w:numId w:val="2"/>
        </w:numPr>
        <w:spacing w:line="360" w:lineRule="auto"/>
        <w:jc w:val="both"/>
        <w:rPr>
          <w:rFonts w:hint="default"/>
          <w:sz w:val="28"/>
        </w:rPr>
      </w:pPr>
      <w:r>
        <w:rPr>
          <w:sz w:val="28"/>
        </w:rPr>
        <w:t>本行主要股东应对其与本行和其他关联机构之间董事会成员、监事会成员和高级管理人员的交叉任职进行有效管理，防范利益冲突。</w:t>
      </w:r>
    </w:p>
    <w:p w14:paraId="00B9D39E" w14:textId="653D26F4" w:rsidR="005430C2" w:rsidRDefault="00E33CC4">
      <w:pPr>
        <w:numPr>
          <w:ilvl w:val="0"/>
          <w:numId w:val="2"/>
        </w:numPr>
        <w:spacing w:line="360" w:lineRule="auto"/>
        <w:jc w:val="both"/>
        <w:rPr>
          <w:rFonts w:hint="default"/>
          <w:sz w:val="28"/>
        </w:rPr>
      </w:pPr>
      <w:r>
        <w:rPr>
          <w:sz w:val="28"/>
        </w:rPr>
        <w:t>本行股东应当遵守法律法规和银行保险监督管理机</w:t>
      </w:r>
      <w:r>
        <w:rPr>
          <w:spacing w:val="-6"/>
          <w:sz w:val="28"/>
        </w:rPr>
        <w:t>构关于关联交易的相关规定，不得与本行进行不当的关联交易，不得</w:t>
      </w:r>
      <w:r>
        <w:rPr>
          <w:sz w:val="28"/>
        </w:rPr>
        <w:t>利用其对本行经营管理的影响力获取不正当利益。</w:t>
      </w:r>
    </w:p>
    <w:p w14:paraId="73F80912" w14:textId="2A5F76FE" w:rsidR="005430C2" w:rsidRDefault="004A2B18">
      <w:pPr>
        <w:numPr>
          <w:ilvl w:val="0"/>
          <w:numId w:val="2"/>
        </w:numPr>
        <w:spacing w:line="360" w:lineRule="auto"/>
        <w:jc w:val="both"/>
        <w:rPr>
          <w:rFonts w:hint="default"/>
          <w:sz w:val="28"/>
        </w:rPr>
      </w:pPr>
      <w:r>
        <w:rPr>
          <w:sz w:val="28"/>
        </w:rPr>
        <w:t xml:space="preserve"> </w:t>
      </w:r>
      <w:r w:rsidR="00E33CC4">
        <w:rPr>
          <w:sz w:val="28"/>
        </w:rPr>
        <w:t>本行股东可依法将其持有的本行股份出质。本行股东质押其持有的本行股份的，应当遵守相关法律法规和银行保险监督管理机构、证券监督管理机构关于商业银行、上市公司股权质押的相关规定，不得损害其他股东和本行的利益。</w:t>
      </w:r>
    </w:p>
    <w:p w14:paraId="0D80EBFB" w14:textId="0AC45E39" w:rsidR="005430C2" w:rsidRDefault="004A2B18">
      <w:pPr>
        <w:numPr>
          <w:ilvl w:val="0"/>
          <w:numId w:val="2"/>
        </w:numPr>
        <w:spacing w:line="360" w:lineRule="auto"/>
        <w:jc w:val="both"/>
        <w:rPr>
          <w:rFonts w:hint="default"/>
          <w:sz w:val="28"/>
        </w:rPr>
      </w:pPr>
      <w:r>
        <w:rPr>
          <w:sz w:val="28"/>
        </w:rPr>
        <w:t xml:space="preserve"> </w:t>
      </w:r>
      <w:r w:rsidR="00E33CC4">
        <w:rPr>
          <w:sz w:val="28"/>
        </w:rPr>
        <w:t>股东以本行股份出质为自己或他人担保的，应当严格遵守法律法规、监管规定和本行章程的要求，并事前告知本行董事会。</w:t>
      </w:r>
    </w:p>
    <w:p w14:paraId="25E9C58A" w14:textId="77777777" w:rsidR="005430C2" w:rsidRDefault="00E33CC4" w:rsidP="00A41355">
      <w:pPr>
        <w:numPr>
          <w:ilvl w:val="255"/>
          <w:numId w:val="0"/>
        </w:numPr>
        <w:spacing w:line="360" w:lineRule="auto"/>
        <w:ind w:leftChars="200" w:left="440" w:firstLineChars="200" w:firstLine="560"/>
        <w:jc w:val="both"/>
        <w:rPr>
          <w:rFonts w:hint="default"/>
          <w:sz w:val="28"/>
        </w:rPr>
      </w:pPr>
      <w:r>
        <w:rPr>
          <w:sz w:val="28"/>
        </w:rPr>
        <w:t>拥有本行董、监事席位的股东，或直接、间接、共同持有或控制本行2%以上股份或表决权的股东出质本行股份，事前须向本行董事会申请备案，说明出质的原因、股权数额、质押期限、质押权人等基本情况。凡董事会认定对本行股权稳定、公司治理、风险与关联交易控制等存在重大不利影响的，应不予备案。在董事会审议相关备案事项时，由拟出</w:t>
      </w:r>
      <w:proofErr w:type="gramStart"/>
      <w:r>
        <w:rPr>
          <w:sz w:val="28"/>
        </w:rPr>
        <w:t>质股东</w:t>
      </w:r>
      <w:proofErr w:type="gramEnd"/>
      <w:r>
        <w:rPr>
          <w:sz w:val="28"/>
        </w:rPr>
        <w:t>委派的董事应当回避。</w:t>
      </w:r>
    </w:p>
    <w:p w14:paraId="144C124E" w14:textId="2B64B049" w:rsidR="005430C2" w:rsidRDefault="004A2B18">
      <w:pPr>
        <w:numPr>
          <w:ilvl w:val="0"/>
          <w:numId w:val="2"/>
        </w:numPr>
        <w:spacing w:line="360" w:lineRule="auto"/>
        <w:jc w:val="both"/>
        <w:rPr>
          <w:rFonts w:hint="default"/>
          <w:sz w:val="28"/>
        </w:rPr>
      </w:pPr>
      <w:r>
        <w:rPr>
          <w:sz w:val="28"/>
        </w:rPr>
        <w:t xml:space="preserve"> </w:t>
      </w:r>
      <w:r w:rsidR="00E33CC4">
        <w:rPr>
          <w:sz w:val="28"/>
        </w:rPr>
        <w:t>股东在本行借款余额超过其持有经审计的本行</w:t>
      </w:r>
      <w:r w:rsidR="00E33CC4">
        <w:rPr>
          <w:sz w:val="28"/>
        </w:rPr>
        <w:lastRenderedPageBreak/>
        <w:t>上一年度股权净值的，不得将本行股权进行质押。</w:t>
      </w:r>
    </w:p>
    <w:p w14:paraId="456705A4" w14:textId="50CBBB55" w:rsidR="005430C2" w:rsidRDefault="004A2B18">
      <w:pPr>
        <w:numPr>
          <w:ilvl w:val="0"/>
          <w:numId w:val="2"/>
        </w:numPr>
        <w:spacing w:line="360" w:lineRule="auto"/>
        <w:jc w:val="both"/>
        <w:rPr>
          <w:rFonts w:hint="default"/>
          <w:sz w:val="28"/>
        </w:rPr>
      </w:pPr>
      <w:r>
        <w:rPr>
          <w:rFonts w:hint="default"/>
          <w:sz w:val="28"/>
        </w:rPr>
        <w:t xml:space="preserve"> </w:t>
      </w:r>
      <w:r w:rsidR="00E33CC4">
        <w:rPr>
          <w:sz w:val="28"/>
        </w:rPr>
        <w:t>股东应按照</w:t>
      </w:r>
      <w:r w:rsidR="00E33CC4">
        <w:rPr>
          <w:sz w:val="28"/>
          <w:szCs w:val="28"/>
        </w:rPr>
        <w:t>法律法规、监管规定</w:t>
      </w:r>
      <w:r w:rsidR="00E33CC4">
        <w:rPr>
          <w:sz w:val="28"/>
        </w:rPr>
        <w:t>在中国证券登记结算有限责任公司上海分公司（以下简称“中证登公司”）办理质押登记手续，股权质押自登记之日起生效。</w:t>
      </w:r>
    </w:p>
    <w:p w14:paraId="1C502D1C" w14:textId="77777777" w:rsidR="005430C2" w:rsidRDefault="00E33CC4" w:rsidP="00A41355">
      <w:pPr>
        <w:spacing w:line="360" w:lineRule="auto"/>
        <w:ind w:leftChars="200" w:left="440" w:firstLineChars="200" w:firstLine="560"/>
        <w:jc w:val="both"/>
        <w:rPr>
          <w:rFonts w:hint="default"/>
          <w:sz w:val="28"/>
          <w:szCs w:val="28"/>
        </w:rPr>
      </w:pPr>
      <w:r>
        <w:rPr>
          <w:sz w:val="28"/>
          <w:szCs w:val="28"/>
        </w:rPr>
        <w:t>股东完成本行股权质押登记后，应配合本行风险管理和信息披露需要，及时向本行提供涉及质押股份的相关信息。其中持股5%以上主要股东的股份被质押时，该股东应当在该事实发生之日起2日内通知本行，并由本行按上海证券交易所有关股东股份质押事项的披露要求予以公告。</w:t>
      </w:r>
    </w:p>
    <w:p w14:paraId="4ADF5E6B" w14:textId="32DE8B6A" w:rsidR="005430C2" w:rsidRDefault="004A2B18">
      <w:pPr>
        <w:numPr>
          <w:ilvl w:val="0"/>
          <w:numId w:val="2"/>
        </w:numPr>
        <w:spacing w:line="360" w:lineRule="auto"/>
        <w:jc w:val="both"/>
        <w:rPr>
          <w:rFonts w:hint="default"/>
          <w:sz w:val="28"/>
        </w:rPr>
      </w:pPr>
      <w:r>
        <w:rPr>
          <w:sz w:val="28"/>
        </w:rPr>
        <w:t xml:space="preserve"> </w:t>
      </w:r>
      <w:r w:rsidR="00E33CC4">
        <w:rPr>
          <w:sz w:val="28"/>
        </w:rPr>
        <w:t>金融产品可以持有本行股份，但单一投资人、发行人或管理人及其实际控制人、关联方、一致行动人控制的金融产品持有本行股份合计不得超过本行股份总额的百分之五。</w:t>
      </w:r>
    </w:p>
    <w:p w14:paraId="76360124" w14:textId="77777777" w:rsidR="005430C2" w:rsidRDefault="00E33CC4" w:rsidP="00A41355">
      <w:pPr>
        <w:spacing w:line="360" w:lineRule="auto"/>
        <w:ind w:leftChars="200" w:left="440" w:firstLineChars="200" w:firstLine="560"/>
        <w:jc w:val="both"/>
        <w:rPr>
          <w:rFonts w:hint="default"/>
          <w:sz w:val="28"/>
          <w:szCs w:val="28"/>
        </w:rPr>
      </w:pPr>
      <w:r>
        <w:rPr>
          <w:sz w:val="28"/>
          <w:szCs w:val="28"/>
        </w:rPr>
        <w:t>本行主要股东不得以发行、管理或通过其他手段控制的金融产品持有本行股份。</w:t>
      </w:r>
    </w:p>
    <w:p w14:paraId="10D6ACDB" w14:textId="1E972BB0" w:rsidR="005430C2" w:rsidRDefault="004A2B18">
      <w:pPr>
        <w:numPr>
          <w:ilvl w:val="0"/>
          <w:numId w:val="2"/>
        </w:numPr>
        <w:spacing w:line="360" w:lineRule="auto"/>
        <w:jc w:val="both"/>
        <w:rPr>
          <w:rFonts w:hint="default"/>
          <w:sz w:val="28"/>
        </w:rPr>
      </w:pPr>
      <w:r>
        <w:rPr>
          <w:sz w:val="28"/>
        </w:rPr>
        <w:t xml:space="preserve"> </w:t>
      </w:r>
      <w:r w:rsidR="00E33CC4">
        <w:rPr>
          <w:sz w:val="28"/>
        </w:rPr>
        <w:t>本行发生重大风险事件或重大违法违规行为，被银行保险监督管理机构采取风险处置措施或接管等措施的，本行股东应当积极配合银行保险监督管理机构开展风险处置等工作。</w:t>
      </w:r>
    </w:p>
    <w:p w14:paraId="16B1FAE5" w14:textId="2873D209" w:rsidR="005430C2" w:rsidRDefault="004A2B18">
      <w:pPr>
        <w:numPr>
          <w:ilvl w:val="0"/>
          <w:numId w:val="2"/>
        </w:numPr>
        <w:spacing w:line="360" w:lineRule="auto"/>
        <w:jc w:val="both"/>
        <w:rPr>
          <w:rFonts w:hint="default"/>
          <w:sz w:val="28"/>
        </w:rPr>
      </w:pPr>
      <w:r>
        <w:rPr>
          <w:rFonts w:hint="default"/>
          <w:sz w:val="28"/>
          <w:szCs w:val="28"/>
        </w:rPr>
        <w:t xml:space="preserve"> </w:t>
      </w:r>
      <w:r w:rsidR="00E33CC4">
        <w:rPr>
          <w:sz w:val="28"/>
          <w:szCs w:val="28"/>
        </w:rPr>
        <w:t>本行大股东还应当遵守《银行保险机构大股东行为监管办法（试行）》对于大股东持股行为、治理行为、交易行为及责任义务的要求。</w:t>
      </w:r>
    </w:p>
    <w:p w14:paraId="106F9827" w14:textId="7E4D679A" w:rsidR="005430C2" w:rsidRDefault="004A2B18">
      <w:pPr>
        <w:numPr>
          <w:ilvl w:val="0"/>
          <w:numId w:val="2"/>
        </w:numPr>
        <w:spacing w:line="360" w:lineRule="auto"/>
        <w:jc w:val="both"/>
        <w:rPr>
          <w:rFonts w:hint="default"/>
          <w:sz w:val="28"/>
          <w:szCs w:val="28"/>
        </w:rPr>
      </w:pPr>
      <w:r>
        <w:rPr>
          <w:rFonts w:hint="default"/>
          <w:sz w:val="28"/>
          <w:szCs w:val="28"/>
        </w:rPr>
        <w:t xml:space="preserve"> </w:t>
      </w:r>
      <w:r w:rsidR="00E33CC4">
        <w:rPr>
          <w:rFonts w:hint="default"/>
          <w:sz w:val="28"/>
          <w:szCs w:val="28"/>
        </w:rPr>
        <w:t>对于</w:t>
      </w:r>
      <w:r w:rsidR="00E33CC4" w:rsidRPr="00A41355">
        <w:rPr>
          <w:sz w:val="28"/>
          <w:szCs w:val="28"/>
        </w:rPr>
        <w:t>存在虚假陈述、滥用股东权利或其他损害本行利益行为的股东，本行有权依据银行保险监督管理机构的要求，</w:t>
      </w:r>
      <w:r w:rsidR="00E33CC4" w:rsidRPr="00A41355">
        <w:rPr>
          <w:sz w:val="28"/>
          <w:szCs w:val="28"/>
        </w:rPr>
        <w:lastRenderedPageBreak/>
        <w:t>限制或禁止其与本行开展关联交易，限制其持有本行股份的限额、股权质押比例等，并可限制其股东大会召开请求权、表决权、提名权、提案权、处分权等权利。</w:t>
      </w:r>
    </w:p>
    <w:p w14:paraId="242CC9CA" w14:textId="77777777" w:rsidR="005430C2" w:rsidRDefault="005430C2">
      <w:pPr>
        <w:pStyle w:val="a4"/>
        <w:rPr>
          <w:rFonts w:hint="default"/>
        </w:rPr>
      </w:pPr>
    </w:p>
    <w:p w14:paraId="65461802" w14:textId="1ABBA911" w:rsidR="005430C2" w:rsidRDefault="00E33CC4">
      <w:pPr>
        <w:tabs>
          <w:tab w:val="left" w:pos="1920"/>
        </w:tabs>
        <w:spacing w:line="360" w:lineRule="auto"/>
        <w:ind w:left="480"/>
        <w:jc w:val="center"/>
        <w:rPr>
          <w:rFonts w:hint="default"/>
          <w:sz w:val="28"/>
        </w:rPr>
      </w:pPr>
      <w:r>
        <w:rPr>
          <w:b/>
          <w:spacing w:val="-1"/>
          <w:sz w:val="28"/>
        </w:rPr>
        <w:t xml:space="preserve">第三章 </w:t>
      </w:r>
      <w:r>
        <w:rPr>
          <w:rFonts w:hint="default"/>
          <w:b/>
          <w:spacing w:val="-1"/>
          <w:sz w:val="28"/>
        </w:rPr>
        <w:t>银行职责</w:t>
      </w:r>
    </w:p>
    <w:p w14:paraId="0F56A674" w14:textId="7A8C71F5" w:rsidR="005430C2" w:rsidRDefault="004A2B18">
      <w:pPr>
        <w:numPr>
          <w:ilvl w:val="0"/>
          <w:numId w:val="2"/>
        </w:numPr>
        <w:spacing w:line="360" w:lineRule="auto"/>
        <w:jc w:val="both"/>
        <w:rPr>
          <w:rFonts w:hint="default"/>
          <w:sz w:val="28"/>
        </w:rPr>
      </w:pPr>
      <w:r>
        <w:rPr>
          <w:sz w:val="28"/>
        </w:rPr>
        <w:t xml:space="preserve"> </w:t>
      </w:r>
      <w:r w:rsidR="00E33CC4">
        <w:rPr>
          <w:sz w:val="28"/>
        </w:rPr>
        <w:t>本行应当根据本办法，做好股权信息登记、股东资质审查、关联交易管理、股权质押管理</w:t>
      </w:r>
      <w:r w:rsidR="00E33CC4">
        <w:rPr>
          <w:rFonts w:hint="default"/>
          <w:sz w:val="28"/>
        </w:rPr>
        <w:t>、</w:t>
      </w:r>
      <w:r w:rsidR="00E33CC4">
        <w:rPr>
          <w:sz w:val="28"/>
        </w:rPr>
        <w:t>信息披露和股权数据治理等股权管理工作。</w:t>
      </w:r>
    </w:p>
    <w:p w14:paraId="4A61AF16" w14:textId="2C51BBE1" w:rsidR="005430C2" w:rsidRDefault="00E33CC4" w:rsidP="00A41355">
      <w:pPr>
        <w:tabs>
          <w:tab w:val="left" w:pos="1920"/>
        </w:tabs>
        <w:spacing w:line="360" w:lineRule="auto"/>
        <w:ind w:leftChars="200" w:left="440" w:firstLineChars="200" w:firstLine="560"/>
        <w:jc w:val="both"/>
        <w:rPr>
          <w:rFonts w:hint="default"/>
          <w:sz w:val="28"/>
        </w:rPr>
      </w:pPr>
      <w:r>
        <w:rPr>
          <w:sz w:val="28"/>
        </w:rPr>
        <w:t>本行应当加强与股东及投资者的沟通，并负责与股权事务相关的行政许可申请、股东信息备案、相关事项报告及资料报送等工作。</w:t>
      </w:r>
    </w:p>
    <w:p w14:paraId="2086C007" w14:textId="0D5B591B" w:rsidR="005430C2" w:rsidRDefault="00E33CC4">
      <w:pPr>
        <w:numPr>
          <w:ilvl w:val="0"/>
          <w:numId w:val="2"/>
        </w:numPr>
        <w:spacing w:line="360" w:lineRule="auto"/>
        <w:jc w:val="both"/>
        <w:rPr>
          <w:rFonts w:hint="default"/>
          <w:sz w:val="28"/>
        </w:rPr>
      </w:pPr>
      <w:r>
        <w:rPr>
          <w:sz w:val="28"/>
        </w:rPr>
        <w:t>本行董事会负责完善股权管理组织架构和制度体系，审批或授权审批股权数据治理相关的重大事项，督促高级管理层提升股权数据治理有效性。本行董事会应当勤勉尽责，承担股权事务管理及股权数据治理的最终责任。本行董事长是本行股权事务的第一责任人。本行董事会秘书协助董事长工作，是处理股权事务的直接责任人。</w:t>
      </w:r>
    </w:p>
    <w:p w14:paraId="5C228AE3" w14:textId="78FCBD4F" w:rsidR="005430C2" w:rsidRDefault="004A2B18" w:rsidP="00067C44">
      <w:pPr>
        <w:numPr>
          <w:ilvl w:val="0"/>
          <w:numId w:val="2"/>
        </w:numPr>
        <w:spacing w:line="360" w:lineRule="auto"/>
        <w:jc w:val="both"/>
        <w:rPr>
          <w:rFonts w:hint="default"/>
          <w:sz w:val="28"/>
        </w:rPr>
      </w:pPr>
      <w:r>
        <w:rPr>
          <w:sz w:val="28"/>
        </w:rPr>
        <w:t xml:space="preserve"> </w:t>
      </w:r>
      <w:r w:rsidR="00E33CC4">
        <w:rPr>
          <w:sz w:val="28"/>
        </w:rPr>
        <w:t xml:space="preserve">本行监事会负责对董事会和高级管理层在股权管理的履职尽责情况进行监督。 </w:t>
      </w:r>
    </w:p>
    <w:p w14:paraId="3CE58414" w14:textId="12F782E7" w:rsidR="005430C2" w:rsidRDefault="004A2B18" w:rsidP="00067C44">
      <w:pPr>
        <w:numPr>
          <w:ilvl w:val="0"/>
          <w:numId w:val="2"/>
        </w:numPr>
        <w:spacing w:line="360" w:lineRule="auto"/>
        <w:jc w:val="both"/>
        <w:rPr>
          <w:rFonts w:hint="default"/>
          <w:sz w:val="28"/>
        </w:rPr>
      </w:pPr>
      <w:r>
        <w:rPr>
          <w:rFonts w:hint="default"/>
          <w:sz w:val="28"/>
        </w:rPr>
        <w:t xml:space="preserve"> </w:t>
      </w:r>
      <w:r w:rsidR="00E33CC4">
        <w:rPr>
          <w:sz w:val="28"/>
        </w:rPr>
        <w:t>本行高级管理</w:t>
      </w:r>
      <w:proofErr w:type="gramStart"/>
      <w:r w:rsidR="00E33CC4">
        <w:rPr>
          <w:sz w:val="28"/>
        </w:rPr>
        <w:t>层负责</w:t>
      </w:r>
      <w:proofErr w:type="gramEnd"/>
      <w:r w:rsidR="00E33CC4">
        <w:rPr>
          <w:sz w:val="28"/>
        </w:rPr>
        <w:t>股权管理的具体执行，统筹各部门协调配合，建立健全股权管理和股权数据治理的日常管理、风险监控、数据管控等机制。</w:t>
      </w:r>
    </w:p>
    <w:p w14:paraId="4C08C1DD" w14:textId="0A155E33" w:rsidR="005430C2" w:rsidRPr="001E7ED4" w:rsidRDefault="004A2B18" w:rsidP="00D02B87">
      <w:pPr>
        <w:numPr>
          <w:ilvl w:val="0"/>
          <w:numId w:val="2"/>
        </w:numPr>
        <w:spacing w:line="360" w:lineRule="auto"/>
        <w:jc w:val="both"/>
        <w:rPr>
          <w:rFonts w:hint="default"/>
          <w:sz w:val="28"/>
        </w:rPr>
      </w:pPr>
      <w:r>
        <w:rPr>
          <w:rFonts w:hint="default"/>
          <w:sz w:val="28"/>
        </w:rPr>
        <w:lastRenderedPageBreak/>
        <w:t xml:space="preserve"> </w:t>
      </w:r>
      <w:r w:rsidR="00E33CC4">
        <w:rPr>
          <w:sz w:val="28"/>
        </w:rPr>
        <w:t>本行董事会办公室是股权管理具体事务的牵头管理部门，负责股份持有人的确权、审批、证券账户登记等工作；对送交的文件资料是否符合法律法规和监管规定进行审核，履行相应的权属确认审批程序，并可要求变更方补正资料；依据最终审批结果办理股权变更登记手续，编制持有人账户信息登记表，向中证登公司申请办理登记；</w:t>
      </w:r>
      <w:r w:rsidR="001E7ED4">
        <w:rPr>
          <w:sz w:val="28"/>
        </w:rPr>
        <w:t>承担本行股权质押信息的收集、整理和报送等日常工作</w:t>
      </w:r>
      <w:r w:rsidR="00E33CC4" w:rsidRPr="001E7ED4">
        <w:rPr>
          <w:sz w:val="28"/>
        </w:rPr>
        <w:t>。</w:t>
      </w:r>
    </w:p>
    <w:p w14:paraId="152056B7" w14:textId="1EF1EFBF" w:rsidR="005430C2" w:rsidRDefault="004A2B18" w:rsidP="00D02B87">
      <w:pPr>
        <w:pStyle w:val="aa"/>
        <w:numPr>
          <w:ilvl w:val="0"/>
          <w:numId w:val="2"/>
        </w:numPr>
        <w:spacing w:line="360" w:lineRule="auto"/>
        <w:ind w:firstLineChars="0"/>
        <w:jc w:val="both"/>
        <w:rPr>
          <w:rFonts w:hint="default"/>
          <w:sz w:val="28"/>
        </w:rPr>
      </w:pPr>
      <w:r>
        <w:rPr>
          <w:rFonts w:hint="default"/>
          <w:sz w:val="28"/>
        </w:rPr>
        <w:t xml:space="preserve"> </w:t>
      </w:r>
      <w:r w:rsidR="00B65573">
        <w:rPr>
          <w:sz w:val="28"/>
        </w:rPr>
        <w:t>本行</w:t>
      </w:r>
      <w:r w:rsidR="00E33CC4">
        <w:rPr>
          <w:sz w:val="28"/>
        </w:rPr>
        <w:t>授信管理部负责</w:t>
      </w:r>
      <w:r w:rsidR="00F16B51" w:rsidRPr="00F16B51">
        <w:rPr>
          <w:sz w:val="28"/>
        </w:rPr>
        <w:t>股东及其所在集团的授信限额管控</w:t>
      </w:r>
      <w:r w:rsidR="00F16B51">
        <w:rPr>
          <w:sz w:val="28"/>
        </w:rPr>
        <w:t>。</w:t>
      </w:r>
    </w:p>
    <w:p w14:paraId="7A0B654C" w14:textId="0BFF1008" w:rsidR="005430C2" w:rsidRDefault="00E33CC4" w:rsidP="00D02B87">
      <w:pPr>
        <w:numPr>
          <w:ilvl w:val="0"/>
          <w:numId w:val="2"/>
        </w:numPr>
        <w:spacing w:line="360" w:lineRule="auto"/>
        <w:jc w:val="both"/>
        <w:rPr>
          <w:rFonts w:hint="default"/>
          <w:sz w:val="28"/>
        </w:rPr>
      </w:pPr>
      <w:r>
        <w:rPr>
          <w:sz w:val="28"/>
        </w:rPr>
        <w:t>本行股份已根据监管要求全部登记于中证登公司。对已确认证券账户持有人的股份，其股份登记、股份质押、股份变更及权益分派等事项均遵循中证登公司相关规定。</w:t>
      </w:r>
    </w:p>
    <w:p w14:paraId="2239FD83" w14:textId="77777777" w:rsidR="005430C2" w:rsidRDefault="00E33CC4" w:rsidP="00067C44">
      <w:pPr>
        <w:numPr>
          <w:ilvl w:val="255"/>
          <w:numId w:val="0"/>
        </w:numPr>
        <w:spacing w:line="360" w:lineRule="auto"/>
        <w:ind w:leftChars="200" w:left="440" w:firstLineChars="200" w:firstLine="560"/>
        <w:jc w:val="both"/>
        <w:rPr>
          <w:rFonts w:hint="default"/>
          <w:sz w:val="28"/>
        </w:rPr>
      </w:pPr>
      <w:r>
        <w:rPr>
          <w:sz w:val="28"/>
        </w:rPr>
        <w:t>对未确认证券账户持有人的股份，本行已在中证登公司开立“厦门银行股份有限公司未确认持有人证券专用账户”进行登记，该账户下登记股份由本行统一管理，包括确认持有人、向中证登公司办理持有人证券账户登记、完成持有人确认</w:t>
      </w:r>
      <w:proofErr w:type="gramStart"/>
      <w:r>
        <w:rPr>
          <w:sz w:val="28"/>
        </w:rPr>
        <w:t>前相关</w:t>
      </w:r>
      <w:proofErr w:type="gramEnd"/>
      <w:r>
        <w:rPr>
          <w:sz w:val="28"/>
        </w:rPr>
        <w:t>股份未分配现金股利的拨付以及相关股份的司法协助等，相关持有人应配合本行完成上述工作。</w:t>
      </w:r>
    </w:p>
    <w:p w14:paraId="25BF4975" w14:textId="28917EE4" w:rsidR="005430C2" w:rsidRDefault="004A2B18">
      <w:pPr>
        <w:numPr>
          <w:ilvl w:val="0"/>
          <w:numId w:val="2"/>
        </w:numPr>
        <w:spacing w:line="360" w:lineRule="auto"/>
        <w:jc w:val="both"/>
        <w:rPr>
          <w:rFonts w:hint="default"/>
          <w:sz w:val="28"/>
        </w:rPr>
      </w:pPr>
      <w:r>
        <w:rPr>
          <w:sz w:val="28"/>
        </w:rPr>
        <w:t xml:space="preserve"> </w:t>
      </w:r>
      <w:r w:rsidR="00E33CC4">
        <w:rPr>
          <w:sz w:val="28"/>
        </w:rPr>
        <w:t>本行应按照便利股东、统一标准、归属管理、权责明晰的原则，对未确认证券账户持有人的股份开展确认、登记以及股利补发等工作，以保护股东和本行的合法权益。</w:t>
      </w:r>
    </w:p>
    <w:p w14:paraId="358EB1AA" w14:textId="70BDB96E" w:rsidR="005430C2" w:rsidRDefault="004A2B18">
      <w:pPr>
        <w:numPr>
          <w:ilvl w:val="0"/>
          <w:numId w:val="2"/>
        </w:numPr>
        <w:spacing w:line="360" w:lineRule="auto"/>
        <w:jc w:val="both"/>
        <w:rPr>
          <w:rFonts w:hint="default"/>
          <w:sz w:val="28"/>
        </w:rPr>
      </w:pPr>
      <w:r>
        <w:rPr>
          <w:rFonts w:hint="default"/>
          <w:sz w:val="28"/>
        </w:rPr>
        <w:t xml:space="preserve"> </w:t>
      </w:r>
      <w:r w:rsidR="00E33CC4">
        <w:rPr>
          <w:sz w:val="28"/>
        </w:rPr>
        <w:t>本行应妥善保管确认持有人身份的相关资料。在</w:t>
      </w:r>
      <w:r w:rsidR="00E33CC4">
        <w:rPr>
          <w:sz w:val="28"/>
        </w:rPr>
        <w:lastRenderedPageBreak/>
        <w:t>相关股份登记完成后，本行计划财务部应配合及时完成持有人确认</w:t>
      </w:r>
      <w:proofErr w:type="gramStart"/>
      <w:r w:rsidR="00E33CC4">
        <w:rPr>
          <w:sz w:val="28"/>
        </w:rPr>
        <w:t>前相关</w:t>
      </w:r>
      <w:proofErr w:type="gramEnd"/>
      <w:r w:rsidR="00E33CC4">
        <w:rPr>
          <w:sz w:val="28"/>
        </w:rPr>
        <w:t>股份未分配股利的核算及拨付事宜。</w:t>
      </w:r>
    </w:p>
    <w:p w14:paraId="3E42A086" w14:textId="77777777" w:rsidR="005430C2" w:rsidRDefault="00E33CC4">
      <w:pPr>
        <w:numPr>
          <w:ilvl w:val="0"/>
          <w:numId w:val="2"/>
        </w:numPr>
        <w:spacing w:line="360" w:lineRule="auto"/>
        <w:jc w:val="both"/>
        <w:rPr>
          <w:rFonts w:hint="default"/>
          <w:sz w:val="28"/>
        </w:rPr>
      </w:pPr>
      <w:r>
        <w:rPr>
          <w:sz w:val="28"/>
        </w:rPr>
        <w:t>本行应当加强对股东资质的审查，应对主要股东及其控股股东、实际控制人、关联方、一致行动人、最终受益人信息进行核实并掌握其变动情况，就股东对本行经营管理的影响进行判断，依法及时、准确、完整地报告或披露相关信息。</w:t>
      </w:r>
    </w:p>
    <w:p w14:paraId="2D740A16" w14:textId="397FB18A" w:rsidR="006C5708" w:rsidRDefault="004A2B18" w:rsidP="006C5708">
      <w:pPr>
        <w:numPr>
          <w:ilvl w:val="0"/>
          <w:numId w:val="2"/>
        </w:numPr>
        <w:spacing w:line="360" w:lineRule="auto"/>
        <w:jc w:val="both"/>
        <w:rPr>
          <w:rFonts w:hint="default"/>
          <w:sz w:val="28"/>
          <w:szCs w:val="28"/>
        </w:rPr>
      </w:pPr>
      <w:r>
        <w:rPr>
          <w:sz w:val="28"/>
        </w:rPr>
        <w:t xml:space="preserve"> </w:t>
      </w:r>
      <w:r w:rsidR="00E33CC4">
        <w:rPr>
          <w:sz w:val="28"/>
        </w:rPr>
        <w:t>本行董事会应当至少每年对本行主要股东资质情况、履行承诺事项情况、落实本行章程或协议条款情况以及遵守法律法规、监管要求情况进行评估，并及时将评估报告报送银行保险监督管理机构。</w:t>
      </w:r>
    </w:p>
    <w:p w14:paraId="4996301D" w14:textId="1C070F3B" w:rsidR="005430C2" w:rsidRPr="006C5708" w:rsidRDefault="00E33CC4" w:rsidP="006C5708">
      <w:pPr>
        <w:tabs>
          <w:tab w:val="left" w:pos="2290"/>
        </w:tabs>
        <w:spacing w:line="360" w:lineRule="auto"/>
        <w:ind w:left="370" w:firstLineChars="200" w:firstLine="560"/>
        <w:jc w:val="both"/>
        <w:rPr>
          <w:rFonts w:hint="default"/>
          <w:sz w:val="28"/>
          <w:szCs w:val="28"/>
        </w:rPr>
      </w:pPr>
      <w:r w:rsidRPr="006C5708">
        <w:rPr>
          <w:sz w:val="28"/>
        </w:rPr>
        <w:t>董事会应至少每年一次，就大股东资质情况、财务状况、所持股权情况、上一年度关联交易情况、行使股东权利情况、履行责任义务和承诺情况、落实公司章程和协议条款情况、遵守法律法规和监管规定情况进行评估，并在股东大会上或通过书面文件进行通报，同时抄报银行保险监督管理机构。</w:t>
      </w:r>
    </w:p>
    <w:p w14:paraId="7456233C" w14:textId="77777777" w:rsidR="005430C2" w:rsidRDefault="00E33CC4">
      <w:pPr>
        <w:numPr>
          <w:ilvl w:val="0"/>
          <w:numId w:val="2"/>
        </w:numPr>
        <w:spacing w:line="360" w:lineRule="auto"/>
        <w:jc w:val="both"/>
        <w:rPr>
          <w:rFonts w:hint="default"/>
          <w:sz w:val="28"/>
        </w:rPr>
      </w:pPr>
      <w:r>
        <w:rPr>
          <w:sz w:val="28"/>
        </w:rPr>
        <w:t xml:space="preserve"> 主要股东在本行授信逾期的，应当限制其在股东大会的表决权，并限制其提名或派出的董事在董事会的表决权。</w:t>
      </w:r>
    </w:p>
    <w:p w14:paraId="2792BBBF" w14:textId="77777777" w:rsidR="005430C2" w:rsidRDefault="00E33CC4">
      <w:pPr>
        <w:numPr>
          <w:ilvl w:val="0"/>
          <w:numId w:val="2"/>
        </w:numPr>
        <w:spacing w:line="360" w:lineRule="auto"/>
        <w:jc w:val="both"/>
        <w:rPr>
          <w:rFonts w:hint="default"/>
          <w:sz w:val="28"/>
        </w:rPr>
      </w:pPr>
      <w:r>
        <w:rPr>
          <w:sz w:val="28"/>
        </w:rPr>
        <w:t xml:space="preserve"> 本行应当加强股权质押管理，本行不接受本行的股票作为质押权的标的。</w:t>
      </w:r>
    </w:p>
    <w:p w14:paraId="0769C3E8" w14:textId="70DBF8C0" w:rsidR="005430C2" w:rsidRDefault="004A2B18">
      <w:pPr>
        <w:numPr>
          <w:ilvl w:val="0"/>
          <w:numId w:val="2"/>
        </w:numPr>
        <w:spacing w:line="360" w:lineRule="auto"/>
        <w:jc w:val="both"/>
        <w:rPr>
          <w:rFonts w:hint="default"/>
          <w:sz w:val="28"/>
        </w:rPr>
      </w:pPr>
      <w:r>
        <w:rPr>
          <w:sz w:val="28"/>
        </w:rPr>
        <w:t xml:space="preserve"> </w:t>
      </w:r>
      <w:r w:rsidR="00E33CC4">
        <w:rPr>
          <w:sz w:val="28"/>
        </w:rPr>
        <w:t>股东质押本行股权数量达到或超过其持有的本行股权的50%时，应当对其在股东大会和派出董事在董事会上的表决权进行限制。</w:t>
      </w:r>
    </w:p>
    <w:p w14:paraId="7F8D60BC" w14:textId="77777777" w:rsidR="005430C2" w:rsidRDefault="00E33CC4">
      <w:pPr>
        <w:numPr>
          <w:ilvl w:val="0"/>
          <w:numId w:val="2"/>
        </w:numPr>
        <w:spacing w:line="360" w:lineRule="auto"/>
        <w:jc w:val="both"/>
        <w:rPr>
          <w:rFonts w:hint="default"/>
          <w:sz w:val="28"/>
        </w:rPr>
      </w:pPr>
      <w:r>
        <w:rPr>
          <w:sz w:val="28"/>
        </w:rPr>
        <w:lastRenderedPageBreak/>
        <w:t xml:space="preserve"> 本行应当加强关联交易管理，准确识别关联方，严格落实关联交易审批制度和信息披露制度，及时向银行保险监督管理机构报告关联交易情况。</w:t>
      </w:r>
    </w:p>
    <w:p w14:paraId="6DC51B1C" w14:textId="77777777" w:rsidR="005430C2" w:rsidRDefault="00E33CC4" w:rsidP="00A41355">
      <w:pPr>
        <w:numPr>
          <w:ilvl w:val="255"/>
          <w:numId w:val="0"/>
        </w:numPr>
        <w:spacing w:line="360" w:lineRule="auto"/>
        <w:ind w:leftChars="200" w:left="440" w:firstLineChars="200" w:firstLine="560"/>
        <w:jc w:val="both"/>
        <w:rPr>
          <w:rFonts w:hint="default"/>
          <w:sz w:val="28"/>
        </w:rPr>
      </w:pPr>
      <w:r>
        <w:rPr>
          <w:sz w:val="28"/>
        </w:rPr>
        <w:t>本行应当按照穿透原则将本行主要股东及其控股股东、实际控制人、关联方、一致行动人、最终受益人作为自身的关联方进行管理。</w:t>
      </w:r>
    </w:p>
    <w:p w14:paraId="3DADE31B" w14:textId="77777777" w:rsidR="005430C2" w:rsidRDefault="00E33CC4" w:rsidP="005C56D6">
      <w:pPr>
        <w:numPr>
          <w:ilvl w:val="0"/>
          <w:numId w:val="2"/>
        </w:numPr>
        <w:spacing w:line="360" w:lineRule="auto"/>
        <w:jc w:val="both"/>
        <w:rPr>
          <w:rFonts w:hint="default"/>
          <w:sz w:val="28"/>
        </w:rPr>
      </w:pPr>
      <w:r>
        <w:rPr>
          <w:sz w:val="28"/>
        </w:rPr>
        <w:t xml:space="preserve"> 本行对本行主要股东或其控股股东、实际控制人、关联方、一致行动人、最终受益人等单个主体的授信余额不得超过本行资本净额的百分之十。本行对本行单个主要股东及其控股股东、实际控制人、关联方、一致行动人、最终受益人的合计授信余额不得超过本行资本净额的百分之十五。</w:t>
      </w:r>
    </w:p>
    <w:p w14:paraId="52EE45DE" w14:textId="77777777" w:rsidR="005430C2" w:rsidRDefault="00E33CC4" w:rsidP="005C56D6">
      <w:pPr>
        <w:spacing w:line="360" w:lineRule="auto"/>
        <w:ind w:leftChars="200" w:left="440" w:firstLineChars="200" w:firstLine="560"/>
        <w:jc w:val="both"/>
        <w:rPr>
          <w:rFonts w:hint="default"/>
          <w:sz w:val="28"/>
        </w:rPr>
      </w:pPr>
      <w:r>
        <w:rPr>
          <w:sz w:val="28"/>
        </w:rPr>
        <w:t>前款中的授信，包括贷款（</w:t>
      </w:r>
      <w:proofErr w:type="gramStart"/>
      <w:r>
        <w:rPr>
          <w:sz w:val="28"/>
        </w:rPr>
        <w:t>含贸易</w:t>
      </w:r>
      <w:proofErr w:type="gramEnd"/>
      <w:r>
        <w:rPr>
          <w:sz w:val="28"/>
        </w:rPr>
        <w:t>融资）、票据承兑和贴现、透支、债券投资、特定目的载体投资、开立信用证、保理、担保、贷款承诺，以及其他实质上由本行或本行发行的理财产品承担信用风险的业务。其中，本行应当按照穿透原则确认最终债务人。</w:t>
      </w:r>
    </w:p>
    <w:p w14:paraId="19FB454B" w14:textId="77777777" w:rsidR="005430C2" w:rsidRDefault="00E33CC4" w:rsidP="005C56D6">
      <w:pPr>
        <w:spacing w:line="360" w:lineRule="auto"/>
        <w:ind w:leftChars="200" w:left="440" w:firstLineChars="200" w:firstLine="560"/>
        <w:jc w:val="both"/>
        <w:rPr>
          <w:rFonts w:hint="default"/>
          <w:sz w:val="28"/>
        </w:rPr>
      </w:pPr>
      <w:r>
        <w:rPr>
          <w:sz w:val="28"/>
        </w:rPr>
        <w:t>本行的主要股东或其控股股东、实际控制人、关联方、一致行动人、最终受益人等为金融机构的，本行与其开展同业业务时，应当遵守法律法规和相关监管部门关于同业业务的相关规定。</w:t>
      </w:r>
    </w:p>
    <w:p w14:paraId="579E1A72" w14:textId="77777777" w:rsidR="005430C2" w:rsidRDefault="00E33CC4" w:rsidP="005C56D6">
      <w:pPr>
        <w:numPr>
          <w:ilvl w:val="0"/>
          <w:numId w:val="2"/>
        </w:numPr>
        <w:spacing w:line="360" w:lineRule="auto"/>
        <w:jc w:val="both"/>
        <w:rPr>
          <w:rFonts w:hint="default"/>
          <w:sz w:val="28"/>
        </w:rPr>
      </w:pPr>
      <w:r>
        <w:rPr>
          <w:sz w:val="28"/>
        </w:rPr>
        <w:t xml:space="preserve"> 本行与本行主要股东或其控股股东、实际控制人、关联方、一致行动人、最终受益人发生自用动产与不动产买卖或租赁；信贷资产买卖；抵债资产的接收和处置；提供信用增值、信用评估、资产评估、审计、法律、信息、技术和基础设施等服务交易；</w:t>
      </w:r>
      <w:r>
        <w:rPr>
          <w:sz w:val="28"/>
        </w:rPr>
        <w:lastRenderedPageBreak/>
        <w:t>委托或受托销售以及其他交易的，应遵守法律法规和银行保险监督管理机构有关规定，并按照商业原则进行，不应优于对非关联方同类交易条件，防止风险传染和利益输送。</w:t>
      </w:r>
    </w:p>
    <w:p w14:paraId="15843649" w14:textId="77777777" w:rsidR="005430C2" w:rsidRDefault="005430C2" w:rsidP="00A41355">
      <w:pPr>
        <w:pStyle w:val="aa"/>
        <w:ind w:leftChars="200" w:left="440" w:firstLineChars="0" w:firstLine="0"/>
        <w:rPr>
          <w:rFonts w:hint="default"/>
        </w:rPr>
      </w:pPr>
    </w:p>
    <w:p w14:paraId="789E90AE" w14:textId="359B0FB7" w:rsidR="001E7211" w:rsidRDefault="001E7211" w:rsidP="001E7211">
      <w:pPr>
        <w:numPr>
          <w:ilvl w:val="255"/>
          <w:numId w:val="0"/>
        </w:numPr>
        <w:spacing w:line="360" w:lineRule="auto"/>
        <w:ind w:left="480"/>
        <w:jc w:val="center"/>
        <w:rPr>
          <w:rFonts w:hint="default"/>
          <w:b/>
          <w:spacing w:val="-1"/>
          <w:sz w:val="28"/>
        </w:rPr>
      </w:pPr>
      <w:r>
        <w:rPr>
          <w:rFonts w:hint="default"/>
          <w:b/>
          <w:spacing w:val="-1"/>
          <w:sz w:val="28"/>
        </w:rPr>
        <w:t>第四章</w:t>
      </w:r>
      <w:r>
        <w:rPr>
          <w:b/>
          <w:spacing w:val="-1"/>
          <w:sz w:val="28"/>
        </w:rPr>
        <w:t xml:space="preserve"> 股权数据治理</w:t>
      </w:r>
    </w:p>
    <w:p w14:paraId="762159F8" w14:textId="455CBBC2" w:rsidR="001E7211" w:rsidRPr="001E7211" w:rsidRDefault="001E7211" w:rsidP="005C56D6">
      <w:pPr>
        <w:pStyle w:val="aa"/>
        <w:numPr>
          <w:ilvl w:val="0"/>
          <w:numId w:val="2"/>
        </w:numPr>
        <w:spacing w:line="360" w:lineRule="auto"/>
        <w:ind w:firstLineChars="0"/>
        <w:jc w:val="both"/>
        <w:rPr>
          <w:rFonts w:hint="default"/>
          <w:sz w:val="28"/>
        </w:rPr>
      </w:pPr>
      <w:r w:rsidRPr="001E7211">
        <w:rPr>
          <w:sz w:val="28"/>
        </w:rPr>
        <w:t>本行董事会办公室是股权数据治理的归口管理部门，建立并持续完善股权管理系统，畅通股东数据报送渠道，加强沟通协调，定期督促股东履行信息报送义务。 </w:t>
      </w:r>
    </w:p>
    <w:p w14:paraId="04133F6C" w14:textId="77777777" w:rsidR="001E7211" w:rsidRDefault="001E7211" w:rsidP="005C56D6">
      <w:pPr>
        <w:pStyle w:val="aa"/>
        <w:numPr>
          <w:ilvl w:val="0"/>
          <w:numId w:val="2"/>
        </w:numPr>
        <w:spacing w:line="360" w:lineRule="auto"/>
        <w:ind w:firstLineChars="0"/>
        <w:jc w:val="both"/>
        <w:rPr>
          <w:rFonts w:hint="default"/>
          <w:sz w:val="28"/>
        </w:rPr>
      </w:pPr>
      <w:r>
        <w:rPr>
          <w:sz w:val="28"/>
        </w:rPr>
        <w:t>本行信息技术部负责股权管理相关信息系统的开发、技术支持和运行管理。信息技术部作为本行数据治理工作归口管理方及技术支撑提供方，负责指导并配合股权数据标准的制定与落地实施，指导并配合进行数据质量检查与整改工作，并为股权数据治理提供技术支撑。</w:t>
      </w:r>
    </w:p>
    <w:p w14:paraId="7174CB54" w14:textId="77777777" w:rsidR="001E7211" w:rsidRPr="001E7211" w:rsidRDefault="001E7211" w:rsidP="005C56D6">
      <w:pPr>
        <w:pStyle w:val="aa"/>
        <w:numPr>
          <w:ilvl w:val="0"/>
          <w:numId w:val="2"/>
        </w:numPr>
        <w:spacing w:line="360" w:lineRule="auto"/>
        <w:ind w:firstLineChars="0"/>
        <w:jc w:val="both"/>
        <w:rPr>
          <w:rFonts w:hint="default"/>
        </w:rPr>
      </w:pPr>
      <w:r>
        <w:rPr>
          <w:sz w:val="28"/>
        </w:rPr>
        <w:t xml:space="preserve"> 本行人力资源部作为数据治理工作考核认定管理方，负责牵头建立数据质量执行情况的考核评价体系，并将考核结果纳入机构绩效考核体系。</w:t>
      </w:r>
    </w:p>
    <w:p w14:paraId="09F74CFA" w14:textId="77777777" w:rsidR="001E7211" w:rsidRDefault="001E7211" w:rsidP="005C56D6">
      <w:pPr>
        <w:pStyle w:val="a3"/>
        <w:numPr>
          <w:ilvl w:val="0"/>
          <w:numId w:val="2"/>
        </w:numPr>
        <w:jc w:val="both"/>
        <w:rPr>
          <w:rFonts w:hint="default"/>
          <w:sz w:val="28"/>
        </w:rPr>
      </w:pPr>
      <w:r w:rsidRPr="00946989">
        <w:rPr>
          <w:sz w:val="28"/>
        </w:rPr>
        <w:t>对于股权变更等需要及时报送的数据信息，</w:t>
      </w:r>
      <w:r>
        <w:rPr>
          <w:sz w:val="28"/>
        </w:rPr>
        <w:t>本行应</w:t>
      </w:r>
      <w:r w:rsidRPr="00946989">
        <w:rPr>
          <w:sz w:val="28"/>
        </w:rPr>
        <w:t>提高效率，规范程序，确保</w:t>
      </w:r>
      <w:r>
        <w:rPr>
          <w:sz w:val="28"/>
        </w:rPr>
        <w:t>数据</w:t>
      </w:r>
      <w:proofErr w:type="gramStart"/>
      <w:r>
        <w:rPr>
          <w:sz w:val="28"/>
        </w:rPr>
        <w:t>不</w:t>
      </w:r>
      <w:proofErr w:type="gramEnd"/>
      <w:r>
        <w:rPr>
          <w:sz w:val="28"/>
        </w:rPr>
        <w:t>瞒报、漏报、迟报。股权和关联交易数据报送前，本行应</w:t>
      </w:r>
      <w:r w:rsidRPr="00946989">
        <w:rPr>
          <w:sz w:val="28"/>
        </w:rPr>
        <w:t>进行多渠道、多人、多层级的复核校验，杜绝数据报送操作偏差。</w:t>
      </w:r>
    </w:p>
    <w:p w14:paraId="6F50DA26" w14:textId="6B618D65" w:rsidR="001E7211" w:rsidRDefault="001E7211" w:rsidP="005C56D6">
      <w:pPr>
        <w:pStyle w:val="a3"/>
        <w:numPr>
          <w:ilvl w:val="0"/>
          <w:numId w:val="2"/>
        </w:numPr>
        <w:jc w:val="both"/>
        <w:rPr>
          <w:rFonts w:hint="default"/>
          <w:sz w:val="28"/>
        </w:rPr>
      </w:pPr>
      <w:r>
        <w:rPr>
          <w:sz w:val="28"/>
        </w:rPr>
        <w:t>本行股权管理的数据质量控制要求按照《厦门银行股份有限公司数据质量管理办法》执行。本行应至少每半年开展一次股权数据质量抽查，确保股权数据的真实性、准确性、完整性</w:t>
      </w:r>
      <w:r>
        <w:rPr>
          <w:sz w:val="28"/>
        </w:rPr>
        <w:lastRenderedPageBreak/>
        <w:t>和及时性。</w:t>
      </w:r>
      <w:r w:rsidR="00795886">
        <w:rPr>
          <w:sz w:val="28"/>
        </w:rPr>
        <w:t>本行应至少每</w:t>
      </w:r>
      <w:bookmarkStart w:id="0" w:name="_GoBack"/>
      <w:bookmarkEnd w:id="0"/>
      <w:r w:rsidR="00795886">
        <w:rPr>
          <w:sz w:val="28"/>
        </w:rPr>
        <w:t>年对股权监管报送数据开展一次全面自查整改。</w:t>
      </w:r>
    </w:p>
    <w:p w14:paraId="06A13BCF" w14:textId="309F1074" w:rsidR="00605BC0" w:rsidRPr="00605BC0" w:rsidRDefault="00605BC0" w:rsidP="00D02B87">
      <w:pPr>
        <w:pStyle w:val="a3"/>
        <w:numPr>
          <w:ilvl w:val="0"/>
          <w:numId w:val="2"/>
        </w:numPr>
        <w:jc w:val="both"/>
        <w:rPr>
          <w:rFonts w:hint="default"/>
          <w:sz w:val="28"/>
        </w:rPr>
      </w:pPr>
      <w:r w:rsidRPr="00605BC0">
        <w:rPr>
          <w:sz w:val="28"/>
        </w:rPr>
        <w:t>本行应每两周核验一次股权监管信息系统，及时接收落实监</w:t>
      </w:r>
      <w:r w:rsidR="00D02B87">
        <w:rPr>
          <w:sz w:val="28"/>
        </w:rPr>
        <w:t>管要求，对于报送错误或被监管退回的数据信息，应当</w:t>
      </w:r>
      <w:r w:rsidRPr="00605BC0">
        <w:rPr>
          <w:sz w:val="28"/>
        </w:rPr>
        <w:t>在十个工作日内完成整改并重新报送。</w:t>
      </w:r>
    </w:p>
    <w:p w14:paraId="3CFAC993" w14:textId="7C13E989" w:rsidR="001E7211" w:rsidRDefault="001E7211" w:rsidP="00D02B87">
      <w:pPr>
        <w:numPr>
          <w:ilvl w:val="0"/>
          <w:numId w:val="2"/>
        </w:numPr>
        <w:spacing w:line="360" w:lineRule="auto"/>
        <w:jc w:val="both"/>
        <w:rPr>
          <w:rFonts w:hint="default"/>
          <w:sz w:val="28"/>
        </w:rPr>
      </w:pPr>
      <w:r>
        <w:rPr>
          <w:sz w:val="28"/>
        </w:rPr>
        <w:t xml:space="preserve"> 对于股东错报、瞒报关键数据信息、拒不履行信息报送义务的，本行应当按照公司章程和本行问</w:t>
      </w:r>
      <w:proofErr w:type="gramStart"/>
      <w:r>
        <w:rPr>
          <w:sz w:val="28"/>
        </w:rPr>
        <w:t>责管理</w:t>
      </w:r>
      <w:proofErr w:type="gramEnd"/>
      <w:r>
        <w:rPr>
          <w:sz w:val="28"/>
        </w:rPr>
        <w:t>办法，限制股东相关权利，对相关人员进行问责，并在主要股东和大股东评估工作中如实反映。</w:t>
      </w:r>
    </w:p>
    <w:p w14:paraId="21EC86AD" w14:textId="77777777" w:rsidR="001E7211" w:rsidRDefault="001E7211" w:rsidP="001E7211">
      <w:pPr>
        <w:tabs>
          <w:tab w:val="left" w:pos="2290"/>
        </w:tabs>
        <w:spacing w:line="360" w:lineRule="auto"/>
        <w:rPr>
          <w:rFonts w:hint="default"/>
        </w:rPr>
      </w:pPr>
    </w:p>
    <w:p w14:paraId="12092669" w14:textId="77777777" w:rsidR="001E7211" w:rsidRPr="001E7211" w:rsidRDefault="001E7211" w:rsidP="001E7211">
      <w:pPr>
        <w:numPr>
          <w:ilvl w:val="255"/>
          <w:numId w:val="0"/>
        </w:numPr>
        <w:spacing w:line="360" w:lineRule="auto"/>
        <w:ind w:left="480"/>
        <w:jc w:val="center"/>
        <w:rPr>
          <w:rFonts w:hint="default"/>
          <w:b/>
          <w:spacing w:val="-1"/>
          <w:sz w:val="28"/>
        </w:rPr>
      </w:pPr>
    </w:p>
    <w:p w14:paraId="0C235149" w14:textId="1B2B3BC1" w:rsidR="005430C2" w:rsidRDefault="001E7211" w:rsidP="001E7211">
      <w:pPr>
        <w:numPr>
          <w:ilvl w:val="255"/>
          <w:numId w:val="0"/>
        </w:numPr>
        <w:spacing w:line="360" w:lineRule="auto"/>
        <w:ind w:left="480"/>
        <w:jc w:val="center"/>
        <w:rPr>
          <w:rFonts w:hint="default"/>
          <w:b/>
          <w:spacing w:val="-1"/>
          <w:sz w:val="28"/>
        </w:rPr>
      </w:pPr>
      <w:r>
        <w:rPr>
          <w:b/>
          <w:spacing w:val="-1"/>
          <w:sz w:val="28"/>
        </w:rPr>
        <w:t>第五</w:t>
      </w:r>
      <w:r w:rsidR="00E33CC4">
        <w:rPr>
          <w:b/>
          <w:spacing w:val="-1"/>
          <w:sz w:val="28"/>
        </w:rPr>
        <w:t>章  信息披露</w:t>
      </w:r>
    </w:p>
    <w:p w14:paraId="41F20AED" w14:textId="77777777" w:rsidR="005430C2" w:rsidRDefault="00E33CC4" w:rsidP="001E7211">
      <w:pPr>
        <w:numPr>
          <w:ilvl w:val="0"/>
          <w:numId w:val="2"/>
        </w:numPr>
        <w:spacing w:line="360" w:lineRule="auto"/>
        <w:ind w:firstLineChars="200" w:firstLine="560"/>
        <w:jc w:val="both"/>
        <w:rPr>
          <w:rFonts w:hint="default"/>
          <w:sz w:val="28"/>
        </w:rPr>
      </w:pPr>
      <w:r>
        <w:rPr>
          <w:sz w:val="28"/>
        </w:rPr>
        <w:t xml:space="preserve"> 本行主要股东应及时、准确、完整地向本行报告以下信息：</w:t>
      </w:r>
    </w:p>
    <w:p w14:paraId="7D9A02C8" w14:textId="77777777" w:rsidR="005430C2" w:rsidRDefault="00E33CC4" w:rsidP="005C56D6">
      <w:pPr>
        <w:spacing w:line="360" w:lineRule="auto"/>
        <w:ind w:leftChars="200" w:left="440" w:firstLineChars="200" w:firstLine="560"/>
        <w:jc w:val="both"/>
        <w:rPr>
          <w:rFonts w:hint="default"/>
          <w:sz w:val="28"/>
        </w:rPr>
      </w:pPr>
      <w:r>
        <w:rPr>
          <w:sz w:val="28"/>
        </w:rPr>
        <w:t>（一）自身经营状况、财务信息、股权结构；</w:t>
      </w:r>
    </w:p>
    <w:p w14:paraId="1869A6F3" w14:textId="77777777" w:rsidR="005430C2" w:rsidRDefault="00E33CC4" w:rsidP="005C56D6">
      <w:pPr>
        <w:spacing w:line="360" w:lineRule="auto"/>
        <w:ind w:leftChars="200" w:left="440" w:firstLineChars="200" w:firstLine="560"/>
        <w:jc w:val="both"/>
        <w:rPr>
          <w:rFonts w:hint="default"/>
          <w:sz w:val="28"/>
        </w:rPr>
      </w:pPr>
      <w:r>
        <w:rPr>
          <w:sz w:val="28"/>
        </w:rPr>
        <w:t>（二）入股本行的资金来源；</w:t>
      </w:r>
    </w:p>
    <w:p w14:paraId="28366829" w14:textId="77777777" w:rsidR="005430C2" w:rsidRDefault="00E33CC4" w:rsidP="005C56D6">
      <w:pPr>
        <w:spacing w:line="360" w:lineRule="auto"/>
        <w:ind w:leftChars="200" w:left="440" w:firstLineChars="200" w:firstLine="560"/>
        <w:jc w:val="both"/>
        <w:rPr>
          <w:rFonts w:hint="default"/>
          <w:sz w:val="28"/>
        </w:rPr>
      </w:pPr>
      <w:r>
        <w:rPr>
          <w:sz w:val="28"/>
        </w:rPr>
        <w:t>（三）控股股东、实际控制人、关联方、一致行动人、最终受益人、投资其他金融机构及其变动情况；</w:t>
      </w:r>
    </w:p>
    <w:p w14:paraId="4A46A2FE" w14:textId="77777777" w:rsidR="005430C2" w:rsidRDefault="00E33CC4" w:rsidP="005C56D6">
      <w:pPr>
        <w:spacing w:line="360" w:lineRule="auto"/>
        <w:ind w:leftChars="200" w:left="440" w:firstLineChars="200" w:firstLine="560"/>
        <w:jc w:val="both"/>
        <w:rPr>
          <w:rFonts w:hint="default"/>
          <w:sz w:val="28"/>
        </w:rPr>
      </w:pPr>
      <w:r>
        <w:rPr>
          <w:sz w:val="28"/>
        </w:rPr>
        <w:t>（四）所持本行股份涉及诉讼、仲裁、被司法机关等采取法律强制措施；</w:t>
      </w:r>
    </w:p>
    <w:p w14:paraId="12E7C9A9" w14:textId="77777777" w:rsidR="005430C2" w:rsidRDefault="00E33CC4" w:rsidP="005C56D6">
      <w:pPr>
        <w:spacing w:line="360" w:lineRule="auto"/>
        <w:ind w:leftChars="200" w:left="440" w:firstLineChars="200" w:firstLine="560"/>
        <w:jc w:val="both"/>
        <w:rPr>
          <w:rFonts w:hint="default"/>
          <w:sz w:val="28"/>
        </w:rPr>
      </w:pPr>
      <w:r>
        <w:rPr>
          <w:sz w:val="28"/>
        </w:rPr>
        <w:t>（五）所持本行股份被质押或者解押；</w:t>
      </w:r>
    </w:p>
    <w:p w14:paraId="613014A3" w14:textId="77777777" w:rsidR="005430C2" w:rsidRDefault="00E33CC4" w:rsidP="005C56D6">
      <w:pPr>
        <w:spacing w:line="360" w:lineRule="auto"/>
        <w:ind w:leftChars="200" w:left="440" w:firstLineChars="200" w:firstLine="560"/>
        <w:jc w:val="both"/>
        <w:rPr>
          <w:rFonts w:hint="default"/>
          <w:sz w:val="28"/>
        </w:rPr>
      </w:pPr>
      <w:r>
        <w:rPr>
          <w:sz w:val="28"/>
        </w:rPr>
        <w:t>（六）法定代表人、公司名称、经营场所、经营范围及其他</w:t>
      </w:r>
      <w:r>
        <w:rPr>
          <w:sz w:val="28"/>
        </w:rPr>
        <w:lastRenderedPageBreak/>
        <w:t>重大事项发生变化；</w:t>
      </w:r>
    </w:p>
    <w:p w14:paraId="0C948C8E" w14:textId="77777777" w:rsidR="005430C2" w:rsidRDefault="00E33CC4" w:rsidP="005C56D6">
      <w:pPr>
        <w:spacing w:line="360" w:lineRule="auto"/>
        <w:ind w:leftChars="200" w:left="440" w:firstLineChars="200" w:firstLine="560"/>
        <w:jc w:val="both"/>
        <w:rPr>
          <w:rFonts w:hint="default"/>
          <w:sz w:val="28"/>
        </w:rPr>
      </w:pPr>
      <w:r>
        <w:rPr>
          <w:sz w:val="28"/>
        </w:rPr>
        <w:t>（七）合并、分立；</w:t>
      </w:r>
    </w:p>
    <w:p w14:paraId="39E0E72C" w14:textId="77777777" w:rsidR="005430C2" w:rsidRDefault="00E33CC4" w:rsidP="005C56D6">
      <w:pPr>
        <w:spacing w:line="360" w:lineRule="auto"/>
        <w:ind w:leftChars="200" w:left="440" w:firstLineChars="200" w:firstLine="560"/>
        <w:jc w:val="both"/>
        <w:rPr>
          <w:rFonts w:hint="default"/>
          <w:sz w:val="28"/>
        </w:rPr>
      </w:pPr>
      <w:r>
        <w:rPr>
          <w:sz w:val="28"/>
        </w:rPr>
        <w:t>（八）被采取责令停业整顿、指定托管、接管或撤销等监管措施，或者进入解散、破产、清算程序；</w:t>
      </w:r>
    </w:p>
    <w:p w14:paraId="041156AF" w14:textId="77777777" w:rsidR="005430C2" w:rsidRDefault="00E33CC4" w:rsidP="005C56D6">
      <w:pPr>
        <w:spacing w:line="360" w:lineRule="auto"/>
        <w:ind w:leftChars="200" w:left="440" w:firstLineChars="200" w:firstLine="560"/>
        <w:jc w:val="both"/>
        <w:rPr>
          <w:rFonts w:hint="default"/>
          <w:sz w:val="28"/>
        </w:rPr>
      </w:pPr>
      <w:r>
        <w:rPr>
          <w:sz w:val="28"/>
        </w:rPr>
        <w:t>（九）其他可能影响股东资质条件变化或导致所持本行股份发生变化的情况。</w:t>
      </w:r>
    </w:p>
    <w:p w14:paraId="1B34FFB4" w14:textId="77777777" w:rsidR="005430C2" w:rsidRDefault="00E33CC4" w:rsidP="005C56D6">
      <w:pPr>
        <w:numPr>
          <w:ilvl w:val="0"/>
          <w:numId w:val="2"/>
        </w:numPr>
        <w:spacing w:line="360" w:lineRule="auto"/>
        <w:ind w:firstLineChars="200" w:firstLine="540"/>
        <w:jc w:val="both"/>
        <w:rPr>
          <w:rFonts w:hint="default"/>
          <w:sz w:val="28"/>
        </w:rPr>
      </w:pPr>
      <w:r>
        <w:rPr>
          <w:spacing w:val="-5"/>
          <w:sz w:val="28"/>
        </w:rPr>
        <w:t>本行应当通过半年报或年报在官方网站真实、准确、</w:t>
      </w:r>
      <w:r>
        <w:rPr>
          <w:sz w:val="28"/>
        </w:rPr>
        <w:t>完整地披露本行股权信息，披露内容包括：</w:t>
      </w:r>
    </w:p>
    <w:p w14:paraId="5B426A04" w14:textId="77777777" w:rsidR="005430C2" w:rsidRDefault="00E33CC4" w:rsidP="005C56D6">
      <w:pPr>
        <w:spacing w:line="360" w:lineRule="auto"/>
        <w:ind w:leftChars="200" w:left="440" w:firstLineChars="200" w:firstLine="560"/>
        <w:jc w:val="both"/>
        <w:rPr>
          <w:rFonts w:hint="default"/>
          <w:sz w:val="28"/>
        </w:rPr>
      </w:pPr>
      <w:r>
        <w:rPr>
          <w:sz w:val="28"/>
        </w:rPr>
        <w:t>（一）报告期末股份、股东总数及报告期间股份变动情况；</w:t>
      </w:r>
    </w:p>
    <w:p w14:paraId="1DE9FC30" w14:textId="77777777" w:rsidR="005430C2" w:rsidRDefault="00E33CC4" w:rsidP="005C56D6">
      <w:pPr>
        <w:spacing w:line="360" w:lineRule="auto"/>
        <w:ind w:leftChars="200" w:left="440" w:firstLineChars="200" w:firstLine="560"/>
        <w:jc w:val="both"/>
        <w:rPr>
          <w:rFonts w:hint="default"/>
          <w:sz w:val="28"/>
        </w:rPr>
      </w:pPr>
      <w:r>
        <w:rPr>
          <w:sz w:val="28"/>
        </w:rPr>
        <w:t>（二）报告期末本行前十大股东持股情况；</w:t>
      </w:r>
    </w:p>
    <w:p w14:paraId="347C8405" w14:textId="77777777" w:rsidR="005430C2" w:rsidRDefault="00E33CC4" w:rsidP="005C56D6">
      <w:pPr>
        <w:spacing w:line="360" w:lineRule="auto"/>
        <w:ind w:leftChars="200" w:left="440" w:firstLineChars="200" w:firstLine="560"/>
        <w:jc w:val="both"/>
        <w:rPr>
          <w:rFonts w:hint="default"/>
          <w:sz w:val="28"/>
        </w:rPr>
      </w:pPr>
      <w:r>
        <w:rPr>
          <w:sz w:val="28"/>
        </w:rPr>
        <w:t>（三）报告期末主要股东及其控股股东、实际控制人、关联方、一致行动人、最终受益人情况；</w:t>
      </w:r>
    </w:p>
    <w:p w14:paraId="27E191B4" w14:textId="77777777" w:rsidR="005430C2" w:rsidRDefault="00E33CC4" w:rsidP="005C56D6">
      <w:pPr>
        <w:spacing w:line="360" w:lineRule="auto"/>
        <w:ind w:leftChars="200" w:left="440" w:firstLineChars="200" w:firstLine="560"/>
        <w:jc w:val="both"/>
        <w:rPr>
          <w:rFonts w:hint="default"/>
          <w:sz w:val="28"/>
        </w:rPr>
      </w:pPr>
      <w:r>
        <w:rPr>
          <w:sz w:val="28"/>
        </w:rPr>
        <w:t>（四）报告期内与主要股东及其控股股东、实际控制人、关联方、一致行动人、最终受益人关联交易情况；</w:t>
      </w:r>
    </w:p>
    <w:p w14:paraId="139F70B9" w14:textId="77777777" w:rsidR="005430C2" w:rsidRDefault="00E33CC4" w:rsidP="005C56D6">
      <w:pPr>
        <w:spacing w:line="360" w:lineRule="auto"/>
        <w:ind w:leftChars="200" w:left="440" w:firstLineChars="200" w:firstLine="560"/>
        <w:jc w:val="both"/>
        <w:rPr>
          <w:rFonts w:hint="default"/>
          <w:sz w:val="28"/>
        </w:rPr>
      </w:pPr>
      <w:r>
        <w:rPr>
          <w:sz w:val="28"/>
        </w:rPr>
        <w:t>（五）主要股东出质本行股份情况；</w:t>
      </w:r>
    </w:p>
    <w:p w14:paraId="66B423E0" w14:textId="77777777" w:rsidR="005430C2" w:rsidRDefault="00E33CC4" w:rsidP="005C56D6">
      <w:pPr>
        <w:spacing w:line="360" w:lineRule="auto"/>
        <w:ind w:leftChars="200" w:left="440" w:firstLineChars="200" w:firstLine="560"/>
        <w:jc w:val="both"/>
        <w:rPr>
          <w:rFonts w:hint="default"/>
          <w:sz w:val="28"/>
        </w:rPr>
      </w:pPr>
      <w:r>
        <w:rPr>
          <w:sz w:val="28"/>
        </w:rPr>
        <w:t>（六）股东提名董事、监事情况；</w:t>
      </w:r>
    </w:p>
    <w:p w14:paraId="27D12AD5" w14:textId="77777777" w:rsidR="005430C2" w:rsidRDefault="00E33CC4" w:rsidP="005C56D6">
      <w:pPr>
        <w:spacing w:line="360" w:lineRule="auto"/>
        <w:ind w:leftChars="200" w:left="440" w:firstLineChars="200" w:firstLine="560"/>
        <w:jc w:val="both"/>
        <w:rPr>
          <w:rFonts w:hint="default"/>
          <w:sz w:val="28"/>
        </w:rPr>
      </w:pPr>
      <w:r>
        <w:rPr>
          <w:sz w:val="28"/>
        </w:rPr>
        <w:t>（七）银行保险监督管理机构规定的其他信息。</w:t>
      </w:r>
    </w:p>
    <w:p w14:paraId="1E64FAC8" w14:textId="77777777" w:rsidR="005430C2" w:rsidRDefault="00E33CC4" w:rsidP="005C56D6">
      <w:pPr>
        <w:numPr>
          <w:ilvl w:val="0"/>
          <w:numId w:val="2"/>
        </w:numPr>
        <w:spacing w:line="360" w:lineRule="auto"/>
        <w:ind w:firstLineChars="200" w:firstLine="560"/>
        <w:jc w:val="both"/>
        <w:rPr>
          <w:rFonts w:hint="default"/>
          <w:sz w:val="28"/>
        </w:rPr>
      </w:pPr>
      <w:r>
        <w:rPr>
          <w:sz w:val="28"/>
        </w:rPr>
        <w:t>出现以下任</w:t>
      </w:r>
      <w:proofErr w:type="gramStart"/>
      <w:r>
        <w:rPr>
          <w:sz w:val="28"/>
        </w:rPr>
        <w:t>一</w:t>
      </w:r>
      <w:proofErr w:type="gramEnd"/>
      <w:r>
        <w:rPr>
          <w:sz w:val="28"/>
        </w:rPr>
        <w:t>情形，本行应通过季报、年报、股权集中托管机构等方式及时进行信息披露，并根据监管要求向监管机关报告：</w:t>
      </w:r>
    </w:p>
    <w:p w14:paraId="22F5967C" w14:textId="77777777" w:rsidR="005430C2" w:rsidRDefault="00E33CC4" w:rsidP="005C56D6">
      <w:pPr>
        <w:numPr>
          <w:ilvl w:val="255"/>
          <w:numId w:val="0"/>
        </w:numPr>
        <w:spacing w:line="360" w:lineRule="auto"/>
        <w:ind w:leftChars="200" w:left="440" w:firstLineChars="200" w:firstLine="560"/>
        <w:jc w:val="both"/>
        <w:rPr>
          <w:rFonts w:hint="default"/>
          <w:sz w:val="28"/>
        </w:rPr>
      </w:pPr>
      <w:r>
        <w:rPr>
          <w:sz w:val="28"/>
        </w:rPr>
        <w:t>（一）本行被质押股权达到或超过全部股权的20%；</w:t>
      </w:r>
    </w:p>
    <w:p w14:paraId="429AE5FE" w14:textId="77777777" w:rsidR="005430C2" w:rsidRDefault="00E33CC4" w:rsidP="005C56D6">
      <w:pPr>
        <w:numPr>
          <w:ilvl w:val="255"/>
          <w:numId w:val="0"/>
        </w:numPr>
        <w:spacing w:line="360" w:lineRule="auto"/>
        <w:ind w:leftChars="200" w:left="440" w:firstLineChars="200" w:firstLine="560"/>
        <w:jc w:val="both"/>
        <w:rPr>
          <w:rFonts w:hint="default"/>
          <w:sz w:val="28"/>
        </w:rPr>
      </w:pPr>
      <w:r>
        <w:rPr>
          <w:sz w:val="28"/>
        </w:rPr>
        <w:t>（二）主要股东质押本行股权数量达到或超过其持有的本行</w:t>
      </w:r>
      <w:r>
        <w:rPr>
          <w:sz w:val="28"/>
        </w:rPr>
        <w:lastRenderedPageBreak/>
        <w:t>股权的50%；</w:t>
      </w:r>
    </w:p>
    <w:p w14:paraId="4B761E09" w14:textId="77777777" w:rsidR="005430C2" w:rsidRDefault="00E33CC4" w:rsidP="002C4147">
      <w:pPr>
        <w:numPr>
          <w:ilvl w:val="255"/>
          <w:numId w:val="0"/>
        </w:numPr>
        <w:spacing w:line="360" w:lineRule="auto"/>
        <w:ind w:leftChars="200" w:left="440" w:firstLineChars="200" w:firstLine="560"/>
        <w:jc w:val="both"/>
        <w:rPr>
          <w:rFonts w:hint="default"/>
          <w:sz w:val="28"/>
        </w:rPr>
      </w:pPr>
      <w:r>
        <w:rPr>
          <w:sz w:val="28"/>
        </w:rPr>
        <w:t>（三）被质押的本行股权涉及冻结、司法拍卖、依法限制表决权或者受到其他权利限制。</w:t>
      </w:r>
    </w:p>
    <w:p w14:paraId="0D6B142B" w14:textId="77777777" w:rsidR="005430C2" w:rsidRDefault="00E33CC4" w:rsidP="001E7211">
      <w:pPr>
        <w:numPr>
          <w:ilvl w:val="0"/>
          <w:numId w:val="2"/>
        </w:numPr>
        <w:spacing w:line="360" w:lineRule="auto"/>
        <w:ind w:firstLineChars="200" w:firstLine="560"/>
        <w:jc w:val="both"/>
        <w:rPr>
          <w:rFonts w:hint="default"/>
          <w:sz w:val="28"/>
        </w:rPr>
      </w:pPr>
      <w:r>
        <w:rPr>
          <w:sz w:val="28"/>
        </w:rPr>
        <w:t>本行主要股东相关信息可能影响股东资质条件发生重大变化或导致所持本行股份发生重大变化的，本行应及时进行信息披露。</w:t>
      </w:r>
    </w:p>
    <w:p w14:paraId="5FF16161" w14:textId="77777777" w:rsidR="005430C2" w:rsidRDefault="00E33CC4" w:rsidP="001E7211">
      <w:pPr>
        <w:numPr>
          <w:ilvl w:val="0"/>
          <w:numId w:val="2"/>
        </w:numPr>
        <w:spacing w:line="360" w:lineRule="auto"/>
        <w:ind w:firstLineChars="200" w:firstLine="560"/>
        <w:jc w:val="both"/>
        <w:rPr>
          <w:rFonts w:hint="default"/>
          <w:sz w:val="28"/>
        </w:rPr>
      </w:pPr>
      <w:r>
        <w:rPr>
          <w:sz w:val="28"/>
        </w:rPr>
        <w:t>对于应报银行保险监督管理机构批准但尚未获得批准的股权事项，本行在信息披露时应</w:t>
      </w:r>
      <w:proofErr w:type="gramStart"/>
      <w:r>
        <w:rPr>
          <w:sz w:val="28"/>
        </w:rPr>
        <w:t>作出</w:t>
      </w:r>
      <w:proofErr w:type="gramEnd"/>
      <w:r>
        <w:rPr>
          <w:sz w:val="28"/>
        </w:rPr>
        <w:t>说明。</w:t>
      </w:r>
    </w:p>
    <w:p w14:paraId="4A31A313" w14:textId="77777777" w:rsidR="005430C2" w:rsidRDefault="00E33CC4" w:rsidP="001E7211">
      <w:pPr>
        <w:numPr>
          <w:ilvl w:val="0"/>
          <w:numId w:val="2"/>
        </w:numPr>
        <w:spacing w:line="360" w:lineRule="auto"/>
        <w:ind w:firstLineChars="200" w:firstLine="560"/>
        <w:jc w:val="both"/>
        <w:rPr>
          <w:rFonts w:hint="default"/>
          <w:sz w:val="28"/>
        </w:rPr>
      </w:pPr>
      <w:r>
        <w:rPr>
          <w:sz w:val="28"/>
        </w:rPr>
        <w:t>本行董事、监事、高级管理人员及其他因工作关系接触到相关股权信息的工作人员对信息负有保密义务。</w:t>
      </w:r>
    </w:p>
    <w:p w14:paraId="6D49EBC3" w14:textId="77777777" w:rsidR="005430C2" w:rsidRDefault="005430C2">
      <w:pPr>
        <w:tabs>
          <w:tab w:val="left" w:pos="1920"/>
        </w:tabs>
        <w:spacing w:line="360" w:lineRule="auto"/>
        <w:jc w:val="both"/>
        <w:rPr>
          <w:rFonts w:hint="default"/>
          <w:sz w:val="28"/>
        </w:rPr>
      </w:pPr>
    </w:p>
    <w:p w14:paraId="47E68C34" w14:textId="7481E0D4" w:rsidR="005430C2" w:rsidRDefault="001E7211">
      <w:pPr>
        <w:kinsoku w:val="0"/>
        <w:overflowPunct w:val="0"/>
        <w:spacing w:line="360" w:lineRule="auto"/>
        <w:ind w:firstLineChars="200" w:firstLine="558"/>
        <w:jc w:val="center"/>
        <w:rPr>
          <w:rFonts w:hint="default"/>
          <w:sz w:val="28"/>
        </w:rPr>
      </w:pPr>
      <w:r>
        <w:rPr>
          <w:b/>
          <w:spacing w:val="-1"/>
          <w:sz w:val="28"/>
        </w:rPr>
        <w:t>第六</w:t>
      </w:r>
      <w:r w:rsidR="00E33CC4">
        <w:rPr>
          <w:b/>
          <w:spacing w:val="-1"/>
          <w:sz w:val="28"/>
        </w:rPr>
        <w:t>章  附则</w:t>
      </w:r>
    </w:p>
    <w:p w14:paraId="729D842C" w14:textId="77777777" w:rsidR="005430C2" w:rsidRDefault="00E33CC4" w:rsidP="001E7211">
      <w:pPr>
        <w:numPr>
          <w:ilvl w:val="0"/>
          <w:numId w:val="2"/>
        </w:numPr>
        <w:spacing w:line="360" w:lineRule="auto"/>
        <w:ind w:firstLineChars="200" w:firstLine="560"/>
        <w:jc w:val="both"/>
        <w:rPr>
          <w:rFonts w:hint="default"/>
          <w:sz w:val="28"/>
        </w:rPr>
      </w:pPr>
      <w:r>
        <w:rPr>
          <w:sz w:val="28"/>
        </w:rPr>
        <w:t>本办法所称“以上”均含本数，“以下”“不足”不含本数。</w:t>
      </w:r>
    </w:p>
    <w:p w14:paraId="1FE491A9" w14:textId="77777777" w:rsidR="005430C2" w:rsidRDefault="00E33CC4" w:rsidP="001E7211">
      <w:pPr>
        <w:numPr>
          <w:ilvl w:val="0"/>
          <w:numId w:val="2"/>
        </w:numPr>
        <w:spacing w:line="360" w:lineRule="auto"/>
        <w:ind w:firstLineChars="200" w:firstLine="560"/>
        <w:jc w:val="both"/>
        <w:rPr>
          <w:rFonts w:hint="default"/>
          <w:sz w:val="28"/>
        </w:rPr>
      </w:pPr>
      <w:r>
        <w:rPr>
          <w:sz w:val="28"/>
        </w:rPr>
        <w:t>本办法中下列用语的含义:</w:t>
      </w:r>
    </w:p>
    <w:p w14:paraId="1EB4B5AC" w14:textId="77777777" w:rsidR="005430C2" w:rsidRDefault="00E33CC4" w:rsidP="005C56D6">
      <w:pPr>
        <w:spacing w:line="360" w:lineRule="auto"/>
        <w:ind w:leftChars="200" w:left="440" w:firstLineChars="200" w:firstLine="560"/>
        <w:jc w:val="both"/>
        <w:rPr>
          <w:rFonts w:hint="default"/>
          <w:sz w:val="28"/>
        </w:rPr>
      </w:pPr>
      <w:r>
        <w:rPr>
          <w:sz w:val="28"/>
        </w:rPr>
        <w:t>（一）控股股东，是指根据《中华人民共和国公司法》第二百一十六条规定，其出资额占有限责任公司资本总额百分之五十以上或者其持有的股份占股份有限公司股本总额百分之五十以上的股东；出资额或者持有股份的比例虽然不足百分之五十，但依其出资额或者持有的股份所享有的表决权已足以对股东大会的决议产生重大影响的股东。</w:t>
      </w:r>
    </w:p>
    <w:p w14:paraId="15AA4095" w14:textId="77777777" w:rsidR="005430C2" w:rsidRDefault="00E33CC4" w:rsidP="005C56D6">
      <w:pPr>
        <w:spacing w:line="360" w:lineRule="auto"/>
        <w:ind w:leftChars="200" w:left="440" w:firstLineChars="200" w:firstLine="560"/>
        <w:jc w:val="both"/>
        <w:rPr>
          <w:rFonts w:hint="default"/>
          <w:sz w:val="28"/>
        </w:rPr>
      </w:pPr>
      <w:r>
        <w:rPr>
          <w:sz w:val="28"/>
        </w:rPr>
        <w:t>（二）实际控制人，是指根据《中华人民共和国公司法》第</w:t>
      </w:r>
      <w:r>
        <w:rPr>
          <w:sz w:val="28"/>
        </w:rPr>
        <w:lastRenderedPageBreak/>
        <w:t>二百一十六条规定，虽不是公司的股东，但通过投资关系、协议或者其他安排，能够实际支配公司行为的人。</w:t>
      </w:r>
    </w:p>
    <w:p w14:paraId="3F7C5757" w14:textId="77777777" w:rsidR="005430C2" w:rsidRDefault="00E33CC4" w:rsidP="005C56D6">
      <w:pPr>
        <w:spacing w:line="360" w:lineRule="auto"/>
        <w:ind w:leftChars="200" w:left="440" w:firstLineChars="200" w:firstLine="560"/>
        <w:jc w:val="both"/>
        <w:rPr>
          <w:rFonts w:hint="default"/>
          <w:sz w:val="28"/>
        </w:rPr>
      </w:pPr>
      <w:r>
        <w:rPr>
          <w:sz w:val="28"/>
        </w:rPr>
        <w:t>（三）关联方，是指根据《企业会计准则第36号——关联方披露》规定，一方控制、共同控制另一方或对另一方施加重大影响，以及两方或两方以上同受一方控制、共同控制或重大影响的。但国家控制的企业之间不仅因为同受国家控股而具有关联关系。</w:t>
      </w:r>
    </w:p>
    <w:p w14:paraId="202F7BD3" w14:textId="77777777" w:rsidR="005430C2" w:rsidRDefault="00E33CC4" w:rsidP="005C56D6">
      <w:pPr>
        <w:spacing w:line="360" w:lineRule="auto"/>
        <w:ind w:leftChars="200" w:left="440" w:firstLineChars="200" w:firstLine="560"/>
        <w:jc w:val="both"/>
        <w:rPr>
          <w:rFonts w:hint="default"/>
          <w:sz w:val="28"/>
        </w:rPr>
      </w:pPr>
      <w:r>
        <w:rPr>
          <w:sz w:val="28"/>
        </w:rPr>
        <w:t>（四）一致行动，是指投资者通过协议、其他安排，与其他投资者共同扩大其所能够支配的一个公司股份表决权数量的行为或者事实。达成一致行动的相关投资者，</w:t>
      </w:r>
      <w:proofErr w:type="gramStart"/>
      <w:r>
        <w:rPr>
          <w:sz w:val="28"/>
        </w:rPr>
        <w:t>为一致</w:t>
      </w:r>
      <w:proofErr w:type="gramEnd"/>
      <w:r>
        <w:rPr>
          <w:sz w:val="28"/>
        </w:rPr>
        <w:t>行动人。</w:t>
      </w:r>
    </w:p>
    <w:p w14:paraId="58AE119C" w14:textId="77777777" w:rsidR="005430C2" w:rsidRDefault="00E33CC4" w:rsidP="005C56D6">
      <w:pPr>
        <w:spacing w:line="360" w:lineRule="auto"/>
        <w:ind w:leftChars="200" w:left="440" w:firstLineChars="200" w:firstLine="560"/>
        <w:jc w:val="both"/>
        <w:rPr>
          <w:rFonts w:hint="default"/>
          <w:sz w:val="28"/>
        </w:rPr>
      </w:pPr>
      <w:r>
        <w:rPr>
          <w:sz w:val="28"/>
        </w:rPr>
        <w:t>（五）最终受益人，是指实际享有商业银行股权收益的人。</w:t>
      </w:r>
    </w:p>
    <w:p w14:paraId="28E68436" w14:textId="77777777" w:rsidR="005430C2" w:rsidRDefault="00E33CC4" w:rsidP="005C56D6">
      <w:pPr>
        <w:spacing w:line="360" w:lineRule="auto"/>
        <w:ind w:leftChars="200" w:left="440" w:firstLineChars="200" w:firstLine="560"/>
        <w:jc w:val="both"/>
        <w:rPr>
          <w:rFonts w:hint="default"/>
          <w:sz w:val="28"/>
        </w:rPr>
      </w:pPr>
      <w:r>
        <w:rPr>
          <w:sz w:val="28"/>
        </w:rPr>
        <w:t>（六）主要股东是指持有或控制本行百分之五以上股份或表决权，或持有资本总额或股份总额</w:t>
      </w:r>
      <w:proofErr w:type="gramStart"/>
      <w:r>
        <w:rPr>
          <w:sz w:val="28"/>
        </w:rPr>
        <w:t>不足百分之五</w:t>
      </w:r>
      <w:proofErr w:type="gramEnd"/>
      <w:r>
        <w:rPr>
          <w:sz w:val="28"/>
        </w:rPr>
        <w:t>但对本行经营管理有重大影响的股东。</w:t>
      </w:r>
    </w:p>
    <w:p w14:paraId="2E6ACCBB" w14:textId="77777777" w:rsidR="005430C2" w:rsidRDefault="00E33CC4" w:rsidP="005C56D6">
      <w:pPr>
        <w:spacing w:line="360" w:lineRule="auto"/>
        <w:ind w:leftChars="200" w:left="440" w:firstLineChars="200" w:firstLine="560"/>
        <w:jc w:val="both"/>
        <w:rPr>
          <w:rFonts w:hint="default"/>
          <w:sz w:val="28"/>
        </w:rPr>
      </w:pPr>
      <w:r>
        <w:rPr>
          <w:sz w:val="28"/>
        </w:rPr>
        <w:t>前款中的“重大影响”，包括但不限于向本行派驻董事、监事或高级管理人员，通过协议或其他方式影响本行的财务和经营管理决策以及银行保险监督管理机构认定的其他情形。</w:t>
      </w:r>
    </w:p>
    <w:p w14:paraId="523CF5DA" w14:textId="77777777" w:rsidR="005430C2" w:rsidRDefault="00E33CC4" w:rsidP="005C56D6">
      <w:pPr>
        <w:spacing w:line="360" w:lineRule="auto"/>
        <w:ind w:firstLineChars="300" w:firstLine="840"/>
        <w:jc w:val="both"/>
        <w:rPr>
          <w:rFonts w:hint="default"/>
          <w:sz w:val="28"/>
        </w:rPr>
      </w:pPr>
      <w:r>
        <w:rPr>
          <w:rFonts w:hint="default"/>
          <w:sz w:val="28"/>
        </w:rPr>
        <w:t>（七）大股东是指符合下列条件之一的本行股东：</w:t>
      </w:r>
    </w:p>
    <w:p w14:paraId="07B096D2" w14:textId="77777777" w:rsidR="005430C2" w:rsidRDefault="00E33CC4" w:rsidP="005C56D6">
      <w:pPr>
        <w:spacing w:line="360" w:lineRule="auto"/>
        <w:ind w:leftChars="200" w:left="440" w:firstLineChars="200" w:firstLine="560"/>
        <w:jc w:val="both"/>
        <w:rPr>
          <w:rFonts w:hint="default"/>
          <w:sz w:val="28"/>
        </w:rPr>
      </w:pPr>
      <w:r>
        <w:rPr>
          <w:sz w:val="28"/>
        </w:rPr>
        <w:t>1</w:t>
      </w:r>
      <w:r>
        <w:rPr>
          <w:rFonts w:hint="default"/>
          <w:sz w:val="28"/>
        </w:rPr>
        <w:t>.持有本行</w:t>
      </w:r>
      <w:r>
        <w:rPr>
          <w:sz w:val="28"/>
        </w:rPr>
        <w:t>1</w:t>
      </w:r>
      <w:r>
        <w:rPr>
          <w:rFonts w:hint="default"/>
          <w:sz w:val="28"/>
        </w:rPr>
        <w:t>0%以上股权的；</w:t>
      </w:r>
    </w:p>
    <w:p w14:paraId="1C96BBFA" w14:textId="77777777" w:rsidR="005430C2" w:rsidRPr="006523A3" w:rsidRDefault="00E33CC4" w:rsidP="005C56D6">
      <w:pPr>
        <w:autoSpaceDE/>
        <w:autoSpaceDN/>
        <w:adjustRightInd/>
        <w:spacing w:line="360" w:lineRule="auto"/>
        <w:ind w:leftChars="200" w:left="440" w:firstLineChars="200" w:firstLine="560"/>
        <w:jc w:val="both"/>
        <w:rPr>
          <w:rFonts w:hint="default"/>
          <w:sz w:val="28"/>
        </w:rPr>
      </w:pPr>
      <w:r>
        <w:rPr>
          <w:sz w:val="28"/>
        </w:rPr>
        <w:t>2</w:t>
      </w:r>
      <w:r>
        <w:rPr>
          <w:rFonts w:hint="default"/>
          <w:sz w:val="28"/>
        </w:rPr>
        <w:t>.实际持有本行股权最多，且持股比例不低于</w:t>
      </w:r>
      <w:r>
        <w:rPr>
          <w:sz w:val="28"/>
        </w:rPr>
        <w:t>5</w:t>
      </w:r>
      <w:r>
        <w:rPr>
          <w:rFonts w:hint="default"/>
          <w:sz w:val="28"/>
        </w:rPr>
        <w:t>%的</w:t>
      </w:r>
      <w:r w:rsidRPr="006523A3">
        <w:rPr>
          <w:sz w:val="28"/>
        </w:rPr>
        <w:t>（含持股数量相同的股东）；</w:t>
      </w:r>
    </w:p>
    <w:p w14:paraId="5DB61673" w14:textId="77777777" w:rsidR="005430C2" w:rsidRDefault="00E33CC4" w:rsidP="005C56D6">
      <w:pPr>
        <w:spacing w:line="360" w:lineRule="auto"/>
        <w:ind w:leftChars="200" w:left="440" w:firstLineChars="200" w:firstLine="560"/>
        <w:jc w:val="both"/>
        <w:rPr>
          <w:rFonts w:hint="default"/>
          <w:sz w:val="28"/>
        </w:rPr>
      </w:pPr>
      <w:r>
        <w:rPr>
          <w:rFonts w:hint="default"/>
          <w:sz w:val="28"/>
        </w:rPr>
        <w:t>3.提名董事两名以上的；</w:t>
      </w:r>
    </w:p>
    <w:p w14:paraId="2D880F32" w14:textId="77777777" w:rsidR="005430C2" w:rsidRDefault="00E33CC4" w:rsidP="005C56D6">
      <w:pPr>
        <w:spacing w:line="360" w:lineRule="auto"/>
        <w:ind w:leftChars="200" w:left="440" w:firstLineChars="200" w:firstLine="560"/>
        <w:jc w:val="both"/>
        <w:rPr>
          <w:rFonts w:hint="default"/>
          <w:sz w:val="28"/>
        </w:rPr>
      </w:pPr>
      <w:r>
        <w:rPr>
          <w:sz w:val="28"/>
        </w:rPr>
        <w:t>4</w:t>
      </w:r>
      <w:r>
        <w:rPr>
          <w:rFonts w:hint="default"/>
          <w:sz w:val="28"/>
        </w:rPr>
        <w:t>.本行董事会认为对本行经营管理有控制性影响的；</w:t>
      </w:r>
    </w:p>
    <w:p w14:paraId="57BBCDB3" w14:textId="65142CC5" w:rsidR="005430C2" w:rsidRDefault="00E33CC4" w:rsidP="00F16B51">
      <w:pPr>
        <w:spacing w:line="360" w:lineRule="auto"/>
        <w:ind w:leftChars="200" w:left="440" w:firstLineChars="200" w:firstLine="560"/>
        <w:jc w:val="both"/>
        <w:rPr>
          <w:rFonts w:hint="default"/>
          <w:sz w:val="28"/>
        </w:rPr>
      </w:pPr>
      <w:r>
        <w:rPr>
          <w:sz w:val="28"/>
        </w:rPr>
        <w:lastRenderedPageBreak/>
        <w:t>5</w:t>
      </w:r>
      <w:r>
        <w:rPr>
          <w:rFonts w:hint="default"/>
          <w:sz w:val="28"/>
        </w:rPr>
        <w:t>.</w:t>
      </w:r>
      <w:r>
        <w:rPr>
          <w:sz w:val="28"/>
        </w:rPr>
        <w:t>银行保险监督管理机构</w:t>
      </w:r>
      <w:r>
        <w:rPr>
          <w:rFonts w:hint="default"/>
          <w:sz w:val="28"/>
        </w:rPr>
        <w:t>认定的其他情形。</w:t>
      </w:r>
    </w:p>
    <w:p w14:paraId="5ACF3261" w14:textId="77777777" w:rsidR="005430C2" w:rsidRDefault="00E33CC4" w:rsidP="00F16B51">
      <w:pPr>
        <w:spacing w:line="360" w:lineRule="auto"/>
        <w:ind w:leftChars="200" w:left="440" w:firstLineChars="200" w:firstLine="560"/>
        <w:jc w:val="both"/>
        <w:rPr>
          <w:rFonts w:hint="default"/>
          <w:sz w:val="28"/>
        </w:rPr>
      </w:pPr>
      <w:r>
        <w:rPr>
          <w:rFonts w:hint="default"/>
          <w:sz w:val="28"/>
        </w:rPr>
        <w:t>股东及其关联方、一致行动人的持股比例合并计算。持股比例合计符合上述要求的，对相关股东均视为大股东管理。</w:t>
      </w:r>
    </w:p>
    <w:p w14:paraId="17FF41EC" w14:textId="77777777" w:rsidR="005430C2" w:rsidRDefault="00E33CC4" w:rsidP="001E7211">
      <w:pPr>
        <w:numPr>
          <w:ilvl w:val="0"/>
          <w:numId w:val="2"/>
        </w:numPr>
        <w:spacing w:line="360" w:lineRule="auto"/>
        <w:ind w:firstLineChars="200" w:firstLine="560"/>
        <w:jc w:val="both"/>
        <w:rPr>
          <w:rFonts w:hint="default"/>
          <w:sz w:val="28"/>
        </w:rPr>
      </w:pPr>
      <w:r>
        <w:rPr>
          <w:sz w:val="28"/>
        </w:rPr>
        <w:t>本办法没有规定或与法律法规、监管要求及本行章程的规定不一致的，以法律法规、监管要求及本行章程的规定为准。</w:t>
      </w:r>
    </w:p>
    <w:p w14:paraId="3690BACD" w14:textId="77777777" w:rsidR="005430C2" w:rsidRDefault="00E33CC4" w:rsidP="001E7211">
      <w:pPr>
        <w:numPr>
          <w:ilvl w:val="0"/>
          <w:numId w:val="2"/>
        </w:numPr>
        <w:spacing w:line="360" w:lineRule="auto"/>
        <w:ind w:firstLineChars="200" w:firstLine="560"/>
        <w:jc w:val="both"/>
        <w:rPr>
          <w:rFonts w:hint="default"/>
          <w:sz w:val="28"/>
        </w:rPr>
      </w:pPr>
      <w:r>
        <w:rPr>
          <w:sz w:val="28"/>
        </w:rPr>
        <w:t>本办法由本行董事会负责解释。</w:t>
      </w:r>
    </w:p>
    <w:p w14:paraId="695B098F" w14:textId="520667FE" w:rsidR="005430C2" w:rsidRDefault="00E33CC4" w:rsidP="001E7211">
      <w:pPr>
        <w:numPr>
          <w:ilvl w:val="0"/>
          <w:numId w:val="2"/>
        </w:numPr>
        <w:spacing w:line="360" w:lineRule="auto"/>
        <w:ind w:firstLineChars="200" w:firstLine="560"/>
        <w:jc w:val="both"/>
        <w:rPr>
          <w:rFonts w:hint="default"/>
          <w:sz w:val="28"/>
        </w:rPr>
      </w:pPr>
      <w:r>
        <w:rPr>
          <w:sz w:val="28"/>
        </w:rPr>
        <w:t>本办法自董事会审议通过之日起生效。原《厦门银行股份有限公司股权管理办法（20</w:t>
      </w:r>
      <w:r>
        <w:rPr>
          <w:rFonts w:hint="default"/>
          <w:sz w:val="28"/>
        </w:rPr>
        <w:t>21</w:t>
      </w:r>
      <w:r>
        <w:rPr>
          <w:sz w:val="28"/>
        </w:rPr>
        <w:t>年修订）》同时废止。</w:t>
      </w:r>
    </w:p>
    <w:p w14:paraId="648AB0E7" w14:textId="77777777" w:rsidR="005430C2" w:rsidRDefault="005430C2">
      <w:pPr>
        <w:rPr>
          <w:rFonts w:hint="default"/>
        </w:rPr>
      </w:pPr>
    </w:p>
    <w:sectPr w:rsidR="005430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F1C6C8" w14:textId="77777777" w:rsidR="00D4266B" w:rsidRDefault="00D4266B" w:rsidP="00B12DD7">
      <w:pPr>
        <w:rPr>
          <w:rFonts w:hint="default"/>
        </w:rPr>
      </w:pPr>
      <w:r>
        <w:separator/>
      </w:r>
    </w:p>
  </w:endnote>
  <w:endnote w:type="continuationSeparator" w:id="0">
    <w:p w14:paraId="7807E360" w14:textId="77777777" w:rsidR="00D4266B" w:rsidRDefault="00D4266B" w:rsidP="00B12DD7">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19D920" w14:textId="77777777" w:rsidR="00D4266B" w:rsidRDefault="00D4266B" w:rsidP="00B12DD7">
      <w:pPr>
        <w:rPr>
          <w:rFonts w:hint="default"/>
        </w:rPr>
      </w:pPr>
      <w:r>
        <w:separator/>
      </w:r>
    </w:p>
  </w:footnote>
  <w:footnote w:type="continuationSeparator" w:id="0">
    <w:p w14:paraId="60420111" w14:textId="77777777" w:rsidR="00D4266B" w:rsidRDefault="00D4266B" w:rsidP="00B12DD7">
      <w:pPr>
        <w:rPr>
          <w:rFonts w:hint="default"/>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23CD367"/>
    <w:multiLevelType w:val="singleLevel"/>
    <w:tmpl w:val="A23CD367"/>
    <w:lvl w:ilvl="0">
      <w:start w:val="1"/>
      <w:numFmt w:val="decimal"/>
      <w:suff w:val="nothing"/>
      <w:lvlText w:val="%1、"/>
      <w:lvlJc w:val="left"/>
    </w:lvl>
  </w:abstractNum>
  <w:abstractNum w:abstractNumId="1">
    <w:nsid w:val="B3563AFA"/>
    <w:multiLevelType w:val="multilevel"/>
    <w:tmpl w:val="B3563AFA"/>
    <w:lvl w:ilvl="0">
      <w:start w:val="1"/>
      <w:numFmt w:val="chineseCountingThousand"/>
      <w:lvlText w:val="第%1条"/>
      <w:lvlJc w:val="left"/>
      <w:pPr>
        <w:tabs>
          <w:tab w:val="left" w:pos="2290"/>
        </w:tabs>
        <w:ind w:left="370" w:firstLine="480"/>
      </w:pPr>
      <w:rPr>
        <w:rFonts w:hint="eastAsia"/>
        <w:b/>
        <w:sz w:val="28"/>
        <w:szCs w:val="28"/>
        <w:lang w:val="en-US"/>
      </w:rPr>
    </w:lvl>
    <w:lvl w:ilvl="1">
      <w:start w:val="1"/>
      <w:numFmt w:val="japaneseCounting"/>
      <w:lvlText w:val="（%2）"/>
      <w:lvlJc w:val="left"/>
      <w:pPr>
        <w:tabs>
          <w:tab w:val="left" w:pos="1140"/>
        </w:tabs>
        <w:ind w:left="1140" w:hanging="720"/>
      </w:pPr>
      <w:rPr>
        <w:rFonts w:hint="eastAsia"/>
        <w:b/>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
    <w:nsid w:val="09D30B98"/>
    <w:multiLevelType w:val="multilevel"/>
    <w:tmpl w:val="05000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4B3D5A"/>
    <w:multiLevelType w:val="multilevel"/>
    <w:tmpl w:val="B3563AFA"/>
    <w:lvl w:ilvl="0">
      <w:start w:val="1"/>
      <w:numFmt w:val="chineseCountingThousand"/>
      <w:lvlText w:val="第%1条"/>
      <w:lvlJc w:val="left"/>
      <w:pPr>
        <w:tabs>
          <w:tab w:val="left" w:pos="2290"/>
        </w:tabs>
        <w:ind w:left="370" w:firstLine="480"/>
      </w:pPr>
      <w:rPr>
        <w:rFonts w:hint="eastAsia"/>
        <w:b/>
        <w:sz w:val="28"/>
        <w:szCs w:val="28"/>
        <w:lang w:val="en-US"/>
      </w:rPr>
    </w:lvl>
    <w:lvl w:ilvl="1">
      <w:start w:val="1"/>
      <w:numFmt w:val="japaneseCounting"/>
      <w:lvlText w:val="（%2）"/>
      <w:lvlJc w:val="left"/>
      <w:pPr>
        <w:tabs>
          <w:tab w:val="left" w:pos="1140"/>
        </w:tabs>
        <w:ind w:left="1140" w:hanging="720"/>
      </w:pPr>
      <w:rPr>
        <w:rFonts w:hint="eastAsia"/>
        <w:b/>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4">
    <w:nsid w:val="59402CFA"/>
    <w:multiLevelType w:val="multilevel"/>
    <w:tmpl w:val="384AC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447"/>
    <w:rsid w:val="00006FE0"/>
    <w:rsid w:val="00016E32"/>
    <w:rsid w:val="00067C44"/>
    <w:rsid w:val="00080897"/>
    <w:rsid w:val="000B111E"/>
    <w:rsid w:val="000B3542"/>
    <w:rsid w:val="000D4447"/>
    <w:rsid w:val="000E2A0B"/>
    <w:rsid w:val="00171C3A"/>
    <w:rsid w:val="001E7211"/>
    <w:rsid w:val="001E79B7"/>
    <w:rsid w:val="001E7ED4"/>
    <w:rsid w:val="002868DC"/>
    <w:rsid w:val="00287845"/>
    <w:rsid w:val="002A7B5B"/>
    <w:rsid w:val="002C4147"/>
    <w:rsid w:val="002E1A16"/>
    <w:rsid w:val="002E2E7F"/>
    <w:rsid w:val="002E4E93"/>
    <w:rsid w:val="003145AC"/>
    <w:rsid w:val="00340FAB"/>
    <w:rsid w:val="00352EE0"/>
    <w:rsid w:val="004167BC"/>
    <w:rsid w:val="004327F2"/>
    <w:rsid w:val="004A2B18"/>
    <w:rsid w:val="004B0E82"/>
    <w:rsid w:val="0051062A"/>
    <w:rsid w:val="00524040"/>
    <w:rsid w:val="005430C2"/>
    <w:rsid w:val="00586C73"/>
    <w:rsid w:val="005955B0"/>
    <w:rsid w:val="005C56D6"/>
    <w:rsid w:val="005E4351"/>
    <w:rsid w:val="00605BC0"/>
    <w:rsid w:val="00622722"/>
    <w:rsid w:val="0063406B"/>
    <w:rsid w:val="006523A3"/>
    <w:rsid w:val="00672501"/>
    <w:rsid w:val="00694CB9"/>
    <w:rsid w:val="006A31F3"/>
    <w:rsid w:val="006C5708"/>
    <w:rsid w:val="00731505"/>
    <w:rsid w:val="00795886"/>
    <w:rsid w:val="007C0B15"/>
    <w:rsid w:val="008045B7"/>
    <w:rsid w:val="00843A0C"/>
    <w:rsid w:val="00872D83"/>
    <w:rsid w:val="008869A1"/>
    <w:rsid w:val="008C0098"/>
    <w:rsid w:val="0092044F"/>
    <w:rsid w:val="00934BAE"/>
    <w:rsid w:val="00946989"/>
    <w:rsid w:val="009474EB"/>
    <w:rsid w:val="00947BC8"/>
    <w:rsid w:val="00961CCD"/>
    <w:rsid w:val="009B726F"/>
    <w:rsid w:val="00A00FB5"/>
    <w:rsid w:val="00A10DD3"/>
    <w:rsid w:val="00A13831"/>
    <w:rsid w:val="00A41355"/>
    <w:rsid w:val="00A8675F"/>
    <w:rsid w:val="00AB3C89"/>
    <w:rsid w:val="00AC4F00"/>
    <w:rsid w:val="00AE5CCE"/>
    <w:rsid w:val="00B07A3B"/>
    <w:rsid w:val="00B12DD7"/>
    <w:rsid w:val="00B65573"/>
    <w:rsid w:val="00BC700A"/>
    <w:rsid w:val="00BD0606"/>
    <w:rsid w:val="00BF25FD"/>
    <w:rsid w:val="00C13BBD"/>
    <w:rsid w:val="00C57A0E"/>
    <w:rsid w:val="00CE416B"/>
    <w:rsid w:val="00D02B87"/>
    <w:rsid w:val="00D106AD"/>
    <w:rsid w:val="00D23503"/>
    <w:rsid w:val="00D4266B"/>
    <w:rsid w:val="00D54A38"/>
    <w:rsid w:val="00D813E7"/>
    <w:rsid w:val="00D824A7"/>
    <w:rsid w:val="00D85384"/>
    <w:rsid w:val="00DA6181"/>
    <w:rsid w:val="00DA6AE8"/>
    <w:rsid w:val="00DC1F9B"/>
    <w:rsid w:val="00DD7FA9"/>
    <w:rsid w:val="00E06C5C"/>
    <w:rsid w:val="00E21D25"/>
    <w:rsid w:val="00E26C5A"/>
    <w:rsid w:val="00E33CC4"/>
    <w:rsid w:val="00E354A1"/>
    <w:rsid w:val="00E83EBE"/>
    <w:rsid w:val="00EB1467"/>
    <w:rsid w:val="00EE0D95"/>
    <w:rsid w:val="00EF36CD"/>
    <w:rsid w:val="00F16B51"/>
    <w:rsid w:val="00F75C21"/>
    <w:rsid w:val="00F82C23"/>
    <w:rsid w:val="00FD435F"/>
    <w:rsid w:val="05986935"/>
    <w:rsid w:val="05DC2DD6"/>
    <w:rsid w:val="05DC318A"/>
    <w:rsid w:val="06633D0E"/>
    <w:rsid w:val="06793E85"/>
    <w:rsid w:val="07B51DCB"/>
    <w:rsid w:val="07D769C6"/>
    <w:rsid w:val="0871797E"/>
    <w:rsid w:val="08C61A99"/>
    <w:rsid w:val="0B026866"/>
    <w:rsid w:val="0BD92CAF"/>
    <w:rsid w:val="0BDA1B48"/>
    <w:rsid w:val="0C782DDC"/>
    <w:rsid w:val="107B22DE"/>
    <w:rsid w:val="12285562"/>
    <w:rsid w:val="127277EC"/>
    <w:rsid w:val="12DD0970"/>
    <w:rsid w:val="15D519EA"/>
    <w:rsid w:val="198567F9"/>
    <w:rsid w:val="1AC544D4"/>
    <w:rsid w:val="1B686637"/>
    <w:rsid w:val="1C1C5991"/>
    <w:rsid w:val="1F746CF8"/>
    <w:rsid w:val="203C1D5E"/>
    <w:rsid w:val="21931C32"/>
    <w:rsid w:val="21960919"/>
    <w:rsid w:val="22C270ED"/>
    <w:rsid w:val="22F203A0"/>
    <w:rsid w:val="230A12FF"/>
    <w:rsid w:val="234E3621"/>
    <w:rsid w:val="23844E4C"/>
    <w:rsid w:val="23E93EDB"/>
    <w:rsid w:val="251D0BD3"/>
    <w:rsid w:val="25A24275"/>
    <w:rsid w:val="25FA4159"/>
    <w:rsid w:val="28F36E7F"/>
    <w:rsid w:val="2DFA0670"/>
    <w:rsid w:val="2E741D6D"/>
    <w:rsid w:val="2E864988"/>
    <w:rsid w:val="2EDA6B42"/>
    <w:rsid w:val="2F4824DE"/>
    <w:rsid w:val="2F9246DB"/>
    <w:rsid w:val="2FB570CE"/>
    <w:rsid w:val="2FD57D4D"/>
    <w:rsid w:val="31434961"/>
    <w:rsid w:val="32111E4F"/>
    <w:rsid w:val="33964FC5"/>
    <w:rsid w:val="341845CE"/>
    <w:rsid w:val="3472408B"/>
    <w:rsid w:val="34F059BA"/>
    <w:rsid w:val="35CE2AD4"/>
    <w:rsid w:val="36051B2C"/>
    <w:rsid w:val="3769079D"/>
    <w:rsid w:val="39660DD6"/>
    <w:rsid w:val="3A4E10B9"/>
    <w:rsid w:val="3B7B06A4"/>
    <w:rsid w:val="3B9B5915"/>
    <w:rsid w:val="3B9C3AD6"/>
    <w:rsid w:val="3E481FE8"/>
    <w:rsid w:val="3EE30942"/>
    <w:rsid w:val="3F1E3814"/>
    <w:rsid w:val="40B92883"/>
    <w:rsid w:val="416E77AB"/>
    <w:rsid w:val="42EE5B60"/>
    <w:rsid w:val="434D1B3A"/>
    <w:rsid w:val="43AA1F28"/>
    <w:rsid w:val="449449FF"/>
    <w:rsid w:val="45A65989"/>
    <w:rsid w:val="46D5468F"/>
    <w:rsid w:val="49C80891"/>
    <w:rsid w:val="4A6D086D"/>
    <w:rsid w:val="4AF90AF6"/>
    <w:rsid w:val="4BB20C9C"/>
    <w:rsid w:val="4C4457BB"/>
    <w:rsid w:val="4C843D36"/>
    <w:rsid w:val="4CD22B80"/>
    <w:rsid w:val="4D917450"/>
    <w:rsid w:val="50652BE1"/>
    <w:rsid w:val="53101EF9"/>
    <w:rsid w:val="5326061E"/>
    <w:rsid w:val="53983F08"/>
    <w:rsid w:val="54531054"/>
    <w:rsid w:val="55691071"/>
    <w:rsid w:val="55DA4409"/>
    <w:rsid w:val="56437CC2"/>
    <w:rsid w:val="582E43AE"/>
    <w:rsid w:val="595F4914"/>
    <w:rsid w:val="5A2E2031"/>
    <w:rsid w:val="5BF22C1C"/>
    <w:rsid w:val="5CEC1C94"/>
    <w:rsid w:val="5DAE4E53"/>
    <w:rsid w:val="5DFA335A"/>
    <w:rsid w:val="5DFC5C3E"/>
    <w:rsid w:val="5EA549F9"/>
    <w:rsid w:val="60743327"/>
    <w:rsid w:val="60EF4062"/>
    <w:rsid w:val="61DE064A"/>
    <w:rsid w:val="62A07922"/>
    <w:rsid w:val="63534B5B"/>
    <w:rsid w:val="64563A12"/>
    <w:rsid w:val="646208F9"/>
    <w:rsid w:val="665A14FD"/>
    <w:rsid w:val="666E20EB"/>
    <w:rsid w:val="6703326A"/>
    <w:rsid w:val="67596D11"/>
    <w:rsid w:val="68D81212"/>
    <w:rsid w:val="6D460EDA"/>
    <w:rsid w:val="72387001"/>
    <w:rsid w:val="72A6465B"/>
    <w:rsid w:val="72BD7DF9"/>
    <w:rsid w:val="75325BA2"/>
    <w:rsid w:val="75EC704E"/>
    <w:rsid w:val="767778B0"/>
    <w:rsid w:val="79232523"/>
    <w:rsid w:val="7B414AA5"/>
    <w:rsid w:val="7C0378C7"/>
    <w:rsid w:val="7D716E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58B0229-2B3B-4D01-A8A2-361BA0ADB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caption" w:semiHidden="1" w:unhideWhenUsed="1" w:qFormat="1"/>
    <w:lsdException w:name="Title" w:qFormat="1"/>
    <w:lsdException w:name="Default Paragraph Font" w:semiHidden="1" w:uiPriority="1" w:unhideWhenUsed="1"/>
    <w:lsdException w:name="Body Tex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unhideWhenUsed/>
    <w:qFormat/>
    <w:pPr>
      <w:widowControl w:val="0"/>
      <w:autoSpaceDE w:val="0"/>
      <w:autoSpaceDN w:val="0"/>
      <w:adjustRightInd w:val="0"/>
    </w:pPr>
    <w:rPr>
      <w:rFonts w:ascii="宋体" w:hAnsi="宋体" w:hint="eastAsia"/>
      <w:sz w:val="22"/>
    </w:rPr>
  </w:style>
  <w:style w:type="paragraph" w:styleId="1">
    <w:name w:val="heading 1"/>
    <w:basedOn w:val="a"/>
    <w:next w:val="a"/>
    <w:uiPriority w:val="1"/>
    <w:unhideWhenUsed/>
    <w:qFormat/>
    <w:pPr>
      <w:ind w:left="716" w:right="856"/>
      <w:jc w:val="center"/>
      <w:outlineLvl w:val="0"/>
    </w:pPr>
    <w:rPr>
      <w:rFonts w:ascii="黑体" w:eastAsia="黑体" w:hAnsi="黑体"/>
      <w:sz w:val="32"/>
    </w:rPr>
  </w:style>
  <w:style w:type="paragraph" w:styleId="2">
    <w:name w:val="heading 2"/>
    <w:basedOn w:val="a"/>
    <w:next w:val="a"/>
    <w:semiHidden/>
    <w:unhideWhenUsed/>
    <w:qFormat/>
    <w:pPr>
      <w:spacing w:beforeAutospacing="1" w:afterAutospacing="1"/>
      <w:outlineLvl w:val="1"/>
    </w:pPr>
    <w:rPr>
      <w:b/>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style>
  <w:style w:type="paragraph" w:styleId="a4">
    <w:name w:val="Body Text"/>
    <w:basedOn w:val="a"/>
    <w:uiPriority w:val="1"/>
    <w:unhideWhenUsed/>
    <w:qFormat/>
    <w:pPr>
      <w:ind w:left="120" w:firstLine="559"/>
    </w:pPr>
    <w:rPr>
      <w:sz w:val="28"/>
    </w:rPr>
  </w:style>
  <w:style w:type="paragraph" w:styleId="a5">
    <w:name w:val="Balloon Text"/>
    <w:basedOn w:val="a"/>
    <w:link w:val="Char0"/>
    <w:rPr>
      <w:sz w:val="18"/>
      <w:szCs w:val="18"/>
    </w:rPr>
  </w:style>
  <w:style w:type="paragraph" w:styleId="a6">
    <w:name w:val="footer"/>
    <w:basedOn w:val="a"/>
    <w:link w:val="Char1"/>
    <w:pPr>
      <w:tabs>
        <w:tab w:val="center" w:pos="4153"/>
        <w:tab w:val="right" w:pos="8306"/>
      </w:tabs>
      <w:snapToGrid w:val="0"/>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rPr>
      <w:b/>
      <w:bCs/>
    </w:rPr>
  </w:style>
  <w:style w:type="character" w:styleId="a9">
    <w:name w:val="annotation reference"/>
    <w:basedOn w:val="a0"/>
    <w:rPr>
      <w:sz w:val="21"/>
      <w:szCs w:val="21"/>
    </w:rPr>
  </w:style>
  <w:style w:type="paragraph" w:styleId="aa">
    <w:name w:val="List Paragraph"/>
    <w:basedOn w:val="a"/>
    <w:uiPriority w:val="34"/>
    <w:qFormat/>
    <w:pPr>
      <w:ind w:firstLineChars="200" w:firstLine="420"/>
    </w:pPr>
  </w:style>
  <w:style w:type="character" w:customStyle="1" w:styleId="Char2">
    <w:name w:val="页眉 Char"/>
    <w:basedOn w:val="a0"/>
    <w:link w:val="a7"/>
    <w:qFormat/>
    <w:rPr>
      <w:rFonts w:ascii="宋体" w:eastAsia="宋体" w:hAnsi="宋体" w:cs="Times New Roman"/>
      <w:sz w:val="18"/>
      <w:szCs w:val="18"/>
    </w:rPr>
  </w:style>
  <w:style w:type="character" w:customStyle="1" w:styleId="Char1">
    <w:name w:val="页脚 Char"/>
    <w:basedOn w:val="a0"/>
    <w:link w:val="a6"/>
    <w:qFormat/>
    <w:rPr>
      <w:rFonts w:ascii="宋体" w:eastAsia="宋体" w:hAnsi="宋体" w:cs="Times New Roman"/>
      <w:sz w:val="18"/>
      <w:szCs w:val="18"/>
    </w:rPr>
  </w:style>
  <w:style w:type="character" w:customStyle="1" w:styleId="Char0">
    <w:name w:val="批注框文本 Char"/>
    <w:basedOn w:val="a0"/>
    <w:link w:val="a5"/>
    <w:qFormat/>
    <w:rPr>
      <w:rFonts w:ascii="宋体" w:eastAsia="宋体" w:hAnsi="宋体" w:cs="Times New Roman"/>
      <w:sz w:val="18"/>
      <w:szCs w:val="18"/>
    </w:rPr>
  </w:style>
  <w:style w:type="character" w:customStyle="1" w:styleId="Char">
    <w:name w:val="批注文字 Char"/>
    <w:basedOn w:val="a0"/>
    <w:link w:val="a3"/>
    <w:rPr>
      <w:rFonts w:ascii="宋体" w:eastAsia="宋体" w:hAnsi="宋体" w:cs="Times New Roman"/>
      <w:sz w:val="22"/>
    </w:rPr>
  </w:style>
  <w:style w:type="character" w:customStyle="1" w:styleId="Char3">
    <w:name w:val="批注主题 Char"/>
    <w:basedOn w:val="Char"/>
    <w:link w:val="a8"/>
    <w:qFormat/>
    <w:rPr>
      <w:rFonts w:ascii="宋体" w:eastAsia="宋体" w:hAnsi="宋体" w:cs="Times New Roman"/>
      <w:b/>
      <w:bCs/>
      <w:sz w:val="22"/>
    </w:rPr>
  </w:style>
  <w:style w:type="paragraph" w:styleId="ab">
    <w:name w:val="Revision"/>
    <w:hidden/>
    <w:uiPriority w:val="99"/>
    <w:semiHidden/>
    <w:rsid w:val="001E7ED4"/>
    <w:rPr>
      <w:rFonts w:ascii="宋体" w:hAnsi="宋体" w:hint="eastAsi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472112">
      <w:bodyDiv w:val="1"/>
      <w:marLeft w:val="0"/>
      <w:marRight w:val="0"/>
      <w:marTop w:val="0"/>
      <w:marBottom w:val="0"/>
      <w:divBdr>
        <w:top w:val="none" w:sz="0" w:space="0" w:color="auto"/>
        <w:left w:val="none" w:sz="0" w:space="0" w:color="auto"/>
        <w:bottom w:val="none" w:sz="0" w:space="0" w:color="auto"/>
        <w:right w:val="none" w:sz="0" w:space="0" w:color="auto"/>
      </w:divBdr>
    </w:div>
    <w:div w:id="453252886">
      <w:bodyDiv w:val="1"/>
      <w:marLeft w:val="0"/>
      <w:marRight w:val="0"/>
      <w:marTop w:val="0"/>
      <w:marBottom w:val="0"/>
      <w:divBdr>
        <w:top w:val="none" w:sz="0" w:space="0" w:color="auto"/>
        <w:left w:val="none" w:sz="0" w:space="0" w:color="auto"/>
        <w:bottom w:val="none" w:sz="0" w:space="0" w:color="auto"/>
        <w:right w:val="none" w:sz="0" w:space="0" w:color="auto"/>
      </w:divBdr>
      <w:divsChild>
        <w:div w:id="191849379">
          <w:marLeft w:val="0"/>
          <w:marRight w:val="0"/>
          <w:marTop w:val="0"/>
          <w:marBottom w:val="0"/>
          <w:divBdr>
            <w:top w:val="none" w:sz="0" w:space="0" w:color="auto"/>
            <w:left w:val="none" w:sz="0" w:space="0" w:color="auto"/>
            <w:bottom w:val="none" w:sz="0" w:space="0" w:color="auto"/>
            <w:right w:val="none" w:sz="0" w:space="0" w:color="auto"/>
          </w:divBdr>
        </w:div>
      </w:divsChild>
    </w:div>
    <w:div w:id="540938585">
      <w:bodyDiv w:val="1"/>
      <w:marLeft w:val="0"/>
      <w:marRight w:val="0"/>
      <w:marTop w:val="0"/>
      <w:marBottom w:val="0"/>
      <w:divBdr>
        <w:top w:val="none" w:sz="0" w:space="0" w:color="auto"/>
        <w:left w:val="none" w:sz="0" w:space="0" w:color="auto"/>
        <w:bottom w:val="none" w:sz="0" w:space="0" w:color="auto"/>
        <w:right w:val="none" w:sz="0" w:space="0" w:color="auto"/>
      </w:divBdr>
      <w:divsChild>
        <w:div w:id="1624656335">
          <w:marLeft w:val="0"/>
          <w:marRight w:val="0"/>
          <w:marTop w:val="0"/>
          <w:marBottom w:val="0"/>
          <w:divBdr>
            <w:top w:val="none" w:sz="0" w:space="0" w:color="auto"/>
            <w:left w:val="none" w:sz="0" w:space="0" w:color="auto"/>
            <w:bottom w:val="none" w:sz="0" w:space="0" w:color="auto"/>
            <w:right w:val="none" w:sz="0" w:space="0" w:color="auto"/>
          </w:divBdr>
        </w:div>
      </w:divsChild>
    </w:div>
    <w:div w:id="1905606978">
      <w:bodyDiv w:val="1"/>
      <w:marLeft w:val="0"/>
      <w:marRight w:val="0"/>
      <w:marTop w:val="0"/>
      <w:marBottom w:val="0"/>
      <w:divBdr>
        <w:top w:val="none" w:sz="0" w:space="0" w:color="auto"/>
        <w:left w:val="none" w:sz="0" w:space="0" w:color="auto"/>
        <w:bottom w:val="none" w:sz="0" w:space="0" w:color="auto"/>
        <w:right w:val="none" w:sz="0" w:space="0" w:color="auto"/>
      </w:divBdr>
    </w:div>
    <w:div w:id="20966318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243</TotalTime>
  <Pages>16</Pages>
  <Words>1120</Words>
  <Characters>6388</Characters>
  <Application>Microsoft Office Word</Application>
  <DocSecurity>0</DocSecurity>
  <Lines>53</Lines>
  <Paragraphs>14</Paragraphs>
  <ScaleCrop>false</ScaleCrop>
  <Company>AB</Company>
  <LinksUpToDate>false</LinksUpToDate>
  <CharactersWithSpaces>7494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Windows 用户</cp:lastModifiedBy>
  <cp:revision>27</cp:revision>
  <dcterms:created xsi:type="dcterms:W3CDTF">2023-06-09T07:41:00Z</dcterms:created>
  <dcterms:modified xsi:type="dcterms:W3CDTF">2023-08-28T06:57:00Z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