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C6C27" w:rsidRDefault="004A48C9">
      <w:pPr>
        <w:spacing w:line="360" w:lineRule="auto"/>
        <w:outlineLvl w:val="0"/>
        <w:rPr>
          <w:rFonts w:ascii="宋体" w:eastAsia="宋体" w:hAnsi="宋体" w:cs="Sim Sun"/>
          <w:b/>
          <w:color w:val="000000"/>
          <w:kern w:val="0"/>
          <w:sz w:val="24"/>
        </w:rPr>
      </w:pPr>
      <w:r>
        <w:rPr>
          <w:rFonts w:ascii="宋体" w:eastAsia="宋体" w:hAnsi="宋体" w:cs="Sim Sun" w:hint="eastAsia"/>
          <w:b/>
          <w:color w:val="000000"/>
          <w:kern w:val="0"/>
          <w:sz w:val="24"/>
        </w:rPr>
        <w:t xml:space="preserve">证券代码：601187        证券简称：厦门银行        </w:t>
      </w:r>
      <w:r w:rsidRPr="009D6698">
        <w:rPr>
          <w:rFonts w:ascii="宋体" w:eastAsia="宋体" w:hAnsi="宋体" w:cs="Sim Sun" w:hint="eastAsia"/>
          <w:b/>
          <w:color w:val="000000"/>
          <w:kern w:val="0"/>
          <w:sz w:val="24"/>
        </w:rPr>
        <w:t>公告编号：</w:t>
      </w:r>
      <w:r w:rsidRPr="009D6698">
        <w:rPr>
          <w:rFonts w:ascii="宋体" w:eastAsia="宋体" w:hAnsi="宋体" w:cs="Sim Sun"/>
          <w:b/>
          <w:color w:val="000000"/>
          <w:kern w:val="0"/>
          <w:sz w:val="24"/>
        </w:rPr>
        <w:t>202</w:t>
      </w:r>
      <w:r w:rsidRPr="009D6698">
        <w:rPr>
          <w:rFonts w:ascii="宋体" w:eastAsia="宋体" w:hAnsi="宋体" w:cs="Sim Sun" w:hint="eastAsia"/>
          <w:b/>
          <w:color w:val="000000"/>
          <w:kern w:val="0"/>
          <w:sz w:val="24"/>
        </w:rPr>
        <w:t>3</w:t>
      </w:r>
      <w:r w:rsidRPr="009D6698">
        <w:rPr>
          <w:rFonts w:ascii="宋体" w:eastAsia="宋体" w:hAnsi="宋体" w:cs="Sim Sun"/>
          <w:b/>
          <w:color w:val="000000"/>
          <w:kern w:val="0"/>
          <w:sz w:val="24"/>
        </w:rPr>
        <w:t>-0</w:t>
      </w:r>
      <w:r w:rsidR="009D6698">
        <w:rPr>
          <w:rFonts w:ascii="宋体" w:eastAsia="宋体" w:hAnsi="宋体" w:cs="Sim Sun"/>
          <w:b/>
          <w:color w:val="000000"/>
          <w:kern w:val="0"/>
          <w:sz w:val="24"/>
        </w:rPr>
        <w:t>16</w:t>
      </w:r>
    </w:p>
    <w:p w:rsidR="000C6C27" w:rsidRDefault="000C6C27">
      <w:pPr>
        <w:spacing w:line="360" w:lineRule="auto"/>
        <w:jc w:val="center"/>
        <w:rPr>
          <w:rFonts w:asciiTheme="minorEastAsia" w:hAnsiTheme="minorEastAsia" w:cstheme="minorEastAsia"/>
          <w:sz w:val="30"/>
          <w:szCs w:val="30"/>
        </w:rPr>
      </w:pPr>
    </w:p>
    <w:p w:rsidR="000C6C27" w:rsidRDefault="004A48C9">
      <w:pPr>
        <w:spacing w:beforeLines="50" w:before="156" w:afterLines="50" w:after="156" w:line="360" w:lineRule="auto"/>
        <w:jc w:val="center"/>
        <w:outlineLvl w:val="1"/>
        <w:rPr>
          <w:rFonts w:ascii="黑体" w:eastAsia="黑体" w:hAnsi="黑体" w:cs="黑体"/>
          <w:b/>
          <w:bCs/>
          <w:color w:val="FF0000"/>
          <w:sz w:val="36"/>
          <w:szCs w:val="36"/>
        </w:rPr>
      </w:pPr>
      <w:r>
        <w:rPr>
          <w:rFonts w:ascii="黑体" w:eastAsia="黑体" w:hAnsi="黑体" w:cs="黑体" w:hint="eastAsia"/>
          <w:b/>
          <w:bCs/>
          <w:color w:val="FF0000"/>
          <w:sz w:val="36"/>
          <w:szCs w:val="36"/>
        </w:rPr>
        <w:t>厦门银行股份有限公司</w:t>
      </w:r>
    </w:p>
    <w:p w:rsidR="000C6C27" w:rsidRDefault="004A48C9">
      <w:pPr>
        <w:spacing w:beforeLines="50" w:before="156" w:afterLines="50" w:after="156" w:line="360" w:lineRule="auto"/>
        <w:jc w:val="center"/>
        <w:outlineLvl w:val="1"/>
        <w:rPr>
          <w:rFonts w:ascii="黑体" w:eastAsia="黑体" w:hAnsi="黑体" w:cs="黑体"/>
          <w:b/>
          <w:bCs/>
          <w:color w:val="FF0000"/>
          <w:sz w:val="36"/>
          <w:szCs w:val="36"/>
        </w:rPr>
      </w:pPr>
      <w:r>
        <w:rPr>
          <w:rFonts w:ascii="黑体" w:eastAsia="黑体" w:hAnsi="黑体" w:cs="黑体" w:hint="eastAsia"/>
          <w:b/>
          <w:bCs/>
          <w:color w:val="FF0000"/>
          <w:sz w:val="36"/>
          <w:szCs w:val="36"/>
        </w:rPr>
        <w:t>关于续聘会计师事务所的公告</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296"/>
      </w:tblGrid>
      <w:tr w:rsidR="000C6C27">
        <w:tc>
          <w:tcPr>
            <w:tcW w:w="8868" w:type="dxa"/>
          </w:tcPr>
          <w:p w:rsidR="000C6C27" w:rsidRDefault="004A48C9">
            <w:pPr>
              <w:spacing w:beforeLines="50" w:before="156" w:afterLines="50" w:after="156" w:line="360" w:lineRule="auto"/>
              <w:ind w:firstLineChars="200" w:firstLine="480"/>
              <w:rPr>
                <w:rFonts w:ascii="黑体" w:eastAsia="黑体"/>
                <w:b/>
                <w:bCs/>
                <w:sz w:val="24"/>
              </w:rPr>
            </w:pPr>
            <w:r>
              <w:rPr>
                <w:rFonts w:ascii="仿宋_GB2312" w:eastAsia="仿宋_GB2312" w:hAnsi="宋体" w:hint="eastAsia"/>
                <w:sz w:val="24"/>
                <w:szCs w:val="22"/>
              </w:rPr>
              <w:t>厦门银行股份有限公司董事会及全体董事保证本公告内容不存在任何虚假记载、误导性陈述或者重大遗漏，并对其内容的真实性、准确性和完整性法律责任。</w:t>
            </w:r>
            <w:r>
              <w:rPr>
                <w:rFonts w:ascii="仿宋_GB2312" w:eastAsia="仿宋_GB2312" w:hAnsi="宋体"/>
                <w:sz w:val="24"/>
                <w:szCs w:val="22"/>
              </w:rPr>
              <w:t xml:space="preserve"> </w:t>
            </w:r>
          </w:p>
        </w:tc>
      </w:tr>
    </w:tbl>
    <w:p w:rsidR="000C6C27" w:rsidRDefault="000C6C27">
      <w:pPr>
        <w:spacing w:line="360" w:lineRule="auto"/>
        <w:jc w:val="left"/>
        <w:rPr>
          <w:rFonts w:asciiTheme="minorEastAsia" w:hAnsiTheme="minorEastAsia" w:cstheme="minorEastAsia"/>
          <w:color w:val="000000"/>
          <w:sz w:val="24"/>
        </w:rPr>
      </w:pPr>
    </w:p>
    <w:p w:rsidR="000C6C27" w:rsidRDefault="004A48C9">
      <w:pPr>
        <w:spacing w:line="360" w:lineRule="auto"/>
        <w:jc w:val="left"/>
        <w:outlineLvl w:val="0"/>
        <w:rPr>
          <w:rFonts w:asciiTheme="minorEastAsia" w:hAnsiTheme="minorEastAsia" w:cstheme="minorEastAsia"/>
          <w:b/>
          <w:sz w:val="24"/>
        </w:rPr>
      </w:pPr>
      <w:r>
        <w:rPr>
          <w:rFonts w:asciiTheme="minorEastAsia" w:hAnsiTheme="minorEastAsia" w:cstheme="minorEastAsia" w:hint="eastAsia"/>
          <w:b/>
          <w:sz w:val="24"/>
        </w:rPr>
        <w:t xml:space="preserve">重要内容提示： </w:t>
      </w:r>
    </w:p>
    <w:p w:rsidR="000C6C27" w:rsidRDefault="004A48C9">
      <w:pPr>
        <w:pStyle w:val="ac"/>
        <w:numPr>
          <w:ilvl w:val="0"/>
          <w:numId w:val="1"/>
        </w:numPr>
        <w:spacing w:line="360" w:lineRule="auto"/>
        <w:ind w:firstLineChars="0"/>
        <w:jc w:val="left"/>
        <w:rPr>
          <w:rFonts w:asciiTheme="minorEastAsia" w:hAnsiTheme="minorEastAsia" w:cstheme="minorEastAsia"/>
          <w:color w:val="000000"/>
          <w:sz w:val="24"/>
        </w:rPr>
      </w:pPr>
      <w:r>
        <w:rPr>
          <w:rFonts w:asciiTheme="minorEastAsia" w:hAnsiTheme="minorEastAsia" w:cstheme="minorEastAsia" w:hint="eastAsia"/>
          <w:sz w:val="24"/>
        </w:rPr>
        <w:t>厦门银行股份有限公司（以下简称“公司”或“本行”）拟聘任的会计师事务所名称：安永华明会计师事务所（特殊普通合伙）（</w:t>
      </w:r>
      <w:r>
        <w:rPr>
          <w:rFonts w:ascii="宋体" w:eastAsia="宋体" w:hAnsi="宋体" w:hint="eastAsia"/>
          <w:color w:val="000000"/>
          <w:sz w:val="24"/>
        </w:rPr>
        <w:t>以下简称“安永华明”）</w:t>
      </w:r>
    </w:p>
    <w:p w:rsidR="000C6C27" w:rsidRDefault="000C6C27">
      <w:pPr>
        <w:spacing w:line="360" w:lineRule="auto"/>
        <w:ind w:firstLineChars="236" w:firstLine="566"/>
        <w:rPr>
          <w:rFonts w:asciiTheme="minorEastAsia" w:hAnsiTheme="minorEastAsia" w:cstheme="minorEastAsia"/>
          <w:bCs/>
          <w:color w:val="000000"/>
          <w:kern w:val="36"/>
          <w:sz w:val="24"/>
        </w:rPr>
      </w:pPr>
    </w:p>
    <w:p w:rsidR="000C6C27" w:rsidRDefault="004A48C9">
      <w:pPr>
        <w:spacing w:line="360" w:lineRule="auto"/>
        <w:outlineLvl w:val="0"/>
        <w:rPr>
          <w:rFonts w:asciiTheme="minorEastAsia" w:hAnsiTheme="minorEastAsia" w:cstheme="minorEastAsia"/>
          <w:b/>
          <w:color w:val="000000"/>
          <w:kern w:val="36"/>
          <w:sz w:val="24"/>
        </w:rPr>
      </w:pPr>
      <w:r>
        <w:rPr>
          <w:rFonts w:asciiTheme="minorEastAsia" w:hAnsiTheme="minorEastAsia" w:cstheme="minorEastAsia" w:hint="eastAsia"/>
          <w:b/>
          <w:color w:val="000000"/>
          <w:kern w:val="36"/>
          <w:sz w:val="24"/>
        </w:rPr>
        <w:t>一、拟聘任会计师事务所基本情况</w:t>
      </w:r>
    </w:p>
    <w:p w:rsidR="000C6C27" w:rsidRDefault="004A48C9">
      <w:pPr>
        <w:spacing w:line="360" w:lineRule="auto"/>
        <w:ind w:firstLineChars="200" w:firstLine="482"/>
        <w:outlineLvl w:val="1"/>
        <w:rPr>
          <w:rFonts w:asciiTheme="minorEastAsia" w:hAnsiTheme="minorEastAsia" w:cstheme="minorEastAsia"/>
          <w:bCs/>
          <w:color w:val="000000"/>
          <w:kern w:val="36"/>
          <w:sz w:val="24"/>
        </w:rPr>
      </w:pPr>
      <w:r>
        <w:rPr>
          <w:rFonts w:asciiTheme="minorEastAsia" w:hAnsiTheme="minorEastAsia" w:cstheme="minorEastAsia" w:hint="eastAsia"/>
          <w:b/>
          <w:color w:val="000000"/>
          <w:kern w:val="36"/>
          <w:sz w:val="24"/>
        </w:rPr>
        <w:t>（一）机构信息</w:t>
      </w:r>
    </w:p>
    <w:p w:rsidR="000C6C27" w:rsidRDefault="004A48C9">
      <w:pPr>
        <w:spacing w:line="360" w:lineRule="auto"/>
        <w:ind w:firstLineChars="200" w:firstLine="480"/>
        <w:rPr>
          <w:rFonts w:asciiTheme="minorEastAsia" w:hAnsiTheme="minorEastAsia"/>
          <w:sz w:val="24"/>
        </w:rPr>
      </w:pPr>
      <w:r>
        <w:rPr>
          <w:rFonts w:asciiTheme="minorEastAsia" w:hAnsiTheme="minorEastAsia" w:hint="eastAsia"/>
          <w:sz w:val="24"/>
        </w:rPr>
        <w:t>1、基本信息</w:t>
      </w:r>
    </w:p>
    <w:p w:rsidR="000C6C27" w:rsidRDefault="004A48C9">
      <w:pPr>
        <w:spacing w:line="360" w:lineRule="auto"/>
        <w:ind w:firstLineChars="200" w:firstLine="480"/>
        <w:rPr>
          <w:rFonts w:ascii="宋体" w:eastAsia="宋体" w:hAnsi="宋体"/>
          <w:color w:val="000000"/>
          <w:sz w:val="24"/>
        </w:rPr>
      </w:pPr>
      <w:r>
        <w:rPr>
          <w:rFonts w:ascii="宋体" w:eastAsia="宋体" w:hAnsi="宋体" w:hint="eastAsia"/>
          <w:color w:val="000000"/>
          <w:sz w:val="24"/>
        </w:rPr>
        <w:t>安永华明于1992年9月成立，2012年8月完成本土化转制，从一家中外合作的有限责任制事务所转制为特殊普通合伙制事务所。安永华明总部设在北京，注册地址为北京市东城区东长安街1号东方广场安永大楼17层01-12室。截至2022年末拥有合伙人229人，首席合伙人</w:t>
      </w:r>
      <w:proofErr w:type="gramStart"/>
      <w:r>
        <w:rPr>
          <w:rFonts w:ascii="宋体" w:eastAsia="宋体" w:hAnsi="宋体" w:hint="eastAsia"/>
          <w:color w:val="000000"/>
          <w:sz w:val="24"/>
        </w:rPr>
        <w:t>为毛鞍宁先生</w:t>
      </w:r>
      <w:proofErr w:type="gramEnd"/>
      <w:r>
        <w:rPr>
          <w:rFonts w:ascii="宋体" w:eastAsia="宋体" w:hAnsi="宋体" w:hint="eastAsia"/>
          <w:color w:val="000000"/>
          <w:sz w:val="24"/>
        </w:rPr>
        <w:t>。安永华明一直以来注重人才培养，截至2022年末拥有执业注册会计师1818人，其中拥有证券相关业务服务经验的执业注册会计师超过1500人,注册会计师中签署过证券服务业务审计报告的注册会计师超过400人。</w:t>
      </w:r>
    </w:p>
    <w:p w:rsidR="000C6C27" w:rsidRDefault="004A48C9">
      <w:pPr>
        <w:spacing w:line="360" w:lineRule="auto"/>
        <w:ind w:firstLineChars="200" w:firstLine="480"/>
        <w:rPr>
          <w:rFonts w:ascii="宋体" w:eastAsia="宋体" w:hAnsi="宋体"/>
          <w:color w:val="000000"/>
          <w:sz w:val="24"/>
        </w:rPr>
      </w:pPr>
      <w:r>
        <w:rPr>
          <w:rFonts w:ascii="宋体" w:eastAsia="宋体" w:hAnsi="宋体" w:hint="eastAsia"/>
          <w:color w:val="000000"/>
          <w:sz w:val="24"/>
        </w:rPr>
        <w:t>安永华明2021年度业务总收入人民币54.9亿元，其中，审计业务收入人民币52.82亿元（含证券业务收入人民币22.7亿元）。2021年度A股上市公司年报审计客户共计116家，收费总额人民币7.63亿元。这些上市公司主要行业涉及制造业、金融业、批发和零售业、信息传输、软件和信息技术服务业、房地产</w:t>
      </w:r>
      <w:r>
        <w:rPr>
          <w:rFonts w:ascii="宋体" w:eastAsia="宋体" w:hAnsi="宋体" w:hint="eastAsia"/>
          <w:color w:val="000000"/>
          <w:sz w:val="24"/>
        </w:rPr>
        <w:lastRenderedPageBreak/>
        <w:t>业等。本公司同行业上市公司审计客户20家。</w:t>
      </w:r>
    </w:p>
    <w:p w:rsidR="000C6C27" w:rsidRDefault="004A48C9">
      <w:pPr>
        <w:spacing w:line="360" w:lineRule="auto"/>
        <w:ind w:firstLineChars="200" w:firstLine="480"/>
        <w:rPr>
          <w:rFonts w:asciiTheme="minorEastAsia" w:hAnsiTheme="minorEastAsia"/>
          <w:sz w:val="24"/>
        </w:rPr>
      </w:pPr>
      <w:r>
        <w:rPr>
          <w:rFonts w:asciiTheme="minorEastAsia" w:hAnsiTheme="minorEastAsia"/>
          <w:sz w:val="24"/>
        </w:rPr>
        <w:t>2</w:t>
      </w:r>
      <w:r>
        <w:rPr>
          <w:rFonts w:asciiTheme="minorEastAsia" w:hAnsiTheme="minorEastAsia" w:hint="eastAsia"/>
          <w:sz w:val="24"/>
        </w:rPr>
        <w:t>、投资者保护能力</w:t>
      </w:r>
    </w:p>
    <w:p w:rsidR="000C6C27" w:rsidRDefault="004A48C9">
      <w:pPr>
        <w:spacing w:line="360" w:lineRule="auto"/>
        <w:ind w:firstLineChars="200" w:firstLine="480"/>
        <w:rPr>
          <w:rFonts w:ascii="宋体" w:eastAsia="宋体" w:hAnsi="宋体"/>
          <w:color w:val="000000"/>
          <w:sz w:val="24"/>
        </w:rPr>
      </w:pPr>
      <w:r>
        <w:rPr>
          <w:rFonts w:ascii="宋体" w:eastAsia="宋体" w:hAnsi="宋体" w:hint="eastAsia"/>
          <w:color w:val="000000"/>
          <w:sz w:val="24"/>
        </w:rPr>
        <w:t>安永华明具有良好的投资者保护能力，已按照相关法律法规要求计提职业风险基金和购买职业保险，保险涵盖北京总所和全部分所。已计提的职业风险基金和已购买的职业保险累计赔偿限额之和超过人民币2亿元。安永华明近三年不存在任何因与执业行为相关的民事诉讼而需承担民事责任的情况。</w:t>
      </w:r>
    </w:p>
    <w:p w:rsidR="000C6C27" w:rsidRDefault="004A48C9">
      <w:pPr>
        <w:spacing w:line="360" w:lineRule="auto"/>
        <w:ind w:firstLineChars="200" w:firstLine="480"/>
        <w:rPr>
          <w:rFonts w:asciiTheme="minorEastAsia" w:hAnsiTheme="minorEastAsia"/>
          <w:sz w:val="24"/>
        </w:rPr>
      </w:pPr>
      <w:r>
        <w:rPr>
          <w:rFonts w:asciiTheme="minorEastAsia" w:hAnsiTheme="minorEastAsia" w:hint="eastAsia"/>
          <w:sz w:val="24"/>
        </w:rPr>
        <w:t>3、诚信记录</w:t>
      </w:r>
    </w:p>
    <w:p w:rsidR="000C6C27" w:rsidRDefault="004A48C9">
      <w:pPr>
        <w:spacing w:line="360" w:lineRule="auto"/>
        <w:ind w:firstLineChars="200" w:firstLine="480"/>
        <w:rPr>
          <w:rFonts w:ascii="宋体" w:eastAsia="宋体" w:hAnsi="宋体"/>
          <w:color w:val="000000"/>
          <w:sz w:val="24"/>
        </w:rPr>
      </w:pPr>
      <w:r>
        <w:rPr>
          <w:rFonts w:ascii="宋体" w:eastAsia="宋体" w:hAnsi="宋体" w:hint="eastAsia"/>
          <w:color w:val="000000"/>
          <w:sz w:val="24"/>
        </w:rPr>
        <w:t>安永华明及从业人员近三年没有因执业行为受到任何刑事处罚、行政处罚，以及证券交易所、行业协会等自律组织的自律监管措施和纪律处分。曾两次收到证券监督管理机构出具警示</w:t>
      </w:r>
      <w:proofErr w:type="gramStart"/>
      <w:r>
        <w:rPr>
          <w:rFonts w:ascii="宋体" w:eastAsia="宋体" w:hAnsi="宋体" w:hint="eastAsia"/>
          <w:color w:val="000000"/>
          <w:sz w:val="24"/>
        </w:rPr>
        <w:t>函措施</w:t>
      </w:r>
      <w:proofErr w:type="gramEnd"/>
      <w:r>
        <w:rPr>
          <w:rFonts w:ascii="宋体" w:eastAsia="宋体" w:hAnsi="宋体" w:hint="eastAsia"/>
          <w:color w:val="000000"/>
          <w:sz w:val="24"/>
        </w:rPr>
        <w:t>的决定，涉及从业人员十三人。前述出具警示函的决定</w:t>
      </w:r>
      <w:proofErr w:type="gramStart"/>
      <w:r>
        <w:rPr>
          <w:rFonts w:ascii="宋体" w:eastAsia="宋体" w:hAnsi="宋体" w:hint="eastAsia"/>
          <w:color w:val="000000"/>
          <w:sz w:val="24"/>
        </w:rPr>
        <w:t>属监督</w:t>
      </w:r>
      <w:proofErr w:type="gramEnd"/>
      <w:r>
        <w:rPr>
          <w:rFonts w:ascii="宋体" w:eastAsia="宋体" w:hAnsi="宋体" w:hint="eastAsia"/>
          <w:color w:val="000000"/>
          <w:sz w:val="24"/>
        </w:rPr>
        <w:t>管理措施，并非行政处罚。根据相关法律法规的规定，该监督管理措施不影响安永华明继续承接或执行证券服务业务和其他业务。</w:t>
      </w:r>
    </w:p>
    <w:p w:rsidR="000C6C27" w:rsidRDefault="004A48C9">
      <w:pPr>
        <w:spacing w:line="360" w:lineRule="auto"/>
        <w:ind w:firstLineChars="200" w:firstLine="480"/>
        <w:outlineLvl w:val="1"/>
        <w:rPr>
          <w:rFonts w:ascii="宋体" w:eastAsia="宋体" w:hAnsi="宋体"/>
          <w:color w:val="000000"/>
          <w:sz w:val="24"/>
        </w:rPr>
      </w:pPr>
      <w:r>
        <w:rPr>
          <w:rFonts w:ascii="宋体" w:eastAsia="宋体" w:hAnsi="宋体" w:hint="eastAsia"/>
          <w:color w:val="000000"/>
          <w:sz w:val="24"/>
        </w:rPr>
        <w:t>（二）项目信息</w:t>
      </w:r>
    </w:p>
    <w:p w:rsidR="000C6C27" w:rsidRDefault="004A48C9">
      <w:pPr>
        <w:spacing w:line="360" w:lineRule="auto"/>
        <w:ind w:firstLineChars="200" w:firstLine="480"/>
        <w:rPr>
          <w:rFonts w:ascii="宋体" w:eastAsia="宋体" w:hAnsi="宋体"/>
          <w:color w:val="000000"/>
          <w:sz w:val="24"/>
        </w:rPr>
      </w:pPr>
      <w:r>
        <w:rPr>
          <w:rFonts w:ascii="宋体" w:eastAsia="宋体" w:hAnsi="宋体" w:hint="eastAsia"/>
          <w:color w:val="000000"/>
          <w:sz w:val="24"/>
        </w:rPr>
        <w:t>1、基本信息</w:t>
      </w:r>
    </w:p>
    <w:p w:rsidR="000C6C27" w:rsidRDefault="004A48C9">
      <w:pPr>
        <w:spacing w:line="360" w:lineRule="auto"/>
        <w:ind w:firstLineChars="200" w:firstLine="480"/>
        <w:rPr>
          <w:rFonts w:ascii="宋体" w:eastAsia="宋体" w:hAnsi="宋体"/>
          <w:color w:val="000000"/>
          <w:sz w:val="24"/>
        </w:rPr>
      </w:pPr>
      <w:r>
        <w:rPr>
          <w:rFonts w:ascii="宋体" w:eastAsia="宋体" w:hAnsi="宋体" w:hint="eastAsia"/>
          <w:color w:val="000000"/>
          <w:sz w:val="24"/>
        </w:rPr>
        <w:t>（1）项目合伙人及签字注册会计师：昌华女士。</w:t>
      </w:r>
    </w:p>
    <w:p w:rsidR="000C6C27" w:rsidRDefault="004A48C9">
      <w:pPr>
        <w:spacing w:line="360" w:lineRule="auto"/>
        <w:ind w:firstLineChars="200" w:firstLine="480"/>
        <w:rPr>
          <w:rFonts w:ascii="宋体" w:eastAsia="宋体" w:hAnsi="宋体"/>
          <w:color w:val="000000"/>
          <w:sz w:val="24"/>
        </w:rPr>
      </w:pPr>
      <w:r>
        <w:rPr>
          <w:rFonts w:ascii="宋体" w:eastAsia="宋体" w:hAnsi="宋体" w:hint="eastAsia"/>
          <w:color w:val="000000"/>
          <w:sz w:val="24"/>
        </w:rPr>
        <w:t>昌华女士，于2006年成为注册会计师，2001年开始从事上市公司审计，2001年开始在安永华明执业，202</w:t>
      </w:r>
      <w:r>
        <w:rPr>
          <w:rFonts w:ascii="宋体" w:eastAsia="宋体" w:hAnsi="宋体"/>
          <w:color w:val="000000"/>
          <w:sz w:val="24"/>
        </w:rPr>
        <w:t>1</w:t>
      </w:r>
      <w:r>
        <w:rPr>
          <w:rFonts w:ascii="宋体" w:eastAsia="宋体" w:hAnsi="宋体" w:hint="eastAsia"/>
          <w:color w:val="000000"/>
          <w:sz w:val="24"/>
        </w:rPr>
        <w:t>年开始为本行提供审计服务；近三年签署或复核5家上市公司审计报告。</w:t>
      </w:r>
    </w:p>
    <w:p w:rsidR="000C6C27" w:rsidRDefault="004A48C9">
      <w:pPr>
        <w:spacing w:line="360" w:lineRule="auto"/>
        <w:ind w:firstLineChars="200" w:firstLine="480"/>
        <w:rPr>
          <w:rFonts w:ascii="宋体" w:eastAsia="宋体" w:hAnsi="宋体"/>
          <w:color w:val="000000"/>
          <w:sz w:val="24"/>
        </w:rPr>
      </w:pPr>
      <w:r>
        <w:rPr>
          <w:rFonts w:ascii="宋体" w:eastAsia="宋体" w:hAnsi="宋体" w:hint="eastAsia"/>
          <w:color w:val="000000"/>
          <w:sz w:val="24"/>
        </w:rPr>
        <w:t>（2）项目质量控制复核合伙人：田志勇先生。</w:t>
      </w:r>
    </w:p>
    <w:p w:rsidR="000C6C27" w:rsidRDefault="004A48C9">
      <w:pPr>
        <w:spacing w:line="360" w:lineRule="auto"/>
        <w:ind w:firstLineChars="200" w:firstLine="480"/>
        <w:rPr>
          <w:rFonts w:ascii="宋体" w:eastAsia="宋体" w:hAnsi="宋体"/>
          <w:color w:val="000000"/>
          <w:sz w:val="24"/>
        </w:rPr>
      </w:pPr>
      <w:r>
        <w:rPr>
          <w:rFonts w:ascii="宋体" w:eastAsia="宋体" w:hAnsi="宋体" w:hint="eastAsia"/>
          <w:color w:val="000000"/>
          <w:sz w:val="24"/>
        </w:rPr>
        <w:t>田志勇先生，于2013年成为注册会计师，2007年开始从事上市公司审计，2015年开始在安永华明执业，2022年开始为本行提供审计服务；近三年签署或复核4家上市公司审计报告。</w:t>
      </w:r>
    </w:p>
    <w:p w:rsidR="000C6C27" w:rsidRDefault="004A48C9">
      <w:pPr>
        <w:spacing w:line="360" w:lineRule="auto"/>
        <w:ind w:firstLineChars="200" w:firstLine="480"/>
        <w:rPr>
          <w:rFonts w:ascii="宋体" w:eastAsia="宋体" w:hAnsi="宋体"/>
          <w:color w:val="000000"/>
          <w:sz w:val="24"/>
        </w:rPr>
      </w:pPr>
      <w:r>
        <w:rPr>
          <w:rFonts w:ascii="宋体" w:eastAsia="宋体" w:hAnsi="宋体" w:hint="eastAsia"/>
          <w:color w:val="000000"/>
          <w:sz w:val="24"/>
        </w:rPr>
        <w:t>（3）签字注册会计师：张力卓女士。</w:t>
      </w:r>
    </w:p>
    <w:p w:rsidR="000C6C27" w:rsidRDefault="004A48C9">
      <w:pPr>
        <w:spacing w:line="360" w:lineRule="auto"/>
        <w:ind w:firstLineChars="200" w:firstLine="480"/>
        <w:rPr>
          <w:rFonts w:ascii="宋体" w:eastAsia="宋体" w:hAnsi="宋体"/>
          <w:color w:val="000000"/>
          <w:sz w:val="24"/>
        </w:rPr>
      </w:pPr>
      <w:r>
        <w:rPr>
          <w:rFonts w:ascii="宋体" w:eastAsia="宋体" w:hAnsi="宋体" w:hint="eastAsia"/>
          <w:color w:val="000000"/>
          <w:sz w:val="24"/>
        </w:rPr>
        <w:t>张力卓女士，于2018年成为注册会计师、2020年开始从事上市公司审计、2018年开始在安永华明执业、2018年开始为本行提供审计服务；近三年签署/复核1家上市公司审计报告。</w:t>
      </w:r>
    </w:p>
    <w:p w:rsidR="000C6C27" w:rsidRDefault="004A48C9">
      <w:pPr>
        <w:spacing w:line="360" w:lineRule="auto"/>
        <w:ind w:firstLineChars="200" w:firstLine="480"/>
        <w:rPr>
          <w:rFonts w:asciiTheme="minorEastAsia" w:hAnsiTheme="minorEastAsia"/>
          <w:sz w:val="24"/>
        </w:rPr>
      </w:pPr>
      <w:r>
        <w:rPr>
          <w:rFonts w:asciiTheme="minorEastAsia" w:hAnsiTheme="minorEastAsia" w:hint="eastAsia"/>
          <w:sz w:val="24"/>
        </w:rPr>
        <w:t>2、诚信记录</w:t>
      </w:r>
    </w:p>
    <w:p w:rsidR="000C6C27" w:rsidRDefault="004A48C9">
      <w:pPr>
        <w:spacing w:line="360" w:lineRule="auto"/>
        <w:ind w:firstLineChars="200" w:firstLine="480"/>
        <w:rPr>
          <w:rFonts w:ascii="宋体" w:eastAsia="宋体" w:hAnsi="宋体"/>
          <w:color w:val="000000"/>
          <w:sz w:val="24"/>
        </w:rPr>
      </w:pPr>
      <w:r>
        <w:rPr>
          <w:rFonts w:ascii="宋体" w:eastAsia="宋体" w:hAnsi="宋体" w:hint="eastAsia"/>
          <w:color w:val="000000"/>
          <w:sz w:val="24"/>
        </w:rPr>
        <w:t>上述项目合伙人、签字注册会计师、项目质量控制复核人近三年均无受到刑事处罚、行政处罚、监督管理措施、自律监管措施和纪律处分的情况</w:t>
      </w:r>
    </w:p>
    <w:p w:rsidR="000C6C27" w:rsidRDefault="004A48C9">
      <w:pPr>
        <w:spacing w:line="360" w:lineRule="auto"/>
        <w:ind w:firstLineChars="200" w:firstLine="480"/>
        <w:rPr>
          <w:rFonts w:asciiTheme="minorEastAsia" w:hAnsiTheme="minorEastAsia"/>
          <w:sz w:val="24"/>
        </w:rPr>
      </w:pPr>
      <w:r>
        <w:rPr>
          <w:rFonts w:asciiTheme="minorEastAsia" w:hAnsiTheme="minorEastAsia" w:hint="eastAsia"/>
          <w:sz w:val="24"/>
        </w:rPr>
        <w:lastRenderedPageBreak/>
        <w:t>3、独立性</w:t>
      </w:r>
    </w:p>
    <w:p w:rsidR="000C6C27" w:rsidRDefault="004A48C9">
      <w:pPr>
        <w:spacing w:line="360" w:lineRule="auto"/>
        <w:ind w:firstLineChars="200" w:firstLine="480"/>
        <w:rPr>
          <w:rFonts w:ascii="宋体" w:eastAsia="宋体" w:hAnsi="宋体"/>
          <w:color w:val="000000"/>
          <w:sz w:val="24"/>
        </w:rPr>
      </w:pPr>
      <w:r>
        <w:rPr>
          <w:rFonts w:ascii="宋体" w:eastAsia="宋体" w:hAnsi="宋体" w:hint="eastAsia"/>
          <w:color w:val="000000"/>
          <w:sz w:val="24"/>
        </w:rPr>
        <w:t>安永华明及上述项目合伙人、签字注册会计师、项目质量控制复核人等不存在违反《中国注册会计师职业道德守则》对独立性要求的情形。</w:t>
      </w:r>
    </w:p>
    <w:p w:rsidR="000C6C27" w:rsidRDefault="004A48C9">
      <w:pPr>
        <w:spacing w:line="360" w:lineRule="auto"/>
        <w:ind w:firstLineChars="200" w:firstLine="480"/>
        <w:rPr>
          <w:rFonts w:asciiTheme="minorEastAsia" w:hAnsiTheme="minorEastAsia"/>
          <w:sz w:val="24"/>
        </w:rPr>
      </w:pPr>
      <w:r>
        <w:rPr>
          <w:rFonts w:asciiTheme="minorEastAsia" w:hAnsiTheme="minorEastAsia" w:hint="eastAsia"/>
          <w:sz w:val="24"/>
        </w:rPr>
        <w:t>4、审计收费</w:t>
      </w:r>
    </w:p>
    <w:p w:rsidR="000C6C27" w:rsidRDefault="004A48C9">
      <w:pPr>
        <w:spacing w:line="360" w:lineRule="auto"/>
        <w:ind w:firstLineChars="200" w:firstLine="480"/>
        <w:rPr>
          <w:rFonts w:asciiTheme="minorEastAsia" w:hAnsiTheme="minorEastAsia"/>
          <w:sz w:val="24"/>
        </w:rPr>
      </w:pPr>
      <w:r>
        <w:rPr>
          <w:rFonts w:ascii="宋体" w:eastAsia="宋体" w:hAnsi="宋体" w:hint="eastAsia"/>
          <w:color w:val="000000"/>
          <w:sz w:val="24"/>
        </w:rPr>
        <w:t>安永华明审计服务收费是按照审计工作量及公允合理的原则由双方协商确定。2023年度审计项目向安永华明会计师事务所支付的费用预计为人民币333万元（其中内部控制审计费用为人民币53万元）。与上一期审计费用相比未发生变化</w:t>
      </w:r>
      <w:r>
        <w:rPr>
          <w:rFonts w:asciiTheme="minorEastAsia" w:hAnsiTheme="minorEastAsia" w:hint="eastAsia"/>
          <w:sz w:val="24"/>
        </w:rPr>
        <w:t>。</w:t>
      </w:r>
    </w:p>
    <w:p w:rsidR="000C6C27" w:rsidRDefault="004A48C9">
      <w:pPr>
        <w:spacing w:line="360" w:lineRule="auto"/>
        <w:ind w:firstLineChars="200" w:firstLine="482"/>
        <w:outlineLvl w:val="0"/>
        <w:rPr>
          <w:rFonts w:asciiTheme="minorEastAsia" w:hAnsiTheme="minorEastAsia" w:cstheme="minorEastAsia"/>
          <w:b/>
          <w:bCs/>
          <w:sz w:val="24"/>
        </w:rPr>
      </w:pPr>
      <w:r>
        <w:rPr>
          <w:rFonts w:asciiTheme="minorEastAsia" w:hAnsiTheme="minorEastAsia" w:cstheme="minorEastAsia" w:hint="eastAsia"/>
          <w:b/>
          <w:bCs/>
          <w:sz w:val="24"/>
        </w:rPr>
        <w:t>二、拟续聘会计师事务所履行的程序</w:t>
      </w:r>
    </w:p>
    <w:p w:rsidR="000C6C27" w:rsidRDefault="004A48C9">
      <w:pPr>
        <w:spacing w:line="360" w:lineRule="auto"/>
        <w:ind w:firstLineChars="200" w:firstLine="482"/>
        <w:outlineLvl w:val="1"/>
        <w:rPr>
          <w:rFonts w:asciiTheme="minorEastAsia" w:hAnsiTheme="minorEastAsia" w:cstheme="minorEastAsia"/>
          <w:b/>
          <w:color w:val="000000"/>
          <w:kern w:val="36"/>
          <w:sz w:val="24"/>
        </w:rPr>
      </w:pPr>
      <w:r>
        <w:rPr>
          <w:rFonts w:asciiTheme="minorEastAsia" w:hAnsiTheme="minorEastAsia" w:cstheme="minorEastAsia" w:hint="eastAsia"/>
          <w:b/>
          <w:color w:val="000000"/>
          <w:kern w:val="36"/>
          <w:sz w:val="24"/>
        </w:rPr>
        <w:t>（一）审计与消费者权益保护委员会的履职情况</w:t>
      </w:r>
    </w:p>
    <w:p w:rsidR="000C6C27" w:rsidRDefault="004A48C9">
      <w:pPr>
        <w:spacing w:line="360" w:lineRule="auto"/>
        <w:ind w:firstLineChars="200" w:firstLine="480"/>
        <w:rPr>
          <w:rFonts w:ascii="宋体" w:eastAsia="宋体" w:hAnsi="宋体"/>
          <w:color w:val="000000"/>
          <w:sz w:val="24"/>
        </w:rPr>
      </w:pPr>
      <w:bookmarkStart w:id="0" w:name="_Hlk129869967"/>
      <w:r>
        <w:rPr>
          <w:rFonts w:ascii="宋体" w:eastAsia="宋体" w:hAnsi="宋体" w:hint="eastAsia"/>
          <w:color w:val="000000"/>
          <w:sz w:val="24"/>
        </w:rPr>
        <w:t>公司第八届董事会审计与消费者权益保护委员会第十九次会议审议通过了《关于聘请2023年度会计师事务所的议案》。会议认为：安永华明为符合《证券法》规定的会计师事务所，2022年度审计工作中，在专业胜任能力、投资者保护能力、诚信状况和独立性等方面</w:t>
      </w:r>
      <w:r>
        <w:rPr>
          <w:rFonts w:ascii="宋体" w:eastAsia="宋体" w:hAnsi="宋体" w:cs="宋体"/>
          <w:sz w:val="24"/>
        </w:rPr>
        <w:t>能够满足为</w:t>
      </w:r>
      <w:r>
        <w:rPr>
          <w:rFonts w:ascii="宋体" w:eastAsia="宋体" w:hAnsi="宋体" w:cs="宋体" w:hint="eastAsia"/>
          <w:sz w:val="24"/>
        </w:rPr>
        <w:t>公司</w:t>
      </w:r>
      <w:r>
        <w:rPr>
          <w:rFonts w:ascii="宋体" w:eastAsia="宋体" w:hAnsi="宋体" w:cs="宋体"/>
          <w:sz w:val="24"/>
        </w:rPr>
        <w:t>提供审计服务的要求</w:t>
      </w:r>
      <w:r>
        <w:rPr>
          <w:rFonts w:ascii="宋体" w:eastAsia="宋体" w:hAnsi="宋体" w:cs="宋体" w:hint="eastAsia"/>
          <w:sz w:val="24"/>
        </w:rPr>
        <w:t>。</w:t>
      </w:r>
      <w:r>
        <w:rPr>
          <w:rFonts w:ascii="宋体" w:eastAsia="宋体" w:hAnsi="宋体" w:hint="eastAsia"/>
          <w:color w:val="000000"/>
          <w:sz w:val="24"/>
        </w:rPr>
        <w:t>同意聘任安永华明为公司2023年度财务报告及内部控制审计机构，并同意将该议案提交董事会审议。</w:t>
      </w:r>
    </w:p>
    <w:bookmarkEnd w:id="0"/>
    <w:p w:rsidR="000C6C27" w:rsidRDefault="004A48C9">
      <w:pPr>
        <w:spacing w:line="360" w:lineRule="auto"/>
        <w:ind w:firstLineChars="200" w:firstLine="482"/>
        <w:outlineLvl w:val="1"/>
        <w:rPr>
          <w:rFonts w:asciiTheme="minorEastAsia" w:hAnsiTheme="minorEastAsia" w:cstheme="minorEastAsia"/>
          <w:b/>
          <w:color w:val="000000"/>
          <w:kern w:val="36"/>
          <w:sz w:val="24"/>
        </w:rPr>
      </w:pPr>
      <w:r>
        <w:rPr>
          <w:rFonts w:asciiTheme="minorEastAsia" w:hAnsiTheme="minorEastAsia" w:cstheme="minorEastAsia" w:hint="eastAsia"/>
          <w:b/>
          <w:color w:val="000000"/>
          <w:kern w:val="36"/>
          <w:sz w:val="24"/>
        </w:rPr>
        <w:t>（二）独立董事的事前认可情况和独立意见</w:t>
      </w:r>
    </w:p>
    <w:p w:rsidR="000C6C27" w:rsidRDefault="004A48C9">
      <w:pPr>
        <w:spacing w:line="360" w:lineRule="auto"/>
        <w:ind w:firstLineChars="200" w:firstLine="480"/>
        <w:rPr>
          <w:rFonts w:asciiTheme="minorEastAsia" w:hAnsiTheme="minorEastAsia"/>
          <w:sz w:val="24"/>
        </w:rPr>
      </w:pPr>
      <w:r>
        <w:rPr>
          <w:rFonts w:asciiTheme="minorEastAsia" w:hAnsiTheme="minorEastAsia" w:hint="eastAsia"/>
          <w:sz w:val="24"/>
        </w:rPr>
        <w:t>1、独立董事的事前认可意见</w:t>
      </w:r>
    </w:p>
    <w:p w:rsidR="000C6C27" w:rsidRDefault="004A48C9">
      <w:pPr>
        <w:spacing w:line="360" w:lineRule="auto"/>
        <w:ind w:firstLineChars="200" w:firstLine="480"/>
        <w:rPr>
          <w:rFonts w:ascii="宋体" w:eastAsia="宋体" w:hAnsi="宋体"/>
          <w:sz w:val="24"/>
        </w:rPr>
      </w:pPr>
      <w:r>
        <w:rPr>
          <w:rFonts w:ascii="宋体" w:eastAsia="宋体" w:hAnsi="宋体" w:hint="eastAsia"/>
          <w:color w:val="000000"/>
          <w:sz w:val="24"/>
        </w:rPr>
        <w:t>公司独立董事认真审阅公司提供的《关于聘请2023年度会计师事务所的议案》及相关资料</w:t>
      </w:r>
      <w:r>
        <w:rPr>
          <w:rFonts w:ascii="宋体" w:eastAsia="宋体" w:hAnsi="宋体" w:hint="eastAsia"/>
          <w:sz w:val="24"/>
        </w:rPr>
        <w:t>，认为：安永华明为符合《证券法》规定的会计师事务所，在专业胜任能力、投资者保护能力、诚信状况和独立性等方面能够满足公司年度审计工作要求，同意聘任安永华明为公司2023年度财务报告及内部控制审计机构，并同意按照相关程序将相关议案提交董事会进行审议。</w:t>
      </w:r>
    </w:p>
    <w:p w:rsidR="000C6C27" w:rsidRDefault="004A48C9">
      <w:pPr>
        <w:spacing w:line="360" w:lineRule="auto"/>
        <w:ind w:firstLineChars="200" w:firstLine="480"/>
        <w:rPr>
          <w:rFonts w:ascii="宋体" w:eastAsia="宋体" w:hAnsi="宋体"/>
          <w:color w:val="000000"/>
          <w:sz w:val="24"/>
        </w:rPr>
      </w:pPr>
      <w:r>
        <w:rPr>
          <w:rFonts w:ascii="宋体" w:eastAsia="宋体" w:hAnsi="宋体" w:hint="eastAsia"/>
          <w:color w:val="000000"/>
          <w:sz w:val="24"/>
        </w:rPr>
        <w:t>2、独立董事的独立意见</w:t>
      </w:r>
    </w:p>
    <w:p w:rsidR="000C6C27" w:rsidRDefault="004A48C9">
      <w:pPr>
        <w:spacing w:line="360" w:lineRule="auto"/>
        <w:ind w:firstLineChars="200" w:firstLine="480"/>
        <w:rPr>
          <w:rFonts w:ascii="宋体" w:eastAsia="宋体" w:hAnsi="宋体"/>
          <w:color w:val="000000"/>
          <w:sz w:val="24"/>
        </w:rPr>
      </w:pPr>
      <w:r>
        <w:rPr>
          <w:rFonts w:ascii="宋体" w:eastAsia="宋体" w:hAnsi="宋体" w:hint="eastAsia"/>
          <w:color w:val="000000"/>
          <w:sz w:val="24"/>
        </w:rPr>
        <w:t>公司独立董事认为：安永华明为符合《证券法》规定的会计师事务所，具备多年为上市公司提供审计服务的能力和经验，在专业胜任能力、投资者保护能力、独立性和诚信状况等方面能够满足公司年度审计工作要求；本次聘任会计师事务所的选聘决策程序符合有关法律法规和《厦门银行股份有限公司章程》的有关规定，不存在损害公司及股东利益，尤其是中小股东利益的情形；同意聘任安永华</w:t>
      </w:r>
      <w:r>
        <w:rPr>
          <w:rFonts w:ascii="宋体" w:eastAsia="宋体" w:hAnsi="宋体" w:hint="eastAsia"/>
          <w:color w:val="000000"/>
          <w:sz w:val="24"/>
        </w:rPr>
        <w:lastRenderedPageBreak/>
        <w:t>明为公司2023年度财务报告及内部控制审计机构，并同意将该议案提交公司股东大会审议。</w:t>
      </w:r>
    </w:p>
    <w:p w:rsidR="000C6C27" w:rsidRPr="00084704" w:rsidRDefault="004A48C9">
      <w:pPr>
        <w:spacing w:line="360" w:lineRule="auto"/>
        <w:ind w:firstLineChars="200" w:firstLine="482"/>
        <w:outlineLvl w:val="1"/>
        <w:rPr>
          <w:rFonts w:asciiTheme="minorEastAsia" w:hAnsiTheme="minorEastAsia" w:cstheme="minorEastAsia"/>
          <w:b/>
          <w:color w:val="000000"/>
          <w:kern w:val="36"/>
          <w:sz w:val="24"/>
        </w:rPr>
      </w:pPr>
      <w:r>
        <w:rPr>
          <w:rFonts w:asciiTheme="minorEastAsia" w:hAnsiTheme="minorEastAsia" w:cstheme="minorEastAsia" w:hint="eastAsia"/>
          <w:b/>
          <w:color w:val="000000"/>
          <w:kern w:val="36"/>
          <w:sz w:val="24"/>
        </w:rPr>
        <w:t>（三</w:t>
      </w:r>
      <w:r w:rsidRPr="00084704">
        <w:rPr>
          <w:rFonts w:asciiTheme="minorEastAsia" w:hAnsiTheme="minorEastAsia" w:cstheme="minorEastAsia" w:hint="eastAsia"/>
          <w:b/>
          <w:color w:val="000000"/>
          <w:kern w:val="36"/>
          <w:sz w:val="24"/>
        </w:rPr>
        <w:t xml:space="preserve">）董事会的审议和表决情况 </w:t>
      </w:r>
    </w:p>
    <w:p w:rsidR="000C6C27" w:rsidRPr="00084704" w:rsidRDefault="004A48C9">
      <w:pPr>
        <w:spacing w:line="360" w:lineRule="auto"/>
        <w:ind w:firstLineChars="200" w:firstLine="480"/>
        <w:rPr>
          <w:rFonts w:ascii="Times New Roman" w:hAnsi="Times New Roman" w:cs="Times New Roman"/>
          <w:sz w:val="24"/>
        </w:rPr>
      </w:pPr>
      <w:r w:rsidRPr="00084704">
        <w:rPr>
          <w:rFonts w:ascii="Times New Roman" w:hAnsi="Times New Roman" w:cs="Times New Roman"/>
          <w:sz w:val="24"/>
        </w:rPr>
        <w:t>公司于</w:t>
      </w:r>
      <w:r w:rsidRPr="00084704">
        <w:rPr>
          <w:rFonts w:ascii="Times New Roman" w:hAnsi="Times New Roman" w:cs="Times New Roman"/>
          <w:sz w:val="24"/>
        </w:rPr>
        <w:t>202</w:t>
      </w:r>
      <w:r w:rsidRPr="00084704">
        <w:rPr>
          <w:rFonts w:ascii="Times New Roman" w:hAnsi="Times New Roman" w:cs="Times New Roman" w:hint="eastAsia"/>
          <w:sz w:val="24"/>
        </w:rPr>
        <w:t>3</w:t>
      </w:r>
      <w:r w:rsidRPr="00084704">
        <w:rPr>
          <w:rFonts w:ascii="Times New Roman" w:hAnsi="Times New Roman" w:cs="Times New Roman"/>
          <w:sz w:val="24"/>
        </w:rPr>
        <w:t>年</w:t>
      </w:r>
      <w:r w:rsidRPr="00084704">
        <w:rPr>
          <w:rFonts w:ascii="Times New Roman" w:hAnsi="Times New Roman" w:cs="Times New Roman" w:hint="eastAsia"/>
          <w:sz w:val="24"/>
        </w:rPr>
        <w:t>4</w:t>
      </w:r>
      <w:r w:rsidRPr="00084704">
        <w:rPr>
          <w:rFonts w:ascii="Times New Roman" w:hAnsi="Times New Roman" w:cs="Times New Roman"/>
          <w:sz w:val="24"/>
        </w:rPr>
        <w:t>月</w:t>
      </w:r>
      <w:r w:rsidRPr="00084704">
        <w:rPr>
          <w:rFonts w:ascii="Times New Roman" w:hAnsi="Times New Roman" w:cs="Times New Roman" w:hint="eastAsia"/>
          <w:sz w:val="24"/>
        </w:rPr>
        <w:t>27</w:t>
      </w:r>
      <w:r w:rsidRPr="00084704">
        <w:rPr>
          <w:rFonts w:ascii="Times New Roman" w:hAnsi="Times New Roman" w:cs="Times New Roman"/>
          <w:sz w:val="24"/>
        </w:rPr>
        <w:t>日召开第八届董事会第</w:t>
      </w:r>
      <w:r w:rsidRPr="00084704">
        <w:rPr>
          <w:rFonts w:ascii="Times New Roman" w:hAnsi="Times New Roman" w:cs="Times New Roman" w:hint="eastAsia"/>
          <w:sz w:val="24"/>
        </w:rPr>
        <w:t>三十一</w:t>
      </w:r>
      <w:r w:rsidRPr="00084704">
        <w:rPr>
          <w:rFonts w:ascii="Times New Roman" w:hAnsi="Times New Roman" w:cs="Times New Roman"/>
          <w:sz w:val="24"/>
        </w:rPr>
        <w:t>次会议，审议通过了《关于聘请</w:t>
      </w:r>
      <w:r w:rsidRPr="00084704">
        <w:rPr>
          <w:rFonts w:ascii="Times New Roman" w:hAnsi="Times New Roman" w:cs="Times New Roman"/>
          <w:sz w:val="24"/>
        </w:rPr>
        <w:t>202</w:t>
      </w:r>
      <w:r w:rsidRPr="00084704">
        <w:rPr>
          <w:rFonts w:ascii="Times New Roman" w:hAnsi="Times New Roman" w:cs="Times New Roman" w:hint="eastAsia"/>
          <w:sz w:val="24"/>
        </w:rPr>
        <w:t>3</w:t>
      </w:r>
      <w:r w:rsidRPr="00084704">
        <w:rPr>
          <w:rFonts w:ascii="Times New Roman" w:hAnsi="Times New Roman" w:cs="Times New Roman"/>
          <w:sz w:val="24"/>
        </w:rPr>
        <w:t>年度会计师事务所的议案》，同意聘用安永华明为公司</w:t>
      </w:r>
      <w:r w:rsidRPr="00084704">
        <w:rPr>
          <w:rFonts w:ascii="Times New Roman" w:hAnsi="Times New Roman" w:cs="Times New Roman"/>
          <w:sz w:val="24"/>
        </w:rPr>
        <w:t>202</w:t>
      </w:r>
      <w:r w:rsidRPr="00084704">
        <w:rPr>
          <w:rFonts w:ascii="Times New Roman" w:hAnsi="Times New Roman" w:cs="Times New Roman" w:hint="eastAsia"/>
          <w:sz w:val="24"/>
        </w:rPr>
        <w:t>3</w:t>
      </w:r>
      <w:r w:rsidRPr="00084704">
        <w:rPr>
          <w:rFonts w:ascii="Times New Roman" w:hAnsi="Times New Roman" w:cs="Times New Roman"/>
          <w:sz w:val="24"/>
        </w:rPr>
        <w:t>年度会计师事务所。董事会表决情况：同意</w:t>
      </w:r>
      <w:r w:rsidRPr="00084704">
        <w:rPr>
          <w:rFonts w:ascii="Times New Roman" w:hAnsi="Times New Roman" w:cs="Times New Roman" w:hint="eastAsia"/>
          <w:sz w:val="24"/>
        </w:rPr>
        <w:t>1</w:t>
      </w:r>
      <w:r w:rsidRPr="00084704">
        <w:rPr>
          <w:rFonts w:ascii="Times New Roman" w:hAnsi="Times New Roman" w:cs="Times New Roman"/>
          <w:sz w:val="24"/>
        </w:rPr>
        <w:t>3</w:t>
      </w:r>
      <w:r w:rsidRPr="00084704">
        <w:rPr>
          <w:rFonts w:ascii="Times New Roman" w:hAnsi="Times New Roman" w:cs="Times New Roman"/>
          <w:sz w:val="24"/>
        </w:rPr>
        <w:t>票，</w:t>
      </w:r>
      <w:r w:rsidRPr="00084704">
        <w:rPr>
          <w:rFonts w:ascii="Times New Roman" w:hAnsi="Times New Roman" w:cs="Times New Roman" w:hint="eastAsia"/>
          <w:sz w:val="24"/>
        </w:rPr>
        <w:t>反对</w:t>
      </w:r>
      <w:r w:rsidRPr="00084704">
        <w:rPr>
          <w:rFonts w:ascii="Times New Roman" w:hAnsi="Times New Roman" w:cs="Times New Roman"/>
          <w:sz w:val="24"/>
        </w:rPr>
        <w:t>0</w:t>
      </w:r>
      <w:r w:rsidRPr="00084704">
        <w:rPr>
          <w:rFonts w:ascii="Times New Roman" w:hAnsi="Times New Roman" w:cs="Times New Roman" w:hint="eastAsia"/>
          <w:sz w:val="24"/>
        </w:rPr>
        <w:t>票，弃权</w:t>
      </w:r>
      <w:r w:rsidRPr="00084704">
        <w:rPr>
          <w:rFonts w:ascii="Times New Roman" w:hAnsi="Times New Roman" w:cs="Times New Roman"/>
          <w:sz w:val="24"/>
        </w:rPr>
        <w:t>0</w:t>
      </w:r>
      <w:r w:rsidRPr="00084704">
        <w:rPr>
          <w:rFonts w:ascii="Times New Roman" w:hAnsi="Times New Roman" w:cs="Times New Roman" w:hint="eastAsia"/>
          <w:sz w:val="24"/>
        </w:rPr>
        <w:t>票。</w:t>
      </w:r>
    </w:p>
    <w:p w:rsidR="000C6C27" w:rsidRPr="00084704" w:rsidRDefault="004A48C9">
      <w:pPr>
        <w:spacing w:line="360" w:lineRule="auto"/>
        <w:ind w:firstLineChars="200" w:firstLine="482"/>
        <w:outlineLvl w:val="1"/>
        <w:rPr>
          <w:rFonts w:asciiTheme="minorEastAsia" w:hAnsiTheme="minorEastAsia" w:cstheme="minorEastAsia"/>
          <w:b/>
          <w:color w:val="000000"/>
          <w:kern w:val="36"/>
          <w:sz w:val="24"/>
        </w:rPr>
      </w:pPr>
      <w:r w:rsidRPr="00084704">
        <w:rPr>
          <w:rFonts w:asciiTheme="minorEastAsia" w:hAnsiTheme="minorEastAsia" w:cstheme="minorEastAsia" w:hint="eastAsia"/>
          <w:b/>
          <w:color w:val="000000"/>
          <w:kern w:val="36"/>
          <w:sz w:val="24"/>
        </w:rPr>
        <w:t>（四）生效日期</w:t>
      </w:r>
    </w:p>
    <w:p w:rsidR="000C6C27" w:rsidRPr="00084704" w:rsidRDefault="004A48C9">
      <w:pPr>
        <w:spacing w:line="360" w:lineRule="auto"/>
        <w:ind w:firstLineChars="200" w:firstLine="480"/>
        <w:rPr>
          <w:sz w:val="24"/>
        </w:rPr>
      </w:pPr>
      <w:r w:rsidRPr="00084704">
        <w:rPr>
          <w:sz w:val="24"/>
        </w:rPr>
        <w:t>本次聘任会计师事务所事项尚需提交公司股东大会审议，并自公司股东大会审议通过之日起生效。</w:t>
      </w:r>
      <w:r w:rsidRPr="00084704">
        <w:rPr>
          <w:sz w:val="24"/>
        </w:rPr>
        <w:t xml:space="preserve"> </w:t>
      </w:r>
    </w:p>
    <w:p w:rsidR="000C6C27" w:rsidRPr="00084704" w:rsidRDefault="004A48C9">
      <w:pPr>
        <w:spacing w:line="360" w:lineRule="auto"/>
        <w:ind w:firstLineChars="200" w:firstLine="480"/>
        <w:rPr>
          <w:sz w:val="24"/>
        </w:rPr>
      </w:pPr>
      <w:r w:rsidRPr="00084704">
        <w:rPr>
          <w:sz w:val="24"/>
        </w:rPr>
        <w:t>特此公告。</w:t>
      </w:r>
      <w:r w:rsidRPr="00084704">
        <w:rPr>
          <w:rFonts w:hint="eastAsia"/>
          <w:sz w:val="24"/>
        </w:rPr>
        <w:t xml:space="preserve"> </w:t>
      </w:r>
    </w:p>
    <w:p w:rsidR="000C6C27" w:rsidRPr="00084704" w:rsidRDefault="000C6C27">
      <w:pPr>
        <w:spacing w:line="360" w:lineRule="auto"/>
        <w:ind w:firstLineChars="200" w:firstLine="480"/>
        <w:rPr>
          <w:sz w:val="24"/>
        </w:rPr>
      </w:pPr>
      <w:bookmarkStart w:id="1" w:name="_GoBack"/>
      <w:bookmarkEnd w:id="1"/>
    </w:p>
    <w:p w:rsidR="000C6C27" w:rsidRPr="00084704" w:rsidRDefault="000C6C27">
      <w:pPr>
        <w:spacing w:line="360" w:lineRule="auto"/>
        <w:ind w:firstLineChars="200" w:firstLine="480"/>
        <w:rPr>
          <w:sz w:val="24"/>
        </w:rPr>
      </w:pPr>
    </w:p>
    <w:p w:rsidR="000C6C27" w:rsidRPr="00084704" w:rsidRDefault="000C6C27">
      <w:pPr>
        <w:spacing w:line="360" w:lineRule="auto"/>
        <w:ind w:firstLineChars="200" w:firstLine="480"/>
        <w:jc w:val="left"/>
        <w:rPr>
          <w:sz w:val="24"/>
        </w:rPr>
      </w:pPr>
    </w:p>
    <w:p w:rsidR="000C6C27" w:rsidRPr="00084704" w:rsidRDefault="004A48C9">
      <w:pPr>
        <w:spacing w:line="360" w:lineRule="auto"/>
        <w:ind w:firstLineChars="2150" w:firstLine="5160"/>
        <w:jc w:val="left"/>
        <w:rPr>
          <w:rFonts w:ascii="Times New Roman" w:hAnsi="Times New Roman" w:cs="Times New Roman"/>
          <w:sz w:val="24"/>
        </w:rPr>
      </w:pPr>
      <w:r w:rsidRPr="00084704">
        <w:rPr>
          <w:rFonts w:ascii="Times New Roman" w:hAnsi="Times New Roman" w:cs="Times New Roman"/>
          <w:sz w:val="24"/>
        </w:rPr>
        <w:t>厦门银行股份有限公司董事会</w:t>
      </w:r>
    </w:p>
    <w:p w:rsidR="000C6C27" w:rsidRDefault="004A48C9">
      <w:pPr>
        <w:spacing w:line="360" w:lineRule="auto"/>
        <w:ind w:firstLineChars="2350" w:firstLine="5640"/>
        <w:rPr>
          <w:rFonts w:ascii="Times New Roman" w:hAnsi="Times New Roman" w:cs="Times New Roman"/>
          <w:sz w:val="24"/>
        </w:rPr>
      </w:pPr>
      <w:r w:rsidRPr="00084704">
        <w:rPr>
          <w:rFonts w:ascii="Times New Roman" w:hAnsi="Times New Roman" w:cs="Times New Roman"/>
          <w:sz w:val="24"/>
        </w:rPr>
        <w:t>202</w:t>
      </w:r>
      <w:r w:rsidRPr="00084704">
        <w:rPr>
          <w:rFonts w:ascii="Times New Roman" w:hAnsi="Times New Roman" w:cs="Times New Roman" w:hint="eastAsia"/>
          <w:sz w:val="24"/>
        </w:rPr>
        <w:t>3</w:t>
      </w:r>
      <w:r w:rsidRPr="00084704">
        <w:rPr>
          <w:rFonts w:ascii="Times New Roman" w:hAnsi="Times New Roman" w:cs="Times New Roman" w:hint="eastAsia"/>
          <w:sz w:val="24"/>
        </w:rPr>
        <w:t>年</w:t>
      </w:r>
      <w:r w:rsidRPr="00084704">
        <w:rPr>
          <w:rFonts w:ascii="Times New Roman" w:hAnsi="Times New Roman" w:cs="Times New Roman" w:hint="eastAsia"/>
          <w:sz w:val="24"/>
        </w:rPr>
        <w:t>4</w:t>
      </w:r>
      <w:r w:rsidRPr="00084704">
        <w:rPr>
          <w:rFonts w:ascii="Times New Roman" w:hAnsi="Times New Roman" w:cs="Times New Roman" w:hint="eastAsia"/>
          <w:sz w:val="24"/>
        </w:rPr>
        <w:t>月</w:t>
      </w:r>
      <w:r w:rsidRPr="00084704">
        <w:rPr>
          <w:rFonts w:ascii="Times New Roman" w:hAnsi="Times New Roman" w:cs="Times New Roman" w:hint="eastAsia"/>
          <w:sz w:val="24"/>
        </w:rPr>
        <w:t>27</w:t>
      </w:r>
      <w:r w:rsidRPr="00084704">
        <w:rPr>
          <w:rFonts w:ascii="Times New Roman" w:hAnsi="Times New Roman" w:cs="Times New Roman" w:hint="eastAsia"/>
          <w:sz w:val="24"/>
        </w:rPr>
        <w:t>日</w:t>
      </w:r>
      <w:r>
        <w:rPr>
          <w:rFonts w:ascii="Times New Roman" w:hAnsi="Times New Roman" w:cs="Times New Roman"/>
          <w:sz w:val="24"/>
        </w:rPr>
        <w:t xml:space="preserve"> </w:t>
      </w:r>
    </w:p>
    <w:p w:rsidR="000C6C27" w:rsidRDefault="000C6C27">
      <w:pPr>
        <w:spacing w:line="360" w:lineRule="auto"/>
        <w:ind w:firstLineChars="2350" w:firstLine="5640"/>
        <w:rPr>
          <w:rFonts w:ascii="Times New Roman" w:hAnsi="Times New Roman" w:cs="Times New Roman"/>
          <w:sz w:val="24"/>
        </w:rPr>
      </w:pPr>
    </w:p>
    <w:p w:rsidR="000C6C27" w:rsidRDefault="000C6C27">
      <w:pPr>
        <w:spacing w:line="360" w:lineRule="auto"/>
        <w:ind w:firstLineChars="2350" w:firstLine="5640"/>
        <w:rPr>
          <w:rFonts w:ascii="Times New Roman" w:hAnsi="Times New Roman" w:cs="Times New Roman"/>
          <w:sz w:val="24"/>
        </w:rPr>
      </w:pPr>
    </w:p>
    <w:p w:rsidR="000C6C27" w:rsidRDefault="000C6C27">
      <w:pPr>
        <w:spacing w:line="360" w:lineRule="auto"/>
        <w:ind w:firstLineChars="2350" w:firstLine="5640"/>
        <w:rPr>
          <w:rFonts w:ascii="Times New Roman" w:hAnsi="Times New Roman" w:cs="Times New Roman"/>
          <w:sz w:val="24"/>
        </w:rPr>
      </w:pPr>
    </w:p>
    <w:p w:rsidR="000C6C27" w:rsidRDefault="000C6C27">
      <w:pPr>
        <w:adjustRightInd w:val="0"/>
        <w:snapToGrid w:val="0"/>
        <w:spacing w:line="560" w:lineRule="exact"/>
        <w:ind w:firstLineChars="200" w:firstLine="482"/>
        <w:rPr>
          <w:rFonts w:asciiTheme="minorEastAsia" w:hAnsiTheme="minorEastAsia" w:cstheme="minorEastAsia"/>
          <w:b/>
          <w:bCs/>
          <w:sz w:val="24"/>
        </w:rPr>
      </w:pPr>
    </w:p>
    <w:sectPr w:rsidR="000C6C2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C5E21" w:rsidRDefault="007C5E21">
      <w:r>
        <w:separator/>
      </w:r>
    </w:p>
  </w:endnote>
  <w:endnote w:type="continuationSeparator" w:id="0">
    <w:p w:rsidR="007C5E21" w:rsidRDefault="007C5E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Sim Sun">
    <w:altName w:val="宋体"/>
    <w:charset w:val="86"/>
    <w:family w:val="auto"/>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08436957"/>
    </w:sdtPr>
    <w:sdtEndPr/>
    <w:sdtContent>
      <w:sdt>
        <w:sdtPr>
          <w:id w:val="-1705238520"/>
        </w:sdtPr>
        <w:sdtEndPr/>
        <w:sdtContent>
          <w:p w:rsidR="000C6C27" w:rsidRDefault="004A48C9">
            <w:pPr>
              <w:pStyle w:val="a6"/>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084704">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084704">
              <w:rPr>
                <w:b/>
                <w:bCs/>
                <w:noProof/>
              </w:rPr>
              <w:t>4</w:t>
            </w:r>
            <w:r>
              <w:rPr>
                <w:b/>
                <w:bCs/>
                <w:sz w:val="24"/>
                <w:szCs w:val="24"/>
              </w:rPr>
              <w:fldChar w:fldCharType="end"/>
            </w:r>
          </w:p>
        </w:sdtContent>
      </w:sdt>
    </w:sdtContent>
  </w:sdt>
  <w:p w:rsidR="000C6C27" w:rsidRDefault="000C6C27">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C5E21" w:rsidRDefault="007C5E21">
      <w:r>
        <w:separator/>
      </w:r>
    </w:p>
  </w:footnote>
  <w:footnote w:type="continuationSeparator" w:id="0">
    <w:p w:rsidR="007C5E21" w:rsidRDefault="007C5E2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A364231"/>
    <w:multiLevelType w:val="multilevel"/>
    <w:tmpl w:val="7A364231"/>
    <w:lvl w:ilvl="0">
      <w:start w:val="1"/>
      <w:numFmt w:val="bullet"/>
      <w:lvlText w:val=""/>
      <w:lvlJc w:val="left"/>
      <w:pPr>
        <w:ind w:left="840" w:hanging="420"/>
      </w:pPr>
      <w:rPr>
        <w:rFonts w:ascii="Wingdings" w:hAnsi="Wingdings"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proofState w:spelling="clean" w:grammar="clean"/>
  <w:trackRevisions/>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1720B"/>
    <w:rsid w:val="00020D43"/>
    <w:rsid w:val="0003014A"/>
    <w:rsid w:val="0004266A"/>
    <w:rsid w:val="000740BB"/>
    <w:rsid w:val="00084704"/>
    <w:rsid w:val="000A362F"/>
    <w:rsid w:val="000C0DFB"/>
    <w:rsid w:val="000C6C27"/>
    <w:rsid w:val="00157D8D"/>
    <w:rsid w:val="00172A27"/>
    <w:rsid w:val="001C63B1"/>
    <w:rsid w:val="00271955"/>
    <w:rsid w:val="0029256D"/>
    <w:rsid w:val="002B1D91"/>
    <w:rsid w:val="002B2F5B"/>
    <w:rsid w:val="00366FFE"/>
    <w:rsid w:val="00383C84"/>
    <w:rsid w:val="00390343"/>
    <w:rsid w:val="003B7A09"/>
    <w:rsid w:val="003C675D"/>
    <w:rsid w:val="00416697"/>
    <w:rsid w:val="0044432A"/>
    <w:rsid w:val="00465919"/>
    <w:rsid w:val="00483354"/>
    <w:rsid w:val="004A48C9"/>
    <w:rsid w:val="0055527D"/>
    <w:rsid w:val="00570A54"/>
    <w:rsid w:val="00573088"/>
    <w:rsid w:val="00583217"/>
    <w:rsid w:val="00584DAE"/>
    <w:rsid w:val="005C75C7"/>
    <w:rsid w:val="00640678"/>
    <w:rsid w:val="006664AC"/>
    <w:rsid w:val="0067539C"/>
    <w:rsid w:val="00715AB7"/>
    <w:rsid w:val="00740BCB"/>
    <w:rsid w:val="00744516"/>
    <w:rsid w:val="00793AAA"/>
    <w:rsid w:val="007A2762"/>
    <w:rsid w:val="007C5E21"/>
    <w:rsid w:val="007D4A23"/>
    <w:rsid w:val="00800ED0"/>
    <w:rsid w:val="00801C5A"/>
    <w:rsid w:val="00854FB6"/>
    <w:rsid w:val="00861DDD"/>
    <w:rsid w:val="008C2EB4"/>
    <w:rsid w:val="008E753F"/>
    <w:rsid w:val="008F7F99"/>
    <w:rsid w:val="00934059"/>
    <w:rsid w:val="009D6698"/>
    <w:rsid w:val="009E7367"/>
    <w:rsid w:val="00A06DC7"/>
    <w:rsid w:val="00A6152F"/>
    <w:rsid w:val="00A86BBF"/>
    <w:rsid w:val="00AC6204"/>
    <w:rsid w:val="00B75D57"/>
    <w:rsid w:val="00BC5881"/>
    <w:rsid w:val="00BE1369"/>
    <w:rsid w:val="00C422EC"/>
    <w:rsid w:val="00C94BDD"/>
    <w:rsid w:val="00CC6614"/>
    <w:rsid w:val="00D445EE"/>
    <w:rsid w:val="00D57AEE"/>
    <w:rsid w:val="00DC20B9"/>
    <w:rsid w:val="00DC2A34"/>
    <w:rsid w:val="00DE1825"/>
    <w:rsid w:val="00E1715A"/>
    <w:rsid w:val="00E80AE1"/>
    <w:rsid w:val="00EB09E6"/>
    <w:rsid w:val="00F22D9F"/>
    <w:rsid w:val="00F40890"/>
    <w:rsid w:val="00F94D63"/>
    <w:rsid w:val="00FE1265"/>
    <w:rsid w:val="01A71599"/>
    <w:rsid w:val="01D04416"/>
    <w:rsid w:val="023C68DC"/>
    <w:rsid w:val="02741D6B"/>
    <w:rsid w:val="04FB035E"/>
    <w:rsid w:val="0A015DC2"/>
    <w:rsid w:val="0A96609C"/>
    <w:rsid w:val="0D5B4C03"/>
    <w:rsid w:val="0F422D73"/>
    <w:rsid w:val="0FE47741"/>
    <w:rsid w:val="104A6BDD"/>
    <w:rsid w:val="10681E69"/>
    <w:rsid w:val="12331984"/>
    <w:rsid w:val="1243310B"/>
    <w:rsid w:val="13B00CB0"/>
    <w:rsid w:val="147B17CE"/>
    <w:rsid w:val="14EC3A85"/>
    <w:rsid w:val="154974E8"/>
    <w:rsid w:val="15973232"/>
    <w:rsid w:val="16BF19F0"/>
    <w:rsid w:val="17E837FF"/>
    <w:rsid w:val="18A75F64"/>
    <w:rsid w:val="19034C96"/>
    <w:rsid w:val="19812FE0"/>
    <w:rsid w:val="1BA03A62"/>
    <w:rsid w:val="1CA84C8A"/>
    <w:rsid w:val="1F993F82"/>
    <w:rsid w:val="215B5196"/>
    <w:rsid w:val="23366B57"/>
    <w:rsid w:val="24937257"/>
    <w:rsid w:val="2604045C"/>
    <w:rsid w:val="26115B44"/>
    <w:rsid w:val="26D502BD"/>
    <w:rsid w:val="27271829"/>
    <w:rsid w:val="27305BF3"/>
    <w:rsid w:val="27FB6650"/>
    <w:rsid w:val="2A072809"/>
    <w:rsid w:val="2A9E43BC"/>
    <w:rsid w:val="2B0B420B"/>
    <w:rsid w:val="2B5D5737"/>
    <w:rsid w:val="2B885023"/>
    <w:rsid w:val="2D754523"/>
    <w:rsid w:val="2E275B6B"/>
    <w:rsid w:val="2E78414E"/>
    <w:rsid w:val="2EFD3EEA"/>
    <w:rsid w:val="2FE8601E"/>
    <w:rsid w:val="309D529E"/>
    <w:rsid w:val="33926021"/>
    <w:rsid w:val="34EA0BF0"/>
    <w:rsid w:val="36662117"/>
    <w:rsid w:val="39870DEB"/>
    <w:rsid w:val="3A3C1D90"/>
    <w:rsid w:val="3A782CB0"/>
    <w:rsid w:val="3AF13516"/>
    <w:rsid w:val="3D102A3A"/>
    <w:rsid w:val="3D852E76"/>
    <w:rsid w:val="3E654B58"/>
    <w:rsid w:val="3EC703B4"/>
    <w:rsid w:val="3EF176F2"/>
    <w:rsid w:val="3F38258A"/>
    <w:rsid w:val="3F751D53"/>
    <w:rsid w:val="401610E2"/>
    <w:rsid w:val="40366EA7"/>
    <w:rsid w:val="407C600F"/>
    <w:rsid w:val="423B5E56"/>
    <w:rsid w:val="42473F9F"/>
    <w:rsid w:val="428C2F78"/>
    <w:rsid w:val="42A96E9F"/>
    <w:rsid w:val="438C4A69"/>
    <w:rsid w:val="440607D5"/>
    <w:rsid w:val="443B0A7A"/>
    <w:rsid w:val="449F0EF0"/>
    <w:rsid w:val="475C15AC"/>
    <w:rsid w:val="47D43774"/>
    <w:rsid w:val="480114B3"/>
    <w:rsid w:val="49720E56"/>
    <w:rsid w:val="4A60362A"/>
    <w:rsid w:val="4B051489"/>
    <w:rsid w:val="4B515E58"/>
    <w:rsid w:val="4BBE713D"/>
    <w:rsid w:val="4CA76A3F"/>
    <w:rsid w:val="4D037ECB"/>
    <w:rsid w:val="4D3C6213"/>
    <w:rsid w:val="4E2E6860"/>
    <w:rsid w:val="4E8522DC"/>
    <w:rsid w:val="4FA476A1"/>
    <w:rsid w:val="50CB4818"/>
    <w:rsid w:val="520F2881"/>
    <w:rsid w:val="538A0482"/>
    <w:rsid w:val="559B0B14"/>
    <w:rsid w:val="561F565F"/>
    <w:rsid w:val="592E40DA"/>
    <w:rsid w:val="5A6E7D87"/>
    <w:rsid w:val="5BAF2D89"/>
    <w:rsid w:val="5BEE5F28"/>
    <w:rsid w:val="5C007105"/>
    <w:rsid w:val="5C7F4D80"/>
    <w:rsid w:val="5CE91165"/>
    <w:rsid w:val="5EB3207B"/>
    <w:rsid w:val="5F8A1E3F"/>
    <w:rsid w:val="60627B7E"/>
    <w:rsid w:val="620F42D6"/>
    <w:rsid w:val="62B2148C"/>
    <w:rsid w:val="643E0387"/>
    <w:rsid w:val="67CB5883"/>
    <w:rsid w:val="68D90461"/>
    <w:rsid w:val="6AA719F6"/>
    <w:rsid w:val="6BC10B7E"/>
    <w:rsid w:val="6C120A9A"/>
    <w:rsid w:val="6C5F4D31"/>
    <w:rsid w:val="6CF81B26"/>
    <w:rsid w:val="70B61B1C"/>
    <w:rsid w:val="71194FA7"/>
    <w:rsid w:val="72BB501F"/>
    <w:rsid w:val="7352517E"/>
    <w:rsid w:val="737721DF"/>
    <w:rsid w:val="73AE1AD7"/>
    <w:rsid w:val="75AD5FAB"/>
    <w:rsid w:val="75F6159A"/>
    <w:rsid w:val="766C045C"/>
    <w:rsid w:val="773070E5"/>
    <w:rsid w:val="777666B8"/>
    <w:rsid w:val="7B1A3EE8"/>
    <w:rsid w:val="7B3D7897"/>
    <w:rsid w:val="7B5B52A1"/>
    <w:rsid w:val="7D9900BA"/>
    <w:rsid w:val="7E1C5E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E33294C7-2F65-4184-BFC3-B5C8297BF9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qFormat="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semiHidden/>
    <w:unhideWhenUsed/>
    <w:qFormat/>
    <w:pPr>
      <w:jc w:val="left"/>
      <w:outlineLvl w:val="1"/>
    </w:pPr>
    <w:rPr>
      <w:rFonts w:ascii="宋体" w:eastAsia="宋体" w:hAnsi="宋体" w:cs="Times New Roman" w:hint="eastAsia"/>
      <w:b/>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pPr>
      <w:jc w:val="left"/>
    </w:pPr>
  </w:style>
  <w:style w:type="paragraph" w:styleId="a4">
    <w:name w:val="Date"/>
    <w:basedOn w:val="a"/>
    <w:next w:val="a"/>
    <w:link w:val="Char0"/>
    <w:qFormat/>
    <w:pPr>
      <w:ind w:leftChars="2500" w:left="100"/>
    </w:pPr>
  </w:style>
  <w:style w:type="paragraph" w:styleId="a5">
    <w:name w:val="Balloon Text"/>
    <w:basedOn w:val="a"/>
    <w:link w:val="Char1"/>
    <w:qFormat/>
    <w:rPr>
      <w:sz w:val="18"/>
      <w:szCs w:val="18"/>
    </w:rPr>
  </w:style>
  <w:style w:type="paragraph" w:styleId="a6">
    <w:name w:val="footer"/>
    <w:basedOn w:val="a"/>
    <w:link w:val="Char2"/>
    <w:uiPriority w:val="99"/>
    <w:qFormat/>
    <w:pPr>
      <w:tabs>
        <w:tab w:val="center" w:pos="4153"/>
        <w:tab w:val="right" w:pos="8306"/>
      </w:tabs>
      <w:snapToGrid w:val="0"/>
      <w:jc w:val="left"/>
    </w:pPr>
    <w:rPr>
      <w:sz w:val="18"/>
      <w:szCs w:val="18"/>
    </w:rPr>
  </w:style>
  <w:style w:type="paragraph" w:styleId="a7">
    <w:name w:val="header"/>
    <w:basedOn w:val="a"/>
    <w:link w:val="Char3"/>
    <w:qFormat/>
    <w:pPr>
      <w:pBdr>
        <w:bottom w:val="single" w:sz="6" w:space="1" w:color="auto"/>
      </w:pBdr>
      <w:tabs>
        <w:tab w:val="center" w:pos="4153"/>
        <w:tab w:val="right" w:pos="8306"/>
      </w:tabs>
      <w:snapToGrid w:val="0"/>
      <w:jc w:val="center"/>
    </w:pPr>
    <w:rPr>
      <w:sz w:val="18"/>
      <w:szCs w:val="18"/>
    </w:rPr>
  </w:style>
  <w:style w:type="paragraph" w:styleId="a8">
    <w:name w:val="annotation subject"/>
    <w:basedOn w:val="a3"/>
    <w:next w:val="a3"/>
    <w:link w:val="Char4"/>
    <w:semiHidden/>
    <w:unhideWhenUsed/>
    <w:qFormat/>
    <w:rPr>
      <w:b/>
      <w:bCs/>
    </w:rPr>
  </w:style>
  <w:style w:type="character" w:styleId="a9">
    <w:name w:val="FollowedHyperlink"/>
    <w:basedOn w:val="a0"/>
    <w:qFormat/>
    <w:rPr>
      <w:color w:val="000000"/>
      <w:u w:val="none"/>
    </w:rPr>
  </w:style>
  <w:style w:type="character" w:styleId="aa">
    <w:name w:val="Hyperlink"/>
    <w:basedOn w:val="a0"/>
    <w:qFormat/>
    <w:rPr>
      <w:color w:val="000000"/>
      <w:u w:val="none"/>
    </w:rPr>
  </w:style>
  <w:style w:type="character" w:styleId="ab">
    <w:name w:val="annotation reference"/>
    <w:basedOn w:val="a0"/>
    <w:semiHidden/>
    <w:unhideWhenUsed/>
    <w:qFormat/>
    <w:rPr>
      <w:sz w:val="21"/>
      <w:szCs w:val="21"/>
    </w:rPr>
  </w:style>
  <w:style w:type="character" w:customStyle="1" w:styleId="time2">
    <w:name w:val="time2"/>
    <w:basedOn w:val="a0"/>
    <w:qFormat/>
    <w:rPr>
      <w:color w:val="999999"/>
    </w:rPr>
  </w:style>
  <w:style w:type="paragraph" w:customStyle="1" w:styleId="Default">
    <w:name w:val="Default"/>
    <w:uiPriority w:val="99"/>
    <w:unhideWhenUsed/>
    <w:qFormat/>
    <w:pPr>
      <w:widowControl w:val="0"/>
      <w:autoSpaceDE w:val="0"/>
      <w:autoSpaceDN w:val="0"/>
      <w:adjustRightInd w:val="0"/>
    </w:pPr>
    <w:rPr>
      <w:rFonts w:ascii="宋体" w:hAnsi="宋体" w:hint="eastAsia"/>
      <w:color w:val="000000"/>
      <w:sz w:val="24"/>
    </w:rPr>
  </w:style>
  <w:style w:type="character" w:customStyle="1" w:styleId="Char1">
    <w:name w:val="批注框文本 Char"/>
    <w:basedOn w:val="a0"/>
    <w:link w:val="a5"/>
    <w:qFormat/>
    <w:rPr>
      <w:rFonts w:asciiTheme="minorHAnsi" w:eastAsiaTheme="minorEastAsia" w:hAnsiTheme="minorHAnsi" w:cstheme="minorBidi"/>
      <w:kern w:val="2"/>
      <w:sz w:val="18"/>
      <w:szCs w:val="18"/>
    </w:rPr>
  </w:style>
  <w:style w:type="character" w:customStyle="1" w:styleId="Char3">
    <w:name w:val="页眉 Char"/>
    <w:basedOn w:val="a0"/>
    <w:link w:val="a7"/>
    <w:qFormat/>
    <w:rPr>
      <w:rFonts w:asciiTheme="minorHAnsi" w:eastAsiaTheme="minorEastAsia" w:hAnsiTheme="minorHAnsi" w:cstheme="minorBidi"/>
      <w:kern w:val="2"/>
      <w:sz w:val="18"/>
      <w:szCs w:val="18"/>
    </w:rPr>
  </w:style>
  <w:style w:type="character" w:customStyle="1" w:styleId="Char2">
    <w:name w:val="页脚 Char"/>
    <w:basedOn w:val="a0"/>
    <w:link w:val="a6"/>
    <w:uiPriority w:val="99"/>
    <w:qFormat/>
    <w:rPr>
      <w:rFonts w:asciiTheme="minorHAnsi" w:eastAsiaTheme="minorEastAsia" w:hAnsiTheme="minorHAnsi" w:cstheme="minorBidi"/>
      <w:kern w:val="2"/>
      <w:sz w:val="18"/>
      <w:szCs w:val="18"/>
    </w:rPr>
  </w:style>
  <w:style w:type="paragraph" w:styleId="ac">
    <w:name w:val="List Paragraph"/>
    <w:basedOn w:val="a"/>
    <w:uiPriority w:val="99"/>
    <w:unhideWhenUsed/>
    <w:qFormat/>
    <w:pPr>
      <w:ind w:firstLineChars="200" w:firstLine="420"/>
    </w:pPr>
  </w:style>
  <w:style w:type="character" w:customStyle="1" w:styleId="Char">
    <w:name w:val="批注文字 Char"/>
    <w:basedOn w:val="a0"/>
    <w:link w:val="a3"/>
    <w:qFormat/>
    <w:rPr>
      <w:rFonts w:asciiTheme="minorHAnsi" w:eastAsiaTheme="minorEastAsia" w:hAnsiTheme="minorHAnsi" w:cstheme="minorBidi"/>
      <w:kern w:val="2"/>
      <w:sz w:val="21"/>
      <w:szCs w:val="24"/>
    </w:rPr>
  </w:style>
  <w:style w:type="character" w:customStyle="1" w:styleId="Char4">
    <w:name w:val="批注主题 Char"/>
    <w:basedOn w:val="Char"/>
    <w:link w:val="a8"/>
    <w:semiHidden/>
    <w:qFormat/>
    <w:rPr>
      <w:rFonts w:asciiTheme="minorHAnsi" w:eastAsiaTheme="minorEastAsia" w:hAnsiTheme="minorHAnsi" w:cstheme="minorBidi"/>
      <w:b/>
      <w:bCs/>
      <w:kern w:val="2"/>
      <w:sz w:val="21"/>
      <w:szCs w:val="24"/>
    </w:rPr>
  </w:style>
  <w:style w:type="character" w:customStyle="1" w:styleId="Char0">
    <w:name w:val="日期 Char"/>
    <w:basedOn w:val="a0"/>
    <w:link w:val="a4"/>
    <w:qFormat/>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161</TotalTime>
  <Pages>4</Pages>
  <Words>364</Words>
  <Characters>2080</Characters>
  <Application>Microsoft Office Word</Application>
  <DocSecurity>0</DocSecurity>
  <Lines>17</Lines>
  <Paragraphs>4</Paragraphs>
  <ScaleCrop>false</ScaleCrop>
  <Company>XMB</Company>
  <LinksUpToDate>false</LinksUpToDate>
  <CharactersWithSpaces>2440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Windows 用户</cp:lastModifiedBy>
  <cp:revision>4</cp:revision>
  <cp:lastPrinted>2020-08-07T05:44:00Z</cp:lastPrinted>
  <dcterms:created xsi:type="dcterms:W3CDTF">2023-03-30T06:17:00Z</dcterms:created>
  <dcterms:modified xsi:type="dcterms:W3CDTF">2023-04-27T09:08:00Z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ies>
</file>