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62F" w:rsidRDefault="00E4562F">
      <w:pPr>
        <w:jc w:val="center"/>
        <w:rPr>
          <w:rFonts w:ascii="黑体" w:eastAsia="黑体" w:hAnsi="黑体"/>
          <w:sz w:val="36"/>
          <w:szCs w:val="36"/>
        </w:rPr>
      </w:pPr>
      <w:bookmarkStart w:id="0" w:name="_Hlk92295106"/>
    </w:p>
    <w:p w:rsidR="00E4562F" w:rsidRDefault="00E4562F">
      <w:pPr>
        <w:jc w:val="center"/>
        <w:rPr>
          <w:rFonts w:ascii="黑体" w:eastAsia="黑体" w:hAnsi="黑体"/>
          <w:sz w:val="36"/>
          <w:szCs w:val="36"/>
        </w:rPr>
      </w:pPr>
    </w:p>
    <w:p w:rsidR="00E4562F" w:rsidRDefault="00E4562F">
      <w:pPr>
        <w:jc w:val="center"/>
        <w:rPr>
          <w:rFonts w:ascii="黑体" w:eastAsia="黑体" w:hAnsi="黑体"/>
          <w:sz w:val="36"/>
          <w:szCs w:val="36"/>
        </w:rPr>
      </w:pPr>
    </w:p>
    <w:p w:rsidR="00E4562F" w:rsidRDefault="00E4562F">
      <w:pPr>
        <w:jc w:val="center"/>
        <w:rPr>
          <w:rFonts w:ascii="黑体" w:eastAsia="黑体" w:hAnsi="黑体"/>
          <w:sz w:val="36"/>
          <w:szCs w:val="36"/>
        </w:rPr>
      </w:pPr>
    </w:p>
    <w:p w:rsidR="00E4562F" w:rsidRDefault="003D0AF6">
      <w:pPr>
        <w:jc w:val="center"/>
        <w:rPr>
          <w:rFonts w:ascii="黑体" w:eastAsia="黑体" w:hAnsi="黑体"/>
          <w:sz w:val="36"/>
          <w:szCs w:val="36"/>
        </w:rPr>
      </w:pPr>
      <w:r>
        <w:rPr>
          <w:rFonts w:ascii="黑体" w:eastAsia="黑体" w:hAnsi="黑体" w:hint="eastAsia"/>
          <w:sz w:val="36"/>
          <w:szCs w:val="36"/>
        </w:rPr>
        <w:t>关于</w:t>
      </w:r>
      <w:sdt>
        <w:sdtPr>
          <w:rPr>
            <w:rFonts w:ascii="黑体" w:eastAsia="黑体" w:hAnsi="黑体" w:hint="eastAsia"/>
            <w:sz w:val="36"/>
            <w:szCs w:val="36"/>
          </w:rPr>
          <w:alias w:val="公司法定中文名称"/>
          <w:tag w:val="_GBC_95d98726569a48f6907b10101d8e582e"/>
          <w:id w:val="-468513086"/>
          <w:lock w:val="sdtLocked"/>
          <w:placeholder>
            <w:docPart w:val="GBC22222222222222222222222222222"/>
          </w:placeholder>
        </w:sdtPr>
        <w:sdtEndPr/>
        <w:sdtContent>
          <w:r>
            <w:rPr>
              <w:rFonts w:ascii="黑体" w:eastAsia="黑体" w:hAnsi="黑体" w:hint="eastAsia"/>
              <w:sz w:val="36"/>
              <w:szCs w:val="36"/>
            </w:rPr>
            <w:t>厦门银行股份有限公司</w:t>
          </w:r>
        </w:sdtContent>
      </w:sdt>
    </w:p>
    <w:p w:rsidR="00E4562F" w:rsidRDefault="003D0AF6">
      <w:pPr>
        <w:jc w:val="center"/>
        <w:rPr>
          <w:rFonts w:ascii="黑体" w:eastAsia="黑体" w:hAnsi="黑体"/>
          <w:sz w:val="36"/>
          <w:szCs w:val="36"/>
        </w:rPr>
      </w:pPr>
      <w:r>
        <w:rPr>
          <w:rFonts w:ascii="黑体" w:eastAsia="黑体" w:hAnsi="黑体" w:hint="eastAsia"/>
          <w:sz w:val="36"/>
          <w:szCs w:val="36"/>
        </w:rPr>
        <w:t>非经营性资金占用及其他关联资金往来情况</w:t>
      </w:r>
    </w:p>
    <w:p w:rsidR="00E4562F" w:rsidRDefault="003D0AF6">
      <w:pPr>
        <w:jc w:val="center"/>
        <w:rPr>
          <w:rFonts w:ascii="黑体" w:eastAsia="黑体" w:hAnsi="黑体"/>
          <w:sz w:val="36"/>
          <w:szCs w:val="36"/>
        </w:rPr>
      </w:pPr>
      <w:r>
        <w:rPr>
          <w:rFonts w:ascii="黑体" w:eastAsia="黑体" w:hAnsi="黑体" w:hint="eastAsia"/>
          <w:sz w:val="36"/>
          <w:szCs w:val="36"/>
        </w:rPr>
        <w:t>汇总表的专项审计报告</w:t>
      </w: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3D0AF6">
      <w:pPr>
        <w:rPr>
          <w:rFonts w:ascii="宋体" w:eastAsia="宋体" w:hAnsi="宋体"/>
          <w:szCs w:val="21"/>
        </w:rPr>
      </w:pPr>
      <w:r>
        <w:rPr>
          <w:rFonts w:ascii="宋体" w:eastAsia="宋体" w:hAnsi="宋体" w:hint="eastAsia"/>
          <w:szCs w:val="21"/>
        </w:rPr>
        <w:t>目 录</w:t>
      </w:r>
    </w:p>
    <w:p w:rsidR="00E4562F" w:rsidRDefault="003D0AF6">
      <w:pPr>
        <w:pStyle w:val="a9"/>
        <w:numPr>
          <w:ilvl w:val="0"/>
          <w:numId w:val="1"/>
        </w:numPr>
        <w:ind w:firstLineChars="0"/>
        <w:rPr>
          <w:rFonts w:ascii="宋体" w:eastAsia="宋体" w:hAnsi="宋体"/>
          <w:szCs w:val="21"/>
        </w:rPr>
      </w:pPr>
      <w:r>
        <w:rPr>
          <w:rFonts w:ascii="宋体" w:eastAsia="宋体" w:hAnsi="宋体" w:hint="eastAsia"/>
          <w:szCs w:val="21"/>
        </w:rPr>
        <w:t>专项审计报告</w:t>
      </w:r>
    </w:p>
    <w:p w:rsidR="00E4562F" w:rsidRDefault="003D0AF6">
      <w:pPr>
        <w:pStyle w:val="a9"/>
        <w:numPr>
          <w:ilvl w:val="0"/>
          <w:numId w:val="1"/>
        </w:numPr>
        <w:ind w:firstLineChars="0"/>
        <w:rPr>
          <w:rFonts w:ascii="宋体" w:eastAsia="宋体" w:hAnsi="宋体"/>
          <w:szCs w:val="21"/>
        </w:rPr>
      </w:pPr>
      <w:r>
        <w:rPr>
          <w:rFonts w:ascii="宋体" w:eastAsia="宋体" w:hAnsi="宋体" w:hint="eastAsia"/>
          <w:szCs w:val="21"/>
        </w:rPr>
        <w:t>附表</w:t>
      </w: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3D0AF6">
      <w:pPr>
        <w:rPr>
          <w:rFonts w:ascii="宋体" w:eastAsia="宋体" w:hAnsi="宋体"/>
          <w:szCs w:val="21"/>
        </w:rPr>
      </w:pPr>
      <w:r>
        <w:rPr>
          <w:rFonts w:ascii="宋体" w:eastAsia="宋体" w:hAnsi="宋体" w:hint="eastAsia"/>
          <w:szCs w:val="21"/>
        </w:rPr>
        <w:t>委托单位：</w:t>
      </w:r>
      <w:r>
        <w:rPr>
          <w:rFonts w:ascii="宋体" w:eastAsia="宋体" w:hAnsi="宋体" w:cs="宋体" w:hint="eastAsia"/>
        </w:rPr>
        <w:t>厦门银行股份有限公司</w:t>
      </w:r>
    </w:p>
    <w:p w:rsidR="00E4562F" w:rsidRDefault="003D0AF6">
      <w:pPr>
        <w:rPr>
          <w:rFonts w:ascii="宋体" w:eastAsia="宋体" w:hAnsi="宋体"/>
          <w:szCs w:val="21"/>
        </w:rPr>
      </w:pPr>
      <w:r>
        <w:rPr>
          <w:rFonts w:ascii="宋体" w:eastAsia="宋体" w:hAnsi="宋体" w:hint="eastAsia"/>
          <w:szCs w:val="21"/>
        </w:rPr>
        <w:t>审计单位：安永华明会计师事务所（特殊普通合伙）</w:t>
      </w:r>
    </w:p>
    <w:p w:rsidR="00E4562F" w:rsidRDefault="003D0AF6">
      <w:pPr>
        <w:rPr>
          <w:rFonts w:ascii="宋体" w:eastAsia="宋体" w:hAnsi="宋体"/>
          <w:szCs w:val="21"/>
        </w:rPr>
      </w:pPr>
      <w:r>
        <w:rPr>
          <w:rFonts w:ascii="宋体" w:eastAsia="宋体" w:hAnsi="宋体" w:hint="eastAsia"/>
          <w:szCs w:val="21"/>
        </w:rPr>
        <w:t>联系电话：</w:t>
      </w:r>
      <w:r>
        <w:rPr>
          <w:rFonts w:ascii="宋体" w:eastAsia="宋体" w:hAnsi="宋体"/>
          <w:szCs w:val="21"/>
        </w:rPr>
        <w:t>020-28812888</w:t>
      </w:r>
    </w:p>
    <w:p w:rsidR="00E4562F" w:rsidRDefault="00E4562F">
      <w:pPr>
        <w:rPr>
          <w:rFonts w:ascii="宋体" w:eastAsia="宋体" w:hAnsi="宋体"/>
          <w:szCs w:val="21"/>
        </w:rPr>
      </w:pPr>
    </w:p>
    <w:p w:rsidR="00E4562F" w:rsidRDefault="00E4562F">
      <w:pPr>
        <w:rPr>
          <w:rFonts w:ascii="宋体" w:eastAsia="宋体" w:hAnsi="宋体"/>
          <w:szCs w:val="21"/>
        </w:rPr>
      </w:pPr>
    </w:p>
    <w:p w:rsidR="00E4562F" w:rsidRDefault="00E4562F">
      <w:pPr>
        <w:rPr>
          <w:rFonts w:ascii="宋体" w:eastAsia="宋体" w:hAnsi="宋体"/>
          <w:szCs w:val="21"/>
        </w:rPr>
      </w:pPr>
    </w:p>
    <w:p w:rsidR="003D0AF6" w:rsidRDefault="003D0AF6">
      <w:pPr>
        <w:rPr>
          <w:rFonts w:ascii="宋体" w:eastAsia="宋体" w:hAnsi="宋体"/>
          <w:szCs w:val="21"/>
        </w:rPr>
      </w:pPr>
    </w:p>
    <w:p w:rsidR="003D0AF6" w:rsidRDefault="003D0AF6">
      <w:pPr>
        <w:rPr>
          <w:rFonts w:ascii="宋体" w:eastAsia="宋体" w:hAnsi="宋体"/>
          <w:szCs w:val="21"/>
        </w:rPr>
      </w:pPr>
    </w:p>
    <w:p w:rsidR="003D0AF6" w:rsidRDefault="003D0AF6">
      <w:pPr>
        <w:rPr>
          <w:rFonts w:ascii="宋体" w:eastAsia="宋体" w:hAnsi="宋体"/>
          <w:szCs w:val="21"/>
        </w:rPr>
      </w:pPr>
    </w:p>
    <w:p w:rsidR="003D0AF6" w:rsidRDefault="003D0AF6">
      <w:pPr>
        <w:rPr>
          <w:rFonts w:ascii="宋体" w:eastAsia="宋体" w:hAnsi="宋体"/>
          <w:szCs w:val="21"/>
        </w:rPr>
      </w:pPr>
    </w:p>
    <w:p w:rsidR="003D0AF6" w:rsidRDefault="003D0AF6">
      <w:pPr>
        <w:rPr>
          <w:rFonts w:ascii="宋体" w:eastAsia="宋体" w:hAnsi="宋体"/>
          <w:szCs w:val="21"/>
        </w:rPr>
      </w:pPr>
    </w:p>
    <w:p w:rsidR="003D0AF6" w:rsidRDefault="003D0AF6">
      <w:pPr>
        <w:rPr>
          <w:rFonts w:ascii="宋体" w:eastAsia="宋体" w:hAnsi="宋体"/>
          <w:szCs w:val="21"/>
        </w:rPr>
      </w:pPr>
    </w:p>
    <w:p w:rsidR="003D0AF6" w:rsidRDefault="003D0AF6">
      <w:pPr>
        <w:rPr>
          <w:rFonts w:ascii="宋体" w:eastAsia="宋体" w:hAnsi="宋体"/>
          <w:szCs w:val="21"/>
        </w:rPr>
      </w:pPr>
    </w:p>
    <w:p w:rsidR="003D0AF6" w:rsidRDefault="003D0AF6">
      <w:pPr>
        <w:rPr>
          <w:rFonts w:ascii="宋体" w:eastAsia="宋体" w:hAnsi="宋体"/>
          <w:szCs w:val="21"/>
        </w:rPr>
      </w:pPr>
      <w:bookmarkStart w:id="1" w:name="_GoBack"/>
      <w:bookmarkEnd w:id="1"/>
    </w:p>
    <w:p w:rsidR="003D0AF6" w:rsidRDefault="003D0AF6">
      <w:pPr>
        <w:rPr>
          <w:rFonts w:ascii="宋体" w:eastAsia="宋体" w:hAnsi="宋体"/>
          <w:szCs w:val="21"/>
        </w:rPr>
      </w:pPr>
    </w:p>
    <w:p w:rsidR="00E4562F" w:rsidRDefault="00E4562F">
      <w:pPr>
        <w:rPr>
          <w:rFonts w:ascii="宋体" w:eastAsia="宋体" w:hAnsi="宋体"/>
          <w:szCs w:val="21"/>
        </w:rPr>
      </w:pPr>
    </w:p>
    <w:p w:rsidR="00E4562F" w:rsidRDefault="003D0AF6">
      <w:pPr>
        <w:pStyle w:val="a3"/>
        <w:autoSpaceDE w:val="0"/>
        <w:autoSpaceDN w:val="0"/>
        <w:jc w:val="center"/>
        <w:rPr>
          <w:rFonts w:ascii="Arial" w:eastAsia="黑体" w:hAnsi="Arial" w:cs="Arial"/>
          <w:b/>
          <w:w w:val="95"/>
          <w:kern w:val="0"/>
          <w:sz w:val="22"/>
        </w:rPr>
      </w:pPr>
      <w:r>
        <w:rPr>
          <w:rFonts w:ascii="Arial" w:eastAsia="黑体" w:hAnsi="Arial" w:cs="Arial" w:hint="eastAsia"/>
          <w:b/>
          <w:w w:val="95"/>
          <w:kern w:val="0"/>
          <w:sz w:val="22"/>
        </w:rPr>
        <w:lastRenderedPageBreak/>
        <w:t>关于厦门银行股份有限公司</w:t>
      </w:r>
      <w:r>
        <w:rPr>
          <w:rFonts w:ascii="Arial" w:eastAsia="黑体" w:hAnsi="Arial" w:cs="Arial" w:hint="eastAsia"/>
          <w:b/>
          <w:w w:val="95"/>
          <w:kern w:val="0"/>
          <w:sz w:val="22"/>
        </w:rPr>
        <w:t>2022</w:t>
      </w:r>
      <w:r>
        <w:rPr>
          <w:rFonts w:ascii="Arial" w:eastAsia="黑体" w:hAnsi="Arial" w:cs="Arial" w:hint="eastAsia"/>
          <w:b/>
          <w:w w:val="95"/>
          <w:kern w:val="0"/>
          <w:sz w:val="22"/>
        </w:rPr>
        <w:t>年度</w:t>
      </w:r>
    </w:p>
    <w:p w:rsidR="00E4562F" w:rsidRDefault="003D0AF6">
      <w:pPr>
        <w:pStyle w:val="a3"/>
        <w:autoSpaceDE w:val="0"/>
        <w:autoSpaceDN w:val="0"/>
        <w:jc w:val="center"/>
        <w:rPr>
          <w:rFonts w:ascii="Arial" w:eastAsia="黑体" w:hAnsi="Arial" w:cs="Arial"/>
          <w:b/>
          <w:w w:val="95"/>
          <w:kern w:val="0"/>
          <w:sz w:val="22"/>
        </w:rPr>
      </w:pPr>
      <w:r>
        <w:rPr>
          <w:rFonts w:ascii="Arial" w:eastAsia="黑体" w:hAnsi="Arial" w:cs="Arial" w:hint="eastAsia"/>
          <w:b/>
          <w:w w:val="95"/>
          <w:kern w:val="0"/>
          <w:sz w:val="22"/>
        </w:rPr>
        <w:t>非经营性资金占用及其他关联资金往来情况的专项说明</w:t>
      </w:r>
    </w:p>
    <w:p w:rsidR="00E4562F" w:rsidRDefault="00E4562F">
      <w:pPr>
        <w:pStyle w:val="a3"/>
        <w:autoSpaceDE w:val="0"/>
        <w:autoSpaceDN w:val="0"/>
        <w:jc w:val="center"/>
        <w:rPr>
          <w:rFonts w:ascii="Arial" w:eastAsia="黑体" w:hAnsi="Arial" w:cs="Arial"/>
          <w:b/>
          <w:w w:val="95"/>
          <w:kern w:val="0"/>
          <w:sz w:val="22"/>
        </w:rPr>
      </w:pPr>
    </w:p>
    <w:p w:rsidR="00E4562F" w:rsidRDefault="003D0AF6">
      <w:pPr>
        <w:pStyle w:val="a3"/>
        <w:autoSpaceDE w:val="0"/>
        <w:autoSpaceDN w:val="0"/>
        <w:jc w:val="right"/>
        <w:rPr>
          <w:rFonts w:ascii="Arial" w:eastAsia="黑体" w:hAnsi="Arial" w:cs="Arial"/>
          <w:spacing w:val="-1"/>
          <w:kern w:val="0"/>
          <w:sz w:val="22"/>
        </w:rPr>
      </w:pPr>
      <w:r>
        <w:rPr>
          <w:rFonts w:ascii="Arial" w:eastAsia="黑体" w:hAnsi="Arial" w:cs="Arial" w:hint="eastAsia"/>
          <w:spacing w:val="-1"/>
          <w:kern w:val="0"/>
          <w:sz w:val="22"/>
        </w:rPr>
        <w:t>安永华明（</w:t>
      </w:r>
      <w:r>
        <w:rPr>
          <w:rFonts w:ascii="Arial" w:eastAsia="黑体" w:hAnsi="Arial" w:cs="Arial" w:hint="eastAsia"/>
          <w:spacing w:val="-1"/>
          <w:kern w:val="0"/>
          <w:sz w:val="22"/>
        </w:rPr>
        <w:t>2023</w:t>
      </w:r>
      <w:r>
        <w:rPr>
          <w:rFonts w:ascii="Arial" w:eastAsia="黑体" w:hAnsi="Arial" w:cs="Arial" w:hint="eastAsia"/>
          <w:spacing w:val="-1"/>
          <w:kern w:val="0"/>
          <w:sz w:val="22"/>
        </w:rPr>
        <w:t>）</w:t>
      </w:r>
      <w:proofErr w:type="gramStart"/>
      <w:r>
        <w:rPr>
          <w:rFonts w:ascii="Arial" w:eastAsia="黑体" w:hAnsi="Arial" w:cs="Arial" w:hint="eastAsia"/>
          <w:spacing w:val="-1"/>
          <w:kern w:val="0"/>
          <w:sz w:val="22"/>
        </w:rPr>
        <w:t>专字第</w:t>
      </w:r>
      <w:r>
        <w:rPr>
          <w:rFonts w:ascii="Arial" w:eastAsia="黑体" w:hAnsi="Arial" w:cs="Arial" w:hint="eastAsia"/>
          <w:spacing w:val="-1"/>
          <w:kern w:val="0"/>
          <w:sz w:val="22"/>
        </w:rPr>
        <w:t>61276201</w:t>
      </w:r>
      <w:proofErr w:type="gramEnd"/>
      <w:r>
        <w:rPr>
          <w:rFonts w:ascii="Arial" w:eastAsia="黑体" w:hAnsi="Arial" w:cs="Arial" w:hint="eastAsia"/>
          <w:spacing w:val="-1"/>
          <w:kern w:val="0"/>
          <w:sz w:val="22"/>
        </w:rPr>
        <w:t>_H02</w:t>
      </w:r>
      <w:r>
        <w:rPr>
          <w:rFonts w:ascii="Arial" w:eastAsia="黑体" w:hAnsi="Arial" w:cs="Arial" w:hint="eastAsia"/>
          <w:spacing w:val="-1"/>
          <w:kern w:val="0"/>
          <w:sz w:val="22"/>
        </w:rPr>
        <w:t>号</w:t>
      </w:r>
    </w:p>
    <w:p w:rsidR="00E4562F" w:rsidRDefault="003D0AF6">
      <w:pPr>
        <w:pStyle w:val="a3"/>
        <w:autoSpaceDE w:val="0"/>
        <w:autoSpaceDN w:val="0"/>
        <w:jc w:val="right"/>
        <w:rPr>
          <w:rFonts w:ascii="Arial" w:eastAsia="黑体" w:hAnsi="Arial" w:cs="Arial"/>
          <w:spacing w:val="-1"/>
          <w:kern w:val="0"/>
          <w:sz w:val="22"/>
        </w:rPr>
      </w:pPr>
      <w:r>
        <w:rPr>
          <w:rFonts w:ascii="Arial" w:eastAsia="黑体" w:hAnsi="Arial" w:cs="Arial" w:hint="eastAsia"/>
          <w:spacing w:val="-1"/>
          <w:kern w:val="0"/>
          <w:sz w:val="22"/>
        </w:rPr>
        <w:t>厦门银行股份有限公司</w:t>
      </w:r>
    </w:p>
    <w:p w:rsidR="00E4562F" w:rsidRDefault="00E4562F">
      <w:pPr>
        <w:pStyle w:val="a3"/>
        <w:autoSpaceDE w:val="0"/>
        <w:autoSpaceDN w:val="0"/>
        <w:jc w:val="right"/>
        <w:rPr>
          <w:rFonts w:ascii="Arial" w:eastAsia="黑体" w:hAnsi="Arial" w:cs="Arial"/>
          <w:spacing w:val="-1"/>
          <w:kern w:val="0"/>
          <w:sz w:val="22"/>
        </w:rPr>
      </w:pPr>
    </w:p>
    <w:p w:rsidR="00E4562F" w:rsidRDefault="00E4562F">
      <w:pPr>
        <w:pStyle w:val="a3"/>
        <w:autoSpaceDE w:val="0"/>
        <w:autoSpaceDN w:val="0"/>
        <w:jc w:val="right"/>
        <w:rPr>
          <w:rFonts w:ascii="Arial" w:eastAsia="黑体" w:hAnsi="Arial" w:cs="Arial"/>
          <w:spacing w:val="-1"/>
          <w:kern w:val="0"/>
          <w:sz w:val="22"/>
        </w:rPr>
      </w:pPr>
    </w:p>
    <w:p w:rsidR="00E4562F" w:rsidRDefault="003D0AF6">
      <w:pPr>
        <w:pStyle w:val="a3"/>
        <w:autoSpaceDE w:val="0"/>
        <w:autoSpaceDN w:val="0"/>
        <w:jc w:val="left"/>
        <w:rPr>
          <w:rFonts w:ascii="Arial" w:eastAsia="黑体" w:hAnsi="Arial" w:cs="Arial"/>
          <w:kern w:val="0"/>
          <w:sz w:val="22"/>
        </w:rPr>
      </w:pPr>
      <w:r>
        <w:rPr>
          <w:rFonts w:ascii="Arial" w:eastAsia="黑体" w:hAnsi="Arial" w:cs="Arial"/>
          <w:kern w:val="0"/>
          <w:sz w:val="22"/>
        </w:rPr>
        <w:t>厦门银行股份有限公司董事会：</w:t>
      </w:r>
    </w:p>
    <w:p w:rsidR="00E4562F" w:rsidRDefault="00E4562F">
      <w:pPr>
        <w:pStyle w:val="a3"/>
        <w:autoSpaceDE w:val="0"/>
        <w:autoSpaceDN w:val="0"/>
        <w:jc w:val="left"/>
        <w:rPr>
          <w:rFonts w:ascii="Arial" w:eastAsia="黑体" w:hAnsi="Arial" w:cs="Arial"/>
          <w:kern w:val="0"/>
          <w:sz w:val="22"/>
        </w:rPr>
      </w:pPr>
    </w:p>
    <w:p w:rsidR="00E4562F" w:rsidRDefault="003D0AF6">
      <w:pPr>
        <w:pStyle w:val="a3"/>
        <w:autoSpaceDE w:val="0"/>
        <w:autoSpaceDN w:val="0"/>
        <w:jc w:val="left"/>
        <w:rPr>
          <w:rFonts w:ascii="Arial" w:eastAsia="黑体" w:hAnsi="Arial" w:cs="Arial"/>
          <w:kern w:val="0"/>
          <w:sz w:val="22"/>
        </w:rPr>
      </w:pPr>
      <w:r>
        <w:rPr>
          <w:rFonts w:ascii="Arial" w:eastAsia="黑体" w:hAnsi="Arial" w:cs="Arial" w:hint="eastAsia"/>
          <w:kern w:val="0"/>
          <w:sz w:val="22"/>
        </w:rPr>
        <w:t>我们审计了厦门银行</w:t>
      </w:r>
      <w:r>
        <w:rPr>
          <w:rFonts w:ascii="Arial" w:eastAsia="黑体" w:hAnsi="Arial" w:cs="Arial"/>
          <w:kern w:val="0"/>
          <w:sz w:val="22"/>
        </w:rPr>
        <w:t>股份有限公司的</w:t>
      </w:r>
      <w:r>
        <w:rPr>
          <w:rFonts w:ascii="Arial" w:eastAsia="黑体" w:hAnsi="Arial" w:cs="Arial"/>
          <w:kern w:val="0"/>
          <w:sz w:val="22"/>
        </w:rPr>
        <w:t>20</w:t>
      </w:r>
      <w:r>
        <w:rPr>
          <w:rFonts w:ascii="Arial" w:eastAsia="黑体" w:hAnsi="Arial" w:cs="Arial" w:hint="eastAsia"/>
          <w:kern w:val="0"/>
          <w:sz w:val="22"/>
        </w:rPr>
        <w:t>2</w:t>
      </w:r>
      <w:r>
        <w:rPr>
          <w:rFonts w:ascii="Arial" w:eastAsia="黑体" w:hAnsi="Arial" w:cs="Arial"/>
          <w:kern w:val="0"/>
          <w:sz w:val="22"/>
        </w:rPr>
        <w:t>2</w:t>
      </w:r>
      <w:r>
        <w:rPr>
          <w:rFonts w:ascii="Arial" w:eastAsia="黑体" w:hAnsi="Arial" w:cs="Arial"/>
          <w:kern w:val="0"/>
          <w:sz w:val="22"/>
        </w:rPr>
        <w:t>年度财务报表，包括</w:t>
      </w:r>
      <w:r>
        <w:rPr>
          <w:rFonts w:ascii="Arial" w:eastAsia="黑体" w:hAnsi="Arial" w:cs="Arial"/>
          <w:kern w:val="0"/>
          <w:sz w:val="22"/>
        </w:rPr>
        <w:t>20</w:t>
      </w:r>
      <w:r>
        <w:rPr>
          <w:rFonts w:ascii="Arial" w:eastAsia="黑体" w:hAnsi="Arial" w:cs="Arial" w:hint="eastAsia"/>
          <w:kern w:val="0"/>
          <w:sz w:val="22"/>
        </w:rPr>
        <w:t>2</w:t>
      </w:r>
      <w:r>
        <w:rPr>
          <w:rFonts w:ascii="Arial" w:eastAsia="黑体" w:hAnsi="Arial" w:cs="Arial"/>
          <w:kern w:val="0"/>
          <w:sz w:val="22"/>
        </w:rPr>
        <w:t>2</w:t>
      </w:r>
      <w:r>
        <w:rPr>
          <w:rFonts w:ascii="Arial" w:eastAsia="黑体" w:hAnsi="Arial" w:cs="Arial"/>
          <w:kern w:val="0"/>
          <w:sz w:val="22"/>
        </w:rPr>
        <w:t>年</w:t>
      </w:r>
      <w:r>
        <w:rPr>
          <w:rFonts w:ascii="Arial" w:eastAsia="黑体" w:hAnsi="Arial" w:cs="Arial"/>
          <w:kern w:val="0"/>
          <w:sz w:val="22"/>
        </w:rPr>
        <w:t>12</w:t>
      </w:r>
      <w:r>
        <w:rPr>
          <w:rFonts w:ascii="Arial" w:eastAsia="黑体" w:hAnsi="Arial" w:cs="Arial"/>
          <w:kern w:val="0"/>
          <w:sz w:val="22"/>
        </w:rPr>
        <w:t>月</w:t>
      </w:r>
      <w:r>
        <w:rPr>
          <w:rFonts w:ascii="Arial" w:eastAsia="黑体" w:hAnsi="Arial" w:cs="Arial"/>
          <w:kern w:val="0"/>
          <w:sz w:val="22"/>
        </w:rPr>
        <w:t>31</w:t>
      </w:r>
      <w:r>
        <w:rPr>
          <w:rFonts w:ascii="Arial" w:eastAsia="黑体" w:hAnsi="Arial" w:cs="Arial"/>
          <w:kern w:val="0"/>
          <w:sz w:val="22"/>
        </w:rPr>
        <w:t>日的合并及公司资产负债表，</w:t>
      </w:r>
      <w:r>
        <w:rPr>
          <w:rFonts w:ascii="Arial" w:eastAsia="黑体" w:hAnsi="Arial" w:cs="Arial"/>
          <w:kern w:val="0"/>
          <w:sz w:val="22"/>
        </w:rPr>
        <w:t>20</w:t>
      </w:r>
      <w:r>
        <w:rPr>
          <w:rFonts w:ascii="Arial" w:eastAsia="黑体" w:hAnsi="Arial" w:cs="Arial" w:hint="eastAsia"/>
          <w:kern w:val="0"/>
          <w:sz w:val="22"/>
        </w:rPr>
        <w:t>2</w:t>
      </w:r>
      <w:r>
        <w:rPr>
          <w:rFonts w:ascii="Arial" w:eastAsia="黑体" w:hAnsi="Arial" w:cs="Arial"/>
          <w:kern w:val="0"/>
          <w:sz w:val="22"/>
        </w:rPr>
        <w:t>2</w:t>
      </w:r>
      <w:r>
        <w:rPr>
          <w:rFonts w:ascii="Arial" w:eastAsia="黑体" w:hAnsi="Arial" w:cs="Arial"/>
          <w:kern w:val="0"/>
          <w:sz w:val="22"/>
        </w:rPr>
        <w:t>年度的合并及公司利润表、股东权益变动表和现金流量表以及相关财务报表附注，并于</w:t>
      </w:r>
      <w:r>
        <w:rPr>
          <w:rFonts w:ascii="Arial" w:eastAsia="黑体" w:hAnsi="Arial" w:cs="Arial"/>
          <w:kern w:val="0"/>
          <w:sz w:val="22"/>
        </w:rPr>
        <w:t>20</w:t>
      </w:r>
      <w:r>
        <w:rPr>
          <w:rFonts w:ascii="Arial" w:eastAsia="黑体" w:hAnsi="Arial" w:cs="Arial" w:hint="eastAsia"/>
          <w:kern w:val="0"/>
          <w:sz w:val="22"/>
        </w:rPr>
        <w:t>2</w:t>
      </w:r>
      <w:r>
        <w:rPr>
          <w:rFonts w:ascii="Arial" w:eastAsia="黑体" w:hAnsi="Arial" w:cs="Arial"/>
          <w:kern w:val="0"/>
          <w:sz w:val="22"/>
        </w:rPr>
        <w:t>3</w:t>
      </w:r>
      <w:r>
        <w:rPr>
          <w:rFonts w:ascii="Arial" w:eastAsia="黑体" w:hAnsi="Arial" w:cs="Arial"/>
          <w:kern w:val="0"/>
          <w:sz w:val="22"/>
        </w:rPr>
        <w:t>年</w:t>
      </w:r>
      <w:r>
        <w:rPr>
          <w:rFonts w:ascii="Arial" w:eastAsia="黑体" w:hAnsi="Arial" w:cs="Arial"/>
          <w:kern w:val="0"/>
          <w:sz w:val="22"/>
        </w:rPr>
        <w:t>4</w:t>
      </w:r>
      <w:r>
        <w:rPr>
          <w:rFonts w:ascii="Arial" w:eastAsia="黑体" w:hAnsi="Arial" w:cs="Arial"/>
          <w:kern w:val="0"/>
          <w:sz w:val="22"/>
        </w:rPr>
        <w:t>月</w:t>
      </w:r>
      <w:r>
        <w:rPr>
          <w:rFonts w:ascii="Arial" w:eastAsia="黑体" w:hAnsi="Arial" w:cs="Arial" w:hint="eastAsia"/>
          <w:kern w:val="0"/>
          <w:sz w:val="22"/>
        </w:rPr>
        <w:t>2</w:t>
      </w:r>
      <w:r>
        <w:rPr>
          <w:rFonts w:ascii="Arial" w:eastAsia="黑体" w:hAnsi="Arial" w:cs="Arial"/>
          <w:kern w:val="0"/>
          <w:sz w:val="22"/>
        </w:rPr>
        <w:t>7</w:t>
      </w:r>
      <w:r>
        <w:rPr>
          <w:rFonts w:ascii="Arial" w:eastAsia="黑体" w:hAnsi="Arial" w:cs="Arial"/>
          <w:kern w:val="0"/>
          <w:sz w:val="22"/>
        </w:rPr>
        <w:t>日出具了编号为</w:t>
      </w:r>
      <w:r>
        <w:rPr>
          <w:rFonts w:ascii="Arial" w:eastAsia="黑体" w:hAnsi="Arial" w:cs="Arial" w:hint="eastAsia"/>
          <w:kern w:val="0"/>
          <w:sz w:val="22"/>
        </w:rPr>
        <w:t>安永华明（</w:t>
      </w:r>
      <w:r>
        <w:rPr>
          <w:rFonts w:ascii="Arial" w:eastAsia="黑体" w:hAnsi="Arial" w:cs="Arial"/>
          <w:kern w:val="0"/>
          <w:sz w:val="22"/>
        </w:rPr>
        <w:t>2023</w:t>
      </w:r>
      <w:r>
        <w:rPr>
          <w:rFonts w:ascii="Arial" w:eastAsia="黑体" w:hAnsi="Arial" w:cs="Arial" w:hint="eastAsia"/>
          <w:kern w:val="0"/>
          <w:sz w:val="22"/>
        </w:rPr>
        <w:t>）</w:t>
      </w:r>
      <w:r>
        <w:rPr>
          <w:rFonts w:ascii="Arial" w:eastAsia="黑体" w:hAnsi="Arial" w:cs="Arial"/>
          <w:kern w:val="0"/>
          <w:sz w:val="22"/>
        </w:rPr>
        <w:t>审字第</w:t>
      </w:r>
      <w:r>
        <w:rPr>
          <w:rFonts w:ascii="Arial" w:eastAsia="黑体" w:hAnsi="Arial" w:cs="Arial"/>
          <w:kern w:val="0"/>
          <w:sz w:val="22"/>
        </w:rPr>
        <w:t>61276201_H01</w:t>
      </w:r>
      <w:r>
        <w:rPr>
          <w:rFonts w:ascii="Arial" w:eastAsia="黑体" w:hAnsi="Arial" w:cs="Arial"/>
          <w:kern w:val="0"/>
          <w:sz w:val="22"/>
        </w:rPr>
        <w:t>号的无保留意见审计报告。</w:t>
      </w:r>
    </w:p>
    <w:p w:rsidR="00E4562F" w:rsidRDefault="00E4562F">
      <w:pPr>
        <w:pStyle w:val="a3"/>
        <w:autoSpaceDE w:val="0"/>
        <w:autoSpaceDN w:val="0"/>
        <w:jc w:val="left"/>
        <w:rPr>
          <w:rFonts w:ascii="Arial" w:eastAsia="黑体" w:hAnsi="Arial" w:cs="Arial"/>
          <w:kern w:val="0"/>
          <w:sz w:val="22"/>
        </w:rPr>
      </w:pPr>
    </w:p>
    <w:p w:rsidR="00E4562F" w:rsidRDefault="003D0AF6">
      <w:pPr>
        <w:pStyle w:val="a3"/>
        <w:autoSpaceDE w:val="0"/>
        <w:autoSpaceDN w:val="0"/>
        <w:jc w:val="left"/>
        <w:rPr>
          <w:rFonts w:ascii="Arial" w:eastAsia="黑体" w:hAnsi="Arial" w:cs="Arial"/>
          <w:kern w:val="0"/>
          <w:sz w:val="22"/>
        </w:rPr>
      </w:pPr>
      <w:r>
        <w:rPr>
          <w:rFonts w:ascii="Arial" w:eastAsia="黑体" w:hAnsi="Arial" w:cs="Arial" w:hint="eastAsia"/>
          <w:kern w:val="0"/>
          <w:sz w:val="22"/>
        </w:rPr>
        <w:t>按照《上市公司监管指引第</w:t>
      </w:r>
      <w:r>
        <w:rPr>
          <w:rFonts w:ascii="Arial" w:eastAsia="黑体" w:hAnsi="Arial" w:cs="Arial"/>
          <w:kern w:val="0"/>
          <w:sz w:val="22"/>
        </w:rPr>
        <w:t>8</w:t>
      </w:r>
      <w:r>
        <w:rPr>
          <w:rFonts w:ascii="Arial" w:eastAsia="黑体" w:hAnsi="Arial" w:cs="Arial"/>
          <w:kern w:val="0"/>
          <w:sz w:val="22"/>
        </w:rPr>
        <w:t>号</w:t>
      </w:r>
      <w:r>
        <w:rPr>
          <w:rFonts w:ascii="Arial" w:eastAsia="黑体" w:hAnsi="Arial" w:cs="Arial"/>
          <w:kern w:val="0"/>
          <w:sz w:val="22"/>
        </w:rPr>
        <w:t>——</w:t>
      </w:r>
      <w:r>
        <w:rPr>
          <w:rFonts w:ascii="Arial" w:eastAsia="黑体" w:hAnsi="Arial" w:cs="Arial"/>
          <w:kern w:val="0"/>
          <w:sz w:val="22"/>
        </w:rPr>
        <w:t>上市公司资金往来、对外担保的监管要求》的要求，</w:t>
      </w:r>
      <w:r>
        <w:rPr>
          <w:rFonts w:ascii="Arial" w:eastAsia="黑体" w:hAnsi="Arial" w:cs="Arial" w:hint="eastAsia"/>
          <w:kern w:val="0"/>
          <w:sz w:val="22"/>
        </w:rPr>
        <w:t>厦门银行</w:t>
      </w:r>
      <w:r>
        <w:rPr>
          <w:rFonts w:ascii="Arial" w:eastAsia="黑体" w:hAnsi="Arial" w:cs="Arial"/>
          <w:kern w:val="0"/>
          <w:sz w:val="22"/>
        </w:rPr>
        <w:t>股份有限公司编制了后附的</w:t>
      </w:r>
      <w:r>
        <w:rPr>
          <w:rFonts w:ascii="Arial" w:eastAsia="黑体" w:hAnsi="Arial" w:cs="Arial" w:hint="eastAsia"/>
          <w:kern w:val="0"/>
          <w:sz w:val="22"/>
        </w:rPr>
        <w:t>《</w:t>
      </w:r>
      <w:r>
        <w:rPr>
          <w:rFonts w:ascii="Arial" w:eastAsia="黑体" w:hAnsi="Arial" w:cs="Arial"/>
          <w:kern w:val="0"/>
          <w:sz w:val="22"/>
        </w:rPr>
        <w:t>20</w:t>
      </w:r>
      <w:r>
        <w:rPr>
          <w:rFonts w:ascii="Arial" w:eastAsia="黑体" w:hAnsi="Arial" w:cs="Arial" w:hint="eastAsia"/>
          <w:kern w:val="0"/>
          <w:sz w:val="22"/>
        </w:rPr>
        <w:t>2</w:t>
      </w:r>
      <w:r>
        <w:rPr>
          <w:rFonts w:ascii="Arial" w:eastAsia="黑体" w:hAnsi="Arial" w:cs="Arial"/>
          <w:kern w:val="0"/>
          <w:sz w:val="22"/>
        </w:rPr>
        <w:t>2</w:t>
      </w:r>
      <w:r>
        <w:rPr>
          <w:rFonts w:ascii="Arial" w:eastAsia="黑体" w:hAnsi="Arial" w:cs="Arial"/>
          <w:kern w:val="0"/>
          <w:sz w:val="22"/>
        </w:rPr>
        <w:t>年度非经营性资金占用及其他关联资金往来情况汇总表</w:t>
      </w:r>
      <w:r>
        <w:rPr>
          <w:rFonts w:ascii="Arial" w:eastAsia="黑体" w:hAnsi="Arial" w:cs="Arial" w:hint="eastAsia"/>
          <w:kern w:val="0"/>
          <w:sz w:val="22"/>
        </w:rPr>
        <w:t>》</w:t>
      </w:r>
      <w:r>
        <w:rPr>
          <w:rFonts w:ascii="Arial" w:eastAsia="黑体" w:hAnsi="Arial" w:cs="Arial"/>
          <w:kern w:val="0"/>
          <w:sz w:val="22"/>
        </w:rPr>
        <w:t>（以下简称</w:t>
      </w:r>
      <w:r>
        <w:rPr>
          <w:rFonts w:ascii="Arial" w:eastAsia="黑体" w:hAnsi="Arial" w:cs="Arial" w:hint="eastAsia"/>
          <w:kern w:val="0"/>
          <w:sz w:val="22"/>
        </w:rPr>
        <w:t>“</w:t>
      </w:r>
      <w:r>
        <w:rPr>
          <w:rFonts w:ascii="Arial" w:eastAsia="黑体" w:hAnsi="Arial" w:cs="Arial"/>
          <w:kern w:val="0"/>
          <w:sz w:val="22"/>
        </w:rPr>
        <w:t>汇总表</w:t>
      </w:r>
      <w:r>
        <w:rPr>
          <w:rFonts w:ascii="Arial" w:eastAsia="黑体" w:hAnsi="Arial" w:cs="Arial" w:hint="eastAsia"/>
          <w:kern w:val="0"/>
          <w:sz w:val="22"/>
        </w:rPr>
        <w:t>”</w:t>
      </w:r>
      <w:r>
        <w:rPr>
          <w:rFonts w:ascii="Arial" w:eastAsia="黑体" w:hAnsi="Arial" w:cs="Arial"/>
          <w:kern w:val="0"/>
          <w:sz w:val="22"/>
        </w:rPr>
        <w:t>）</w:t>
      </w:r>
      <w:r>
        <w:rPr>
          <w:rFonts w:ascii="Arial" w:eastAsia="黑体" w:hAnsi="Arial" w:cs="Arial"/>
          <w:kern w:val="0"/>
          <w:sz w:val="22"/>
        </w:rPr>
        <w:t xml:space="preserve"> </w:t>
      </w:r>
      <w:r>
        <w:rPr>
          <w:rFonts w:ascii="Arial" w:eastAsia="黑体" w:hAnsi="Arial" w:cs="Arial"/>
          <w:kern w:val="0"/>
          <w:sz w:val="22"/>
        </w:rPr>
        <w:t>。</w:t>
      </w:r>
    </w:p>
    <w:p w:rsidR="00E4562F" w:rsidRDefault="00E4562F">
      <w:pPr>
        <w:pStyle w:val="a3"/>
        <w:autoSpaceDE w:val="0"/>
        <w:autoSpaceDN w:val="0"/>
        <w:jc w:val="left"/>
        <w:rPr>
          <w:rFonts w:ascii="Arial" w:eastAsia="黑体" w:hAnsi="Arial" w:cs="Arial"/>
          <w:kern w:val="0"/>
          <w:sz w:val="22"/>
        </w:rPr>
      </w:pPr>
    </w:p>
    <w:p w:rsidR="00E4562F" w:rsidRDefault="003D0AF6">
      <w:pPr>
        <w:pStyle w:val="a3"/>
        <w:autoSpaceDE w:val="0"/>
        <w:autoSpaceDN w:val="0"/>
        <w:jc w:val="left"/>
        <w:rPr>
          <w:rFonts w:ascii="Arial" w:eastAsia="黑体" w:hAnsi="Arial" w:cs="Arial"/>
          <w:kern w:val="0"/>
          <w:sz w:val="22"/>
        </w:rPr>
      </w:pPr>
      <w:r>
        <w:rPr>
          <w:rFonts w:ascii="Arial" w:eastAsia="黑体" w:hAnsi="Arial" w:cs="Arial" w:hint="eastAsia"/>
          <w:kern w:val="0"/>
          <w:sz w:val="22"/>
        </w:rPr>
        <w:t>如实编制和对外披露汇总表，并确保其真实性、合法性、完整性是厦门银行</w:t>
      </w:r>
      <w:r>
        <w:rPr>
          <w:rFonts w:ascii="Arial" w:eastAsia="黑体" w:hAnsi="Arial" w:cs="Arial"/>
          <w:kern w:val="0"/>
          <w:sz w:val="22"/>
        </w:rPr>
        <w:t>股份有限公司的责任。我们对汇总表所载资料与我们审计</w:t>
      </w:r>
      <w:r>
        <w:rPr>
          <w:rFonts w:ascii="Arial" w:eastAsia="黑体" w:hAnsi="Arial" w:cs="Arial" w:hint="eastAsia"/>
          <w:kern w:val="0"/>
          <w:sz w:val="22"/>
        </w:rPr>
        <w:t>厦门银行</w:t>
      </w:r>
      <w:r>
        <w:rPr>
          <w:rFonts w:ascii="Arial" w:eastAsia="黑体" w:hAnsi="Arial" w:cs="Arial"/>
          <w:kern w:val="0"/>
          <w:sz w:val="22"/>
        </w:rPr>
        <w:t>股份有限公司</w:t>
      </w:r>
      <w:r>
        <w:rPr>
          <w:rFonts w:ascii="Arial" w:eastAsia="黑体" w:hAnsi="Arial" w:cs="Arial"/>
          <w:kern w:val="0"/>
          <w:sz w:val="22"/>
        </w:rPr>
        <w:t>20</w:t>
      </w:r>
      <w:r>
        <w:rPr>
          <w:rFonts w:ascii="Arial" w:eastAsia="黑体" w:hAnsi="Arial" w:cs="Arial" w:hint="eastAsia"/>
          <w:kern w:val="0"/>
          <w:sz w:val="22"/>
        </w:rPr>
        <w:t>2</w:t>
      </w:r>
      <w:r>
        <w:rPr>
          <w:rFonts w:ascii="Arial" w:eastAsia="黑体" w:hAnsi="Arial" w:cs="Arial"/>
          <w:kern w:val="0"/>
          <w:sz w:val="22"/>
        </w:rPr>
        <w:t>2</w:t>
      </w:r>
      <w:r>
        <w:rPr>
          <w:rFonts w:ascii="Arial" w:eastAsia="黑体" w:hAnsi="Arial" w:cs="Arial"/>
          <w:kern w:val="0"/>
          <w:sz w:val="22"/>
        </w:rPr>
        <w:t>年度财务报表时所复核的会计资料和经审计的财务报表的相关内容进行了核对，在所有重大方面没有发现不一致之处。除了对</w:t>
      </w:r>
      <w:r>
        <w:rPr>
          <w:rFonts w:ascii="Arial" w:eastAsia="黑体" w:hAnsi="Arial" w:cs="Arial" w:hint="eastAsia"/>
          <w:kern w:val="0"/>
          <w:sz w:val="22"/>
        </w:rPr>
        <w:t>厦门银行</w:t>
      </w:r>
      <w:r>
        <w:rPr>
          <w:rFonts w:ascii="Arial" w:eastAsia="黑体" w:hAnsi="Arial" w:cs="Arial"/>
          <w:kern w:val="0"/>
          <w:sz w:val="22"/>
        </w:rPr>
        <w:t>股份有限公司</w:t>
      </w:r>
      <w:r>
        <w:rPr>
          <w:rFonts w:ascii="Arial" w:eastAsia="黑体" w:hAnsi="Arial" w:cs="Arial"/>
          <w:kern w:val="0"/>
          <w:sz w:val="22"/>
        </w:rPr>
        <w:t>20</w:t>
      </w:r>
      <w:r>
        <w:rPr>
          <w:rFonts w:ascii="Arial" w:eastAsia="黑体" w:hAnsi="Arial" w:cs="Arial" w:hint="eastAsia"/>
          <w:kern w:val="0"/>
          <w:sz w:val="22"/>
        </w:rPr>
        <w:t>2</w:t>
      </w:r>
      <w:r>
        <w:rPr>
          <w:rFonts w:ascii="Arial" w:eastAsia="黑体" w:hAnsi="Arial" w:cs="Arial"/>
          <w:kern w:val="0"/>
          <w:sz w:val="22"/>
        </w:rPr>
        <w:t>2</w:t>
      </w:r>
      <w:r>
        <w:rPr>
          <w:rFonts w:ascii="Arial" w:eastAsia="黑体" w:hAnsi="Arial" w:cs="Arial"/>
          <w:kern w:val="0"/>
          <w:sz w:val="22"/>
        </w:rPr>
        <w:t>年度财务报表出具审计报告而执行的审计程序外，我们并未对汇总表所载资料执行额外的审计程序。</w:t>
      </w:r>
      <w:r>
        <w:rPr>
          <w:rFonts w:ascii="Arial" w:eastAsia="黑体" w:hAnsi="Arial" w:cs="Arial"/>
          <w:kern w:val="0"/>
          <w:sz w:val="22"/>
        </w:rPr>
        <w:t xml:space="preserve"> </w:t>
      </w:r>
    </w:p>
    <w:p w:rsidR="00E4562F" w:rsidRDefault="00E4562F">
      <w:pPr>
        <w:pStyle w:val="a3"/>
        <w:autoSpaceDE w:val="0"/>
        <w:autoSpaceDN w:val="0"/>
        <w:jc w:val="left"/>
        <w:rPr>
          <w:rFonts w:ascii="Arial" w:eastAsia="黑体" w:hAnsi="Arial" w:cs="Arial"/>
          <w:kern w:val="0"/>
          <w:sz w:val="22"/>
        </w:rPr>
      </w:pPr>
    </w:p>
    <w:p w:rsidR="00E4562F" w:rsidRDefault="003D0AF6">
      <w:pPr>
        <w:pStyle w:val="a3"/>
        <w:autoSpaceDE w:val="0"/>
        <w:autoSpaceDN w:val="0"/>
        <w:jc w:val="left"/>
        <w:rPr>
          <w:rFonts w:ascii="Arial" w:eastAsia="黑体" w:hAnsi="Arial" w:cs="Arial"/>
          <w:kern w:val="0"/>
          <w:sz w:val="22"/>
        </w:rPr>
      </w:pPr>
      <w:r>
        <w:rPr>
          <w:rFonts w:ascii="Arial" w:eastAsia="黑体" w:hAnsi="Arial" w:cs="Arial" w:hint="eastAsia"/>
          <w:kern w:val="0"/>
          <w:sz w:val="22"/>
        </w:rPr>
        <w:t>为了更好地理解厦门银行</w:t>
      </w:r>
      <w:r>
        <w:rPr>
          <w:rFonts w:ascii="Arial" w:eastAsia="黑体" w:hAnsi="Arial" w:cs="Arial"/>
          <w:kern w:val="0"/>
          <w:sz w:val="22"/>
        </w:rPr>
        <w:t>股份有限公司</w:t>
      </w:r>
      <w:r>
        <w:rPr>
          <w:rFonts w:ascii="Arial" w:eastAsia="黑体" w:hAnsi="Arial" w:cs="Arial"/>
          <w:kern w:val="0"/>
          <w:sz w:val="22"/>
        </w:rPr>
        <w:t>20</w:t>
      </w:r>
      <w:r>
        <w:rPr>
          <w:rFonts w:ascii="Arial" w:eastAsia="黑体" w:hAnsi="Arial" w:cs="Arial" w:hint="eastAsia"/>
          <w:kern w:val="0"/>
          <w:sz w:val="22"/>
        </w:rPr>
        <w:t>2</w:t>
      </w:r>
      <w:r>
        <w:rPr>
          <w:rFonts w:ascii="Arial" w:eastAsia="黑体" w:hAnsi="Arial" w:cs="Arial"/>
          <w:kern w:val="0"/>
          <w:sz w:val="22"/>
        </w:rPr>
        <w:t>2</w:t>
      </w:r>
      <w:r>
        <w:rPr>
          <w:rFonts w:ascii="Arial" w:eastAsia="黑体" w:hAnsi="Arial" w:cs="Arial"/>
          <w:kern w:val="0"/>
          <w:sz w:val="22"/>
        </w:rPr>
        <w:t>年度非经营性资金占用及其他关联资金往来情况，</w:t>
      </w:r>
      <w:r>
        <w:rPr>
          <w:rFonts w:ascii="Arial" w:eastAsia="黑体" w:hAnsi="Arial" w:cs="Arial" w:hint="eastAsia"/>
          <w:kern w:val="0"/>
          <w:sz w:val="22"/>
        </w:rPr>
        <w:t>后附</w:t>
      </w:r>
      <w:r>
        <w:rPr>
          <w:rFonts w:ascii="Arial" w:eastAsia="黑体" w:hAnsi="Arial" w:cs="Arial"/>
          <w:kern w:val="0"/>
          <w:sz w:val="22"/>
        </w:rPr>
        <w:t>汇总表应当与经审计的财务报表一并阅读。</w:t>
      </w:r>
    </w:p>
    <w:p w:rsidR="00E4562F" w:rsidRDefault="00E4562F">
      <w:pPr>
        <w:pStyle w:val="a3"/>
        <w:autoSpaceDE w:val="0"/>
        <w:autoSpaceDN w:val="0"/>
        <w:jc w:val="left"/>
        <w:rPr>
          <w:rFonts w:ascii="Arial" w:eastAsia="黑体" w:hAnsi="Arial" w:cs="Arial"/>
          <w:kern w:val="0"/>
          <w:sz w:val="22"/>
        </w:rPr>
      </w:pPr>
    </w:p>
    <w:p w:rsidR="00E4562F" w:rsidRDefault="003D0AF6">
      <w:pPr>
        <w:pStyle w:val="a3"/>
        <w:autoSpaceDE w:val="0"/>
        <w:autoSpaceDN w:val="0"/>
        <w:jc w:val="left"/>
        <w:rPr>
          <w:rFonts w:ascii="Arial" w:eastAsia="黑体" w:hAnsi="Arial" w:cs="Arial"/>
          <w:kern w:val="0"/>
          <w:sz w:val="22"/>
        </w:rPr>
      </w:pPr>
      <w:r>
        <w:rPr>
          <w:rFonts w:ascii="Arial" w:eastAsia="黑体" w:hAnsi="Arial" w:cs="Arial" w:hint="eastAsia"/>
          <w:kern w:val="0"/>
          <w:sz w:val="22"/>
        </w:rPr>
        <w:t>本专项</w:t>
      </w:r>
      <w:proofErr w:type="gramStart"/>
      <w:r>
        <w:rPr>
          <w:rFonts w:ascii="Arial" w:eastAsia="黑体" w:hAnsi="Arial" w:cs="Arial" w:hint="eastAsia"/>
          <w:kern w:val="0"/>
          <w:sz w:val="22"/>
        </w:rPr>
        <w:t>说明仅</w:t>
      </w:r>
      <w:proofErr w:type="gramEnd"/>
      <w:r>
        <w:rPr>
          <w:rFonts w:ascii="Arial" w:eastAsia="黑体" w:hAnsi="Arial" w:cs="Arial" w:hint="eastAsia"/>
          <w:kern w:val="0"/>
          <w:sz w:val="22"/>
        </w:rPr>
        <w:t>供厦门银行</w:t>
      </w:r>
      <w:r>
        <w:rPr>
          <w:rFonts w:ascii="Arial" w:eastAsia="黑体" w:hAnsi="Arial" w:cs="Arial"/>
          <w:kern w:val="0"/>
          <w:sz w:val="22"/>
        </w:rPr>
        <w:t>股份有限公司为</w:t>
      </w:r>
      <w:r>
        <w:rPr>
          <w:rFonts w:ascii="Arial" w:eastAsia="黑体" w:hAnsi="Arial" w:cs="Arial"/>
          <w:kern w:val="0"/>
          <w:sz w:val="22"/>
        </w:rPr>
        <w:t>20</w:t>
      </w:r>
      <w:r>
        <w:rPr>
          <w:rFonts w:ascii="Arial" w:eastAsia="黑体" w:hAnsi="Arial" w:cs="Arial" w:hint="eastAsia"/>
          <w:kern w:val="0"/>
          <w:sz w:val="22"/>
        </w:rPr>
        <w:t>2</w:t>
      </w:r>
      <w:r>
        <w:rPr>
          <w:rFonts w:ascii="Arial" w:eastAsia="黑体" w:hAnsi="Arial" w:cs="Arial"/>
          <w:kern w:val="0"/>
          <w:sz w:val="22"/>
        </w:rPr>
        <w:t>2</w:t>
      </w:r>
      <w:r>
        <w:rPr>
          <w:rFonts w:ascii="Arial" w:eastAsia="黑体" w:hAnsi="Arial" w:cs="Arial"/>
          <w:kern w:val="0"/>
          <w:sz w:val="22"/>
        </w:rPr>
        <w:t>年度报告披露使用，不适用于其他用途。</w:t>
      </w:r>
    </w:p>
    <w:p w:rsidR="00E4562F" w:rsidRDefault="003D0AF6">
      <w:pPr>
        <w:rPr>
          <w:rFonts w:ascii="宋体" w:eastAsia="宋体" w:hAnsi="宋体"/>
          <w:szCs w:val="21"/>
        </w:rPr>
      </w:pPr>
      <w:r>
        <w:rPr>
          <w:rFonts w:ascii="宋体" w:eastAsia="宋体" w:hAnsi="宋体" w:hint="eastAsia"/>
          <w:szCs w:val="21"/>
        </w:rPr>
        <w:t xml:space="preserve"> </w:t>
      </w:r>
      <w:r>
        <w:rPr>
          <w:rFonts w:ascii="宋体" w:eastAsia="宋体" w:hAnsi="宋体" w:hint="eastAsia"/>
          <w:noProof/>
          <w:szCs w:val="21"/>
        </w:rPr>
        <w:drawing>
          <wp:inline distT="0" distB="0" distL="114300" distR="114300">
            <wp:extent cx="5200015" cy="3147695"/>
            <wp:effectExtent l="0" t="0" r="6985" b="1905"/>
            <wp:docPr id="1" name="图片 1" descr="微信图片_20230427163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427163158"/>
                    <pic:cNvPicPr>
                      <a:picLocks noChangeAspect="1"/>
                    </pic:cNvPicPr>
                  </pic:nvPicPr>
                  <pic:blipFill>
                    <a:blip r:embed="rId9"/>
                    <a:stretch>
                      <a:fillRect/>
                    </a:stretch>
                  </pic:blipFill>
                  <pic:spPr>
                    <a:xfrm>
                      <a:off x="0" y="0"/>
                      <a:ext cx="5200015" cy="3147695"/>
                    </a:xfrm>
                    <a:prstGeom prst="rect">
                      <a:avLst/>
                    </a:prstGeom>
                  </pic:spPr>
                </pic:pic>
              </a:graphicData>
            </a:graphic>
          </wp:inline>
        </w:drawing>
      </w:r>
    </w:p>
    <w:p w:rsidR="00E4562F" w:rsidRDefault="00E4562F">
      <w:pPr>
        <w:widowControl/>
        <w:jc w:val="left"/>
        <w:rPr>
          <w:rFonts w:ascii="宋体" w:eastAsia="宋体" w:hAnsi="宋体"/>
          <w:szCs w:val="21"/>
        </w:rPr>
        <w:sectPr w:rsidR="00E4562F">
          <w:pgSz w:w="11906" w:h="16838"/>
          <w:pgMar w:top="1440" w:right="1800" w:bottom="1440" w:left="1800" w:header="851" w:footer="992" w:gutter="0"/>
          <w:cols w:space="425"/>
          <w:docGrid w:type="lines" w:linePitch="312"/>
        </w:sectPr>
      </w:pPr>
    </w:p>
    <w:p w:rsidR="00E4562F" w:rsidRDefault="003D0AF6">
      <w:pPr>
        <w:rPr>
          <w:b/>
          <w:bCs/>
          <w:szCs w:val="21"/>
        </w:rPr>
      </w:pPr>
      <w:r>
        <w:rPr>
          <w:rFonts w:hint="eastAsia"/>
          <w:b/>
          <w:bCs/>
          <w:szCs w:val="21"/>
        </w:rPr>
        <w:lastRenderedPageBreak/>
        <w:t>附表2</w:t>
      </w:r>
    </w:p>
    <w:p w:rsidR="00E4562F" w:rsidRDefault="00E4562F">
      <w:pPr>
        <w:rPr>
          <w:b/>
          <w:bCs/>
          <w:szCs w:val="21"/>
        </w:rPr>
      </w:pPr>
    </w:p>
    <w:sdt>
      <w:sdtPr>
        <w:rPr>
          <w:rFonts w:ascii="黑体" w:eastAsia="黑体" w:hAnsi="黑体" w:hint="eastAsia"/>
          <w:b/>
          <w:color w:val="FF0000"/>
          <w:szCs w:val="21"/>
        </w:rPr>
        <w:alias w:val="模块:非经营性资金占用及其他关联资金往来情况表"/>
        <w:tag w:val="_SEC_70c72612375340aca6969a081b3d4196"/>
        <w:id w:val="-1623222155"/>
        <w:lock w:val="sdtLocked"/>
        <w:placeholder>
          <w:docPart w:val="GBC22222222222222222222222222222"/>
        </w:placeholder>
      </w:sdtPr>
      <w:sdtEndPr>
        <w:rPr>
          <w:sz w:val="28"/>
          <w:szCs w:val="28"/>
        </w:rPr>
      </w:sdtEndPr>
      <w:sdtContent>
        <w:p w:rsidR="00E4562F" w:rsidRDefault="003D0AF6">
          <w:pPr>
            <w:spacing w:line="480" w:lineRule="auto"/>
            <w:jc w:val="center"/>
            <w:rPr>
              <w:rFonts w:ascii="黑体" w:eastAsia="黑体" w:hAnsi="黑体"/>
              <w:b/>
              <w:color w:val="FF0000"/>
              <w:sz w:val="28"/>
              <w:szCs w:val="28"/>
            </w:rPr>
          </w:pPr>
          <w:r>
            <w:rPr>
              <w:rFonts w:ascii="黑体" w:eastAsia="黑体" w:hAnsi="黑体" w:hint="eastAsia"/>
              <w:b/>
              <w:color w:val="FF0000"/>
              <w:sz w:val="28"/>
              <w:szCs w:val="28"/>
            </w:rPr>
            <w:t>关于</w:t>
          </w:r>
          <w:sdt>
            <w:sdtPr>
              <w:rPr>
                <w:rFonts w:ascii="黑体" w:eastAsia="黑体" w:hAnsi="黑体" w:hint="eastAsia"/>
                <w:b/>
                <w:color w:val="FF0000"/>
                <w:sz w:val="28"/>
                <w:szCs w:val="28"/>
              </w:rPr>
              <w:alias w:val="公司名称"/>
              <w:tag w:val="_GBC_29a7fb4f63d849af85d987c2a1b9fad4"/>
              <w:id w:val="-1133091825"/>
              <w:lock w:val="sdtLocked"/>
              <w:placeholder>
                <w:docPart w:val="GBC22222222222222222222222222222"/>
              </w:placeholder>
            </w:sdtPr>
            <w:sdtEndPr/>
            <w:sdtContent>
              <w:r>
                <w:rPr>
                  <w:rFonts w:ascii="黑体" w:eastAsia="黑体" w:hAnsi="黑体" w:hint="eastAsia"/>
                  <w:b/>
                  <w:color w:val="FF0000"/>
                  <w:sz w:val="28"/>
                  <w:szCs w:val="28"/>
                </w:rPr>
                <w:t>厦门银行股份有限公司</w:t>
              </w:r>
            </w:sdtContent>
          </w:sdt>
        </w:p>
        <w:p w:rsidR="00E4562F" w:rsidRDefault="003D0AF6">
          <w:pPr>
            <w:spacing w:line="480" w:lineRule="auto"/>
            <w:jc w:val="center"/>
            <w:rPr>
              <w:rFonts w:ascii="黑体" w:eastAsia="黑体" w:hAnsi="黑体"/>
              <w:b/>
              <w:color w:val="FF0000"/>
              <w:sz w:val="28"/>
              <w:szCs w:val="28"/>
            </w:rPr>
          </w:pPr>
          <w:r>
            <w:rPr>
              <w:rFonts w:ascii="黑体" w:eastAsia="黑体" w:hAnsi="黑体"/>
              <w:b/>
              <w:color w:val="FF0000"/>
              <w:sz w:val="28"/>
              <w:szCs w:val="28"/>
            </w:rPr>
            <w:t>2022</w:t>
          </w:r>
          <w:r>
            <w:rPr>
              <w:rFonts w:ascii="黑体" w:eastAsia="黑体" w:hAnsi="黑体" w:hint="eastAsia"/>
              <w:b/>
              <w:color w:val="FF0000"/>
              <w:sz w:val="28"/>
              <w:szCs w:val="28"/>
            </w:rPr>
            <w:t>年度</w:t>
          </w:r>
          <w:r>
            <w:rPr>
              <w:rFonts w:ascii="黑体" w:eastAsia="黑体" w:hAnsi="黑体"/>
              <w:b/>
              <w:color w:val="FF0000"/>
              <w:sz w:val="28"/>
              <w:szCs w:val="28"/>
            </w:rPr>
            <w:t>非经营性资金占用及其他关联资金往来情况</w:t>
          </w:r>
          <w:r>
            <w:rPr>
              <w:rFonts w:ascii="黑体" w:eastAsia="黑体" w:hAnsi="黑体" w:hint="eastAsia"/>
              <w:b/>
              <w:color w:val="FF0000"/>
              <w:sz w:val="28"/>
              <w:szCs w:val="28"/>
            </w:rPr>
            <w:t>表</w:t>
          </w:r>
        </w:p>
      </w:sdtContent>
    </w:sdt>
    <w:p w:rsidR="00E4562F" w:rsidRDefault="00E4562F"/>
    <w:sdt>
      <w:sdtPr>
        <w:rPr>
          <w:b/>
          <w:bCs/>
        </w:rPr>
        <w:alias w:val="模块:上市公司报告期控股股东及其他关联方资金占用情况汇总表"/>
        <w:tag w:val="_SEC_4c8f3c212e754b3691575db9a087f8b5"/>
        <w:id w:val="312912616"/>
        <w:lock w:val="sdtLocked"/>
        <w:placeholder>
          <w:docPart w:val="GBC22222222222222222222222222222"/>
        </w:placeholder>
      </w:sdtPr>
      <w:sdtEndPr>
        <w:rPr>
          <w:b w:val="0"/>
          <w:bCs w:val="0"/>
        </w:rPr>
      </w:sdtEndPr>
      <w:sdtContent>
        <w:p w:rsidR="00E4562F" w:rsidRDefault="003D0AF6">
          <w:pPr>
            <w:jc w:val="right"/>
          </w:pPr>
          <w:r>
            <w:rPr>
              <w:rFonts w:hint="eastAsia"/>
            </w:rPr>
            <w:t>单位：</w:t>
          </w:r>
          <w:sdt>
            <w:sdtPr>
              <w:rPr>
                <w:rFonts w:hint="eastAsia"/>
              </w:rPr>
              <w:alias w:val="单位：上市公司本年年度控股股东及其他关联方资金占用情况汇总表"/>
              <w:tag w:val="_GBC_6befa58c923946e89e7dde863e93ec70"/>
              <w:id w:val="-59841214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千元</w:t>
              </w:r>
            </w:sdtContent>
          </w:sdt>
        </w:p>
        <w:tbl>
          <w:tblPr>
            <w:tblStyle w:val="a7"/>
            <w:tblW w:w="0" w:type="auto"/>
            <w:tblInd w:w="108" w:type="dxa"/>
            <w:tblLook w:val="04A0" w:firstRow="1" w:lastRow="0" w:firstColumn="1" w:lastColumn="0" w:noHBand="0" w:noVBand="1"/>
          </w:tblPr>
          <w:tblGrid>
            <w:gridCol w:w="1843"/>
            <w:gridCol w:w="1475"/>
            <w:gridCol w:w="1540"/>
            <w:gridCol w:w="1133"/>
            <w:gridCol w:w="1092"/>
            <w:gridCol w:w="1148"/>
            <w:gridCol w:w="1134"/>
            <w:gridCol w:w="1148"/>
            <w:gridCol w:w="1147"/>
            <w:gridCol w:w="1190"/>
            <w:gridCol w:w="1078"/>
          </w:tblGrid>
          <w:tr w:rsidR="00E4562F">
            <w:sdt>
              <w:sdtPr>
                <w:rPr>
                  <w:rFonts w:ascii="宋体" w:hAnsi="宋体"/>
                  <w:bCs/>
                  <w:kern w:val="0"/>
                  <w:sz w:val="20"/>
                  <w:szCs w:val="21"/>
                </w:rPr>
                <w:tag w:val="_PLD_b48d71c810904ea0bcd250aea442a506"/>
                <w:id w:val="-615530412"/>
                <w:lock w:val="sdtLocked"/>
              </w:sdtPr>
              <w:sdtEndPr/>
              <w:sdtContent>
                <w:tc>
                  <w:tcPr>
                    <w:tcW w:w="1843" w:type="dxa"/>
                    <w:vAlign w:val="center"/>
                  </w:tcPr>
                  <w:p w:rsidR="00E4562F" w:rsidRDefault="003D0AF6">
                    <w:pPr>
                      <w:jc w:val="center"/>
                      <w:rPr>
                        <w:rFonts w:ascii="宋体" w:hAnsi="宋体"/>
                        <w:kern w:val="0"/>
                        <w:szCs w:val="21"/>
                      </w:rPr>
                    </w:pPr>
                    <w:r>
                      <w:rPr>
                        <w:rFonts w:ascii="宋体" w:hAnsi="宋体"/>
                        <w:bCs/>
                        <w:kern w:val="0"/>
                        <w:szCs w:val="21"/>
                      </w:rPr>
                      <w:t>非经营性资金占用</w:t>
                    </w:r>
                  </w:p>
                </w:tc>
              </w:sdtContent>
            </w:sdt>
            <w:sdt>
              <w:sdtPr>
                <w:rPr>
                  <w:rFonts w:ascii="宋体" w:hAnsi="宋体"/>
                  <w:kern w:val="0"/>
                  <w:sz w:val="20"/>
                  <w:szCs w:val="21"/>
                </w:rPr>
                <w:tag w:val="_PLD_8d951c1fdf854ec4b9a407f441996220"/>
                <w:id w:val="-1284949400"/>
                <w:lock w:val="sdtLocked"/>
              </w:sdtPr>
              <w:sdtEndPr/>
              <w:sdtContent>
                <w:tc>
                  <w:tcPr>
                    <w:tcW w:w="1475" w:type="dxa"/>
                    <w:vAlign w:val="center"/>
                  </w:tcPr>
                  <w:p w:rsidR="00E4562F" w:rsidRDefault="003D0AF6">
                    <w:pPr>
                      <w:jc w:val="center"/>
                      <w:rPr>
                        <w:rFonts w:ascii="宋体" w:hAnsi="宋体"/>
                        <w:kern w:val="0"/>
                        <w:szCs w:val="21"/>
                      </w:rPr>
                    </w:pPr>
                    <w:r>
                      <w:rPr>
                        <w:rFonts w:ascii="宋体" w:hAnsi="宋体"/>
                        <w:kern w:val="0"/>
                        <w:szCs w:val="21"/>
                      </w:rPr>
                      <w:t>资金占用方</w:t>
                    </w:r>
                  </w:p>
                  <w:p w:rsidR="00E4562F" w:rsidRDefault="003D0AF6">
                    <w:pPr>
                      <w:jc w:val="center"/>
                      <w:rPr>
                        <w:rFonts w:ascii="宋体" w:hAnsi="宋体"/>
                        <w:kern w:val="0"/>
                        <w:szCs w:val="21"/>
                      </w:rPr>
                    </w:pPr>
                    <w:r>
                      <w:rPr>
                        <w:rFonts w:ascii="宋体" w:hAnsi="宋体"/>
                        <w:kern w:val="0"/>
                        <w:szCs w:val="21"/>
                      </w:rPr>
                      <w:t>名称</w:t>
                    </w:r>
                  </w:p>
                </w:tc>
              </w:sdtContent>
            </w:sdt>
            <w:sdt>
              <w:sdtPr>
                <w:rPr>
                  <w:rFonts w:ascii="宋体" w:hAnsi="宋体"/>
                  <w:kern w:val="0"/>
                  <w:sz w:val="20"/>
                  <w:szCs w:val="21"/>
                </w:rPr>
                <w:tag w:val="_PLD_dd4b561accab473cbcc9c5282acd8ed9"/>
                <w:id w:val="-292748558"/>
                <w:lock w:val="sdtLocked"/>
              </w:sdtPr>
              <w:sdtEndPr/>
              <w:sdtContent>
                <w:tc>
                  <w:tcPr>
                    <w:tcW w:w="1540" w:type="dxa"/>
                    <w:vAlign w:val="center"/>
                  </w:tcPr>
                  <w:p w:rsidR="00E4562F" w:rsidRDefault="003D0AF6">
                    <w:pPr>
                      <w:jc w:val="center"/>
                      <w:rPr>
                        <w:rFonts w:ascii="宋体" w:hAnsi="宋体"/>
                        <w:kern w:val="0"/>
                        <w:szCs w:val="21"/>
                      </w:rPr>
                    </w:pPr>
                    <w:r>
                      <w:rPr>
                        <w:rFonts w:ascii="宋体" w:hAnsi="宋体"/>
                        <w:kern w:val="0"/>
                        <w:szCs w:val="21"/>
                      </w:rPr>
                      <w:t>占用方与上市公司的关联关系</w:t>
                    </w:r>
                  </w:p>
                </w:tc>
              </w:sdtContent>
            </w:sdt>
            <w:sdt>
              <w:sdtPr>
                <w:rPr>
                  <w:rFonts w:ascii="宋体" w:hAnsi="宋体"/>
                  <w:kern w:val="0"/>
                  <w:sz w:val="20"/>
                  <w:szCs w:val="21"/>
                </w:rPr>
                <w:tag w:val="_PLD_5d275183748d41c297580da1d177c5e7"/>
                <w:id w:val="1188866813"/>
                <w:lock w:val="sdtLocked"/>
              </w:sdtPr>
              <w:sdtEndPr/>
              <w:sdtContent>
                <w:tc>
                  <w:tcPr>
                    <w:tcW w:w="1133" w:type="dxa"/>
                    <w:vAlign w:val="center"/>
                  </w:tcPr>
                  <w:p w:rsidR="00E4562F" w:rsidRDefault="003D0AF6">
                    <w:pPr>
                      <w:jc w:val="center"/>
                      <w:rPr>
                        <w:rFonts w:ascii="宋体" w:hAnsi="宋体"/>
                        <w:kern w:val="0"/>
                        <w:szCs w:val="21"/>
                      </w:rPr>
                    </w:pPr>
                    <w:r>
                      <w:rPr>
                        <w:rFonts w:ascii="宋体" w:hAnsi="宋体"/>
                        <w:kern w:val="0"/>
                        <w:szCs w:val="21"/>
                      </w:rPr>
                      <w:t>上市公司核算的会计科目</w:t>
                    </w:r>
                  </w:p>
                </w:tc>
              </w:sdtContent>
            </w:sdt>
            <w:sdt>
              <w:sdtPr>
                <w:rPr>
                  <w:rFonts w:ascii="宋体" w:hAnsi="宋体" w:hint="eastAsia"/>
                  <w:kern w:val="0"/>
                  <w:sz w:val="20"/>
                  <w:szCs w:val="21"/>
                </w:rPr>
                <w:tag w:val="_PLD_a7ffc4cfe19e4ba498c403f35d5799bb"/>
                <w:id w:val="366339780"/>
                <w:lock w:val="sdtLocked"/>
              </w:sdtPr>
              <w:sdtEndPr>
                <w:rPr>
                  <w:rFonts w:ascii="Times New Roman" w:hAnsi="Times New Roman" w:hint="default"/>
                  <w:szCs w:val="20"/>
                </w:rPr>
              </w:sdtEndPr>
              <w:sdtContent>
                <w:tc>
                  <w:tcPr>
                    <w:tcW w:w="1092" w:type="dxa"/>
                    <w:vAlign w:val="center"/>
                  </w:tcPr>
                  <w:p w:rsidR="00E4562F" w:rsidRDefault="003D0AF6">
                    <w:pPr>
                      <w:jc w:val="center"/>
                      <w:rPr>
                        <w:rFonts w:ascii="宋体" w:hAnsi="宋体"/>
                        <w:kern w:val="0"/>
                        <w:szCs w:val="21"/>
                      </w:rPr>
                    </w:pPr>
                    <w:r>
                      <w:rPr>
                        <w:rFonts w:ascii="宋体" w:hAnsi="宋体" w:hint="eastAsia"/>
                        <w:kern w:val="0"/>
                        <w:szCs w:val="21"/>
                      </w:rPr>
                      <w:t>2022年</w:t>
                    </w:r>
                    <w:r>
                      <w:rPr>
                        <w:rFonts w:ascii="宋体" w:hAnsi="宋体"/>
                        <w:kern w:val="0"/>
                        <w:szCs w:val="21"/>
                      </w:rPr>
                      <w:t>期初占用资金余额</w:t>
                    </w:r>
                  </w:p>
                </w:tc>
              </w:sdtContent>
            </w:sdt>
            <w:sdt>
              <w:sdtPr>
                <w:rPr>
                  <w:rFonts w:ascii="宋体" w:hAnsi="宋体" w:hint="eastAsia"/>
                  <w:kern w:val="0"/>
                  <w:sz w:val="20"/>
                  <w:szCs w:val="21"/>
                </w:rPr>
                <w:tag w:val="_PLD_9320d6b6e633450f8dde5ea23091d57f"/>
                <w:id w:val="1663514723"/>
                <w:lock w:val="sdtLocked"/>
              </w:sdtPr>
              <w:sdtEndPr>
                <w:rPr>
                  <w:rFonts w:ascii="Times New Roman" w:hAnsi="Times New Roman" w:hint="default"/>
                  <w:szCs w:val="20"/>
                </w:rPr>
              </w:sdtEndPr>
              <w:sdtContent>
                <w:tc>
                  <w:tcPr>
                    <w:tcW w:w="1148" w:type="dxa"/>
                    <w:vAlign w:val="center"/>
                  </w:tcPr>
                  <w:p w:rsidR="00E4562F" w:rsidRDefault="003D0AF6">
                    <w:pPr>
                      <w:jc w:val="center"/>
                      <w:rPr>
                        <w:rFonts w:ascii="宋体" w:hAnsi="宋体"/>
                        <w:kern w:val="0"/>
                        <w:szCs w:val="21"/>
                      </w:rPr>
                    </w:pPr>
                    <w:r>
                      <w:rPr>
                        <w:rFonts w:ascii="宋体" w:hAnsi="宋体" w:hint="eastAsia"/>
                        <w:kern w:val="0"/>
                        <w:szCs w:val="21"/>
                      </w:rPr>
                      <w:t>2022年度</w:t>
                    </w:r>
                    <w:r>
                      <w:rPr>
                        <w:rFonts w:ascii="宋体" w:hAnsi="宋体"/>
                        <w:kern w:val="0"/>
                        <w:szCs w:val="21"/>
                      </w:rPr>
                      <w:t>占用累计发生金额(不含利息)</w:t>
                    </w:r>
                  </w:p>
                </w:tc>
              </w:sdtContent>
            </w:sdt>
            <w:sdt>
              <w:sdtPr>
                <w:rPr>
                  <w:rFonts w:ascii="宋体" w:hAnsi="宋体" w:hint="eastAsia"/>
                  <w:kern w:val="0"/>
                  <w:sz w:val="20"/>
                  <w:szCs w:val="21"/>
                </w:rPr>
                <w:tag w:val="_PLD_51e5f22c93bd44cdb47889bf781fbd9e"/>
                <w:id w:val="2021888872"/>
                <w:lock w:val="sdtLocked"/>
              </w:sdtPr>
              <w:sdtEndPr>
                <w:rPr>
                  <w:rFonts w:ascii="Times New Roman" w:hAnsi="Times New Roman" w:hint="default"/>
                  <w:szCs w:val="20"/>
                </w:rPr>
              </w:sdtEndPr>
              <w:sdtContent>
                <w:tc>
                  <w:tcPr>
                    <w:tcW w:w="1134" w:type="dxa"/>
                    <w:vAlign w:val="center"/>
                  </w:tcPr>
                  <w:p w:rsidR="00E4562F" w:rsidRDefault="003D0AF6">
                    <w:pPr>
                      <w:jc w:val="center"/>
                      <w:rPr>
                        <w:rFonts w:ascii="宋体" w:hAnsi="宋体"/>
                        <w:kern w:val="0"/>
                        <w:szCs w:val="21"/>
                      </w:rPr>
                    </w:pPr>
                    <w:r>
                      <w:rPr>
                        <w:rFonts w:ascii="宋体" w:hAnsi="宋体" w:hint="eastAsia"/>
                        <w:kern w:val="0"/>
                        <w:szCs w:val="21"/>
                      </w:rPr>
                      <w:t>2022年度</w:t>
                    </w:r>
                    <w:r>
                      <w:rPr>
                        <w:rFonts w:ascii="宋体" w:hAnsi="宋体"/>
                        <w:kern w:val="0"/>
                        <w:szCs w:val="21"/>
                      </w:rPr>
                      <w:t>占用资金的利息(如有)</w:t>
                    </w:r>
                  </w:p>
                </w:tc>
              </w:sdtContent>
            </w:sdt>
            <w:sdt>
              <w:sdtPr>
                <w:rPr>
                  <w:rFonts w:ascii="宋体" w:hAnsi="宋体" w:hint="eastAsia"/>
                  <w:kern w:val="0"/>
                  <w:sz w:val="20"/>
                  <w:szCs w:val="21"/>
                </w:rPr>
                <w:tag w:val="_PLD_a9c88f196d5c4f919dbc400349abd2de"/>
                <w:id w:val="1503241995"/>
                <w:lock w:val="sdtLocked"/>
              </w:sdtPr>
              <w:sdtEndPr>
                <w:rPr>
                  <w:rFonts w:ascii="Times New Roman" w:hAnsi="Times New Roman" w:hint="default"/>
                  <w:szCs w:val="20"/>
                </w:rPr>
              </w:sdtEndPr>
              <w:sdtContent>
                <w:tc>
                  <w:tcPr>
                    <w:tcW w:w="1148" w:type="dxa"/>
                    <w:vAlign w:val="center"/>
                  </w:tcPr>
                  <w:p w:rsidR="00E4562F" w:rsidRDefault="003D0AF6">
                    <w:pPr>
                      <w:jc w:val="center"/>
                      <w:rPr>
                        <w:rFonts w:ascii="宋体" w:hAnsi="宋体"/>
                        <w:kern w:val="0"/>
                        <w:szCs w:val="21"/>
                      </w:rPr>
                    </w:pPr>
                    <w:r>
                      <w:rPr>
                        <w:rFonts w:ascii="宋体" w:hAnsi="宋体" w:hint="eastAsia"/>
                        <w:kern w:val="0"/>
                        <w:szCs w:val="21"/>
                      </w:rPr>
                      <w:t>2022年度</w:t>
                    </w:r>
                    <w:r>
                      <w:rPr>
                        <w:rFonts w:ascii="宋体" w:hAnsi="宋体"/>
                        <w:kern w:val="0"/>
                        <w:szCs w:val="21"/>
                      </w:rPr>
                      <w:t>偿还累计发生金额</w:t>
                    </w:r>
                  </w:p>
                </w:tc>
              </w:sdtContent>
            </w:sdt>
            <w:sdt>
              <w:sdtPr>
                <w:rPr>
                  <w:rFonts w:ascii="宋体" w:hAnsi="宋体"/>
                  <w:kern w:val="0"/>
                  <w:sz w:val="20"/>
                  <w:szCs w:val="21"/>
                </w:rPr>
                <w:tag w:val="_PLD_c39e8eb759484de79d4283ec71056dc7"/>
                <w:id w:val="-1030718575"/>
                <w:lock w:val="sdtLocked"/>
              </w:sdtPr>
              <w:sdtEndPr/>
              <w:sdtContent>
                <w:tc>
                  <w:tcPr>
                    <w:tcW w:w="1147" w:type="dxa"/>
                    <w:vAlign w:val="center"/>
                  </w:tcPr>
                  <w:p w:rsidR="00E4562F" w:rsidRDefault="003D0AF6">
                    <w:pPr>
                      <w:jc w:val="center"/>
                      <w:rPr>
                        <w:rFonts w:ascii="宋体" w:hAnsi="宋体"/>
                        <w:kern w:val="0"/>
                        <w:szCs w:val="21"/>
                      </w:rPr>
                    </w:pPr>
                    <w:r>
                      <w:rPr>
                        <w:rFonts w:ascii="宋体" w:hAnsi="宋体"/>
                        <w:kern w:val="0"/>
                        <w:szCs w:val="21"/>
                      </w:rPr>
                      <w:t>2022</w:t>
                    </w:r>
                    <w:r>
                      <w:rPr>
                        <w:rFonts w:ascii="宋体" w:hAnsi="宋体" w:hint="eastAsia"/>
                        <w:kern w:val="0"/>
                        <w:szCs w:val="21"/>
                      </w:rPr>
                      <w:t>年</w:t>
                    </w:r>
                    <w:r>
                      <w:rPr>
                        <w:rFonts w:ascii="宋体" w:hAnsi="宋体"/>
                        <w:kern w:val="0"/>
                        <w:szCs w:val="21"/>
                      </w:rPr>
                      <w:t>期末占用资金余额</w:t>
                    </w:r>
                  </w:p>
                </w:tc>
              </w:sdtContent>
            </w:sdt>
            <w:sdt>
              <w:sdtPr>
                <w:rPr>
                  <w:rFonts w:ascii="宋体" w:hAnsi="宋体"/>
                  <w:kern w:val="0"/>
                  <w:sz w:val="20"/>
                  <w:szCs w:val="21"/>
                </w:rPr>
                <w:tag w:val="_PLD_c7e5669a0e0b4340b236804d999f496d"/>
                <w:id w:val="-862971019"/>
                <w:lock w:val="sdtLocked"/>
              </w:sdtPr>
              <w:sdtEndPr/>
              <w:sdtContent>
                <w:tc>
                  <w:tcPr>
                    <w:tcW w:w="1190" w:type="dxa"/>
                    <w:vAlign w:val="center"/>
                  </w:tcPr>
                  <w:p w:rsidR="00E4562F" w:rsidRDefault="003D0AF6">
                    <w:pPr>
                      <w:jc w:val="center"/>
                      <w:rPr>
                        <w:rFonts w:ascii="宋体" w:hAnsi="宋体"/>
                        <w:kern w:val="0"/>
                        <w:szCs w:val="21"/>
                      </w:rPr>
                    </w:pPr>
                    <w:r>
                      <w:rPr>
                        <w:rFonts w:ascii="宋体" w:hAnsi="宋体"/>
                        <w:kern w:val="0"/>
                        <w:szCs w:val="21"/>
                      </w:rPr>
                      <w:t>占用形成原因</w:t>
                    </w:r>
                  </w:p>
                </w:tc>
              </w:sdtContent>
            </w:sdt>
            <w:sdt>
              <w:sdtPr>
                <w:rPr>
                  <w:rFonts w:ascii="宋体" w:hAnsi="宋体"/>
                  <w:kern w:val="0"/>
                  <w:sz w:val="20"/>
                  <w:szCs w:val="21"/>
                </w:rPr>
                <w:tag w:val="_PLD_9f1b281a038f4253acc594f40b36b085"/>
                <w:id w:val="-1241632187"/>
                <w:lock w:val="sdtLocked"/>
              </w:sdtPr>
              <w:sdtEndPr/>
              <w:sdtContent>
                <w:tc>
                  <w:tcPr>
                    <w:tcW w:w="1078" w:type="dxa"/>
                    <w:vAlign w:val="center"/>
                  </w:tcPr>
                  <w:p w:rsidR="00E4562F" w:rsidRDefault="003D0AF6">
                    <w:pPr>
                      <w:jc w:val="center"/>
                      <w:rPr>
                        <w:rFonts w:ascii="宋体" w:hAnsi="宋体"/>
                        <w:kern w:val="0"/>
                        <w:szCs w:val="21"/>
                      </w:rPr>
                    </w:pPr>
                    <w:r>
                      <w:rPr>
                        <w:rFonts w:ascii="宋体" w:hAnsi="宋体"/>
                        <w:kern w:val="0"/>
                        <w:szCs w:val="21"/>
                      </w:rPr>
                      <w:t>占用性质</w:t>
                    </w:r>
                  </w:p>
                </w:tc>
              </w:sdtContent>
            </w:sdt>
          </w:tr>
          <w:sdt>
            <w:sdtPr>
              <w:rPr>
                <w:rFonts w:ascii="宋体" w:eastAsiaTheme="minorEastAsia" w:hAnsi="宋体" w:cstheme="minorBidi"/>
                <w:szCs w:val="21"/>
              </w:rPr>
              <w:alias w:val="现大股东及其附属企业非经营性资金占用情况"/>
              <w:tag w:val="_TUP_f2c5269e1b894ab582949e9efcc3ac0a"/>
              <w:id w:val="-912852883"/>
              <w:lock w:val="sdtLocked"/>
              <w:placeholder>
                <w:docPart w:val="GBC11111111111111111111111111111"/>
              </w:placeholder>
            </w:sdtPr>
            <w:sdtEndPr/>
            <w:sdtContent>
              <w:tr w:rsidR="00E4562F">
                <w:trPr>
                  <w:trHeight w:val="90"/>
                </w:trPr>
                <w:tc>
                  <w:tcPr>
                    <w:tcW w:w="1843" w:type="dxa"/>
                    <w:vMerge w:val="restart"/>
                  </w:tcPr>
                  <w:sdt>
                    <w:sdtPr>
                      <w:rPr>
                        <w:rFonts w:ascii="宋体" w:hAnsi="宋体"/>
                        <w:kern w:val="0"/>
                        <w:sz w:val="20"/>
                        <w:szCs w:val="21"/>
                      </w:rPr>
                      <w:tag w:val="_PLD_02fcc2548e244e09a6c6cdac7d987e8c"/>
                      <w:id w:val="-1271620510"/>
                      <w:lock w:val="sdtLocked"/>
                    </w:sdtPr>
                    <w:sdtEndPr/>
                    <w:sdtContent>
                      <w:p w:rsidR="00E4562F" w:rsidRDefault="003D0AF6">
                        <w:pPr>
                          <w:jc w:val="left"/>
                          <w:rPr>
                            <w:rFonts w:ascii="宋体" w:hAnsi="宋体"/>
                            <w:kern w:val="0"/>
                            <w:szCs w:val="21"/>
                          </w:rPr>
                        </w:pPr>
                        <w:r>
                          <w:rPr>
                            <w:rFonts w:ascii="宋体" w:hAnsi="宋体"/>
                            <w:kern w:val="0"/>
                            <w:szCs w:val="21"/>
                          </w:rPr>
                          <w:t>现大股东及其附属企业</w:t>
                        </w:r>
                      </w:p>
                    </w:sdtContent>
                  </w:sdt>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现大股东及其附属企业非经营性资金占用方与上市公司的关联关系"/>
                    <w:tag w:val="_GBC_4826c7a1a91242c2bd6ad5b98af01b19"/>
                    <w:id w:val="-916779133"/>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EndPr/>
                  <w:sdtContent>
                    <w:tc>
                      <w:tcPr>
                        <w:tcW w:w="1540"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sdt>
                  <w:sdtPr>
                    <w:rPr>
                      <w:rFonts w:ascii="宋体" w:hAnsi="宋体" w:hint="eastAsia"/>
                      <w:kern w:val="0"/>
                      <w:sz w:val="20"/>
                      <w:szCs w:val="21"/>
                    </w:rPr>
                    <w:alias w:val="现大股东及其附属企业非经营性资金占用上市公司核算的会计科目"/>
                    <w:tag w:val="_GBC_8412a79e88fe41cdbf8e4d5d4b47dbe0"/>
                    <w:id w:val="-1571028962"/>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center"/>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shd w:val="solid" w:color="FFFFFF" w:fill="auto"/>
                      <w:jc w:val="center"/>
                      <w:rPr>
                        <w:rFonts w:ascii="宋体" w:hAnsi="宋体"/>
                        <w:kern w:val="0"/>
                        <w:szCs w:val="21"/>
                      </w:rPr>
                    </w:pPr>
                    <w:r>
                      <w:rPr>
                        <w:rFonts w:ascii="宋体" w:hAnsi="宋体" w:hint="eastAsia"/>
                        <w:kern w:val="0"/>
                        <w:szCs w:val="21"/>
                      </w:rPr>
                      <w:t>非经营性占用</w:t>
                    </w:r>
                  </w:p>
                </w:tc>
              </w:tr>
            </w:sdtContent>
          </w:sdt>
          <w:tr w:rsidR="00E4562F">
            <w:trPr>
              <w:trHeight w:val="90"/>
            </w:trPr>
            <w:tc>
              <w:tcPr>
                <w:tcW w:w="1843" w:type="dxa"/>
                <w:vMerge/>
              </w:tcPr>
              <w:p w:rsidR="00E4562F" w:rsidRDefault="00E4562F">
                <w:pPr>
                  <w:rPr>
                    <w:kern w:val="0"/>
                    <w:sz w:val="20"/>
                    <w:szCs w:val="20"/>
                  </w:rPr>
                </w:pPr>
              </w:p>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现大股东及其附属企业非经营性资金占用方与上市公司的关联关系"/>
                <w:tag w:val="_GBC_4826c7a1a91242c2bd6ad5b98af01b19"/>
                <w:id w:val="21"/>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EndPr/>
              <w:sdtContent>
                <w:tc>
                  <w:tcPr>
                    <w:tcW w:w="1540"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sdt>
              <w:sdtPr>
                <w:rPr>
                  <w:rFonts w:ascii="宋体" w:hAnsi="宋体" w:hint="eastAsia"/>
                  <w:kern w:val="0"/>
                  <w:sz w:val="20"/>
                  <w:szCs w:val="21"/>
                </w:rPr>
                <w:alias w:val="现大股东及其附属企业非经营性资金占用上市公司核算的会计科目"/>
                <w:tag w:val="_GBC_8412a79e88fe41cdbf8e4d5d4b47dbe0"/>
                <w:id w:val="22"/>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center"/>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shd w:val="solid" w:color="FFFFFF" w:fill="auto"/>
                  <w:jc w:val="center"/>
                  <w:rPr>
                    <w:rFonts w:ascii="宋体" w:hAnsi="宋体"/>
                    <w:kern w:val="0"/>
                    <w:szCs w:val="21"/>
                  </w:rPr>
                </w:pPr>
                <w:r>
                  <w:rPr>
                    <w:rFonts w:ascii="宋体" w:hAnsi="宋体" w:hint="eastAsia"/>
                    <w:kern w:val="0"/>
                    <w:szCs w:val="21"/>
                  </w:rPr>
                  <w:t>非经营性占用</w:t>
                </w:r>
              </w:p>
            </w:tc>
          </w:tr>
          <w:tr w:rsidR="00E4562F">
            <w:trPr>
              <w:trHeight w:val="120"/>
            </w:trPr>
            <w:tc>
              <w:tcPr>
                <w:tcW w:w="1843" w:type="dxa"/>
              </w:tcPr>
              <w:sdt>
                <w:sdtPr>
                  <w:rPr>
                    <w:rFonts w:ascii="宋体" w:hAnsi="宋体"/>
                    <w:bCs/>
                    <w:kern w:val="0"/>
                    <w:sz w:val="20"/>
                    <w:szCs w:val="21"/>
                  </w:rPr>
                  <w:tag w:val="_PLD_90e6a4e3784e4acc9008d080733a12c8"/>
                  <w:id w:val="-325280941"/>
                  <w:lock w:val="sdtLocked"/>
                </w:sdtPr>
                <w:sdtEndPr/>
                <w:sdtContent>
                  <w:p w:rsidR="00E4562F" w:rsidRDefault="003D0AF6">
                    <w:pPr>
                      <w:jc w:val="center"/>
                      <w:rPr>
                        <w:rFonts w:ascii="宋体" w:hAnsi="宋体"/>
                        <w:kern w:val="0"/>
                        <w:szCs w:val="21"/>
                      </w:rPr>
                    </w:pPr>
                    <w:r>
                      <w:rPr>
                        <w:rFonts w:ascii="宋体" w:hAnsi="宋体"/>
                        <w:bCs/>
                        <w:kern w:val="0"/>
                        <w:szCs w:val="21"/>
                      </w:rPr>
                      <w:t>小计</w:t>
                    </w:r>
                  </w:p>
                </w:sdtContent>
              </w:sdt>
            </w:tc>
            <w:tc>
              <w:tcPr>
                <w:tcW w:w="1475" w:type="dxa"/>
              </w:tcPr>
              <w:p w:rsidR="00E4562F" w:rsidRDefault="003D0AF6">
                <w:pPr>
                  <w:jc w:val="center"/>
                  <w:rPr>
                    <w:rFonts w:ascii="宋体" w:hAnsi="宋体"/>
                    <w:kern w:val="0"/>
                    <w:szCs w:val="21"/>
                  </w:rPr>
                </w:pPr>
                <w:r>
                  <w:rPr>
                    <w:rFonts w:ascii="宋体" w:hAnsi="宋体" w:hint="eastAsia"/>
                    <w:kern w:val="0"/>
                    <w:szCs w:val="21"/>
                  </w:rPr>
                  <w:t>/</w:t>
                </w:r>
              </w:p>
            </w:tc>
            <w:tc>
              <w:tcPr>
                <w:tcW w:w="1540" w:type="dxa"/>
              </w:tcPr>
              <w:p w:rsidR="00E4562F" w:rsidRDefault="003D0AF6">
                <w:pPr>
                  <w:jc w:val="center"/>
                  <w:rPr>
                    <w:rFonts w:ascii="宋体" w:hAnsi="宋体"/>
                    <w:kern w:val="0"/>
                    <w:szCs w:val="21"/>
                  </w:rPr>
                </w:pPr>
                <w:r>
                  <w:rPr>
                    <w:rFonts w:ascii="宋体" w:hAnsi="宋体" w:hint="eastAsia"/>
                    <w:kern w:val="0"/>
                    <w:szCs w:val="21"/>
                  </w:rPr>
                  <w:t>/</w:t>
                </w:r>
              </w:p>
            </w:tc>
            <w:tc>
              <w:tcPr>
                <w:tcW w:w="1133" w:type="dxa"/>
              </w:tcPr>
              <w:p w:rsidR="00E4562F" w:rsidRDefault="003D0AF6">
                <w:pPr>
                  <w:jc w:val="center"/>
                  <w:rPr>
                    <w:rFonts w:ascii="宋体" w:hAnsi="宋体"/>
                    <w:kern w:val="0"/>
                    <w:szCs w:val="21"/>
                  </w:rPr>
                </w:pPr>
                <w:r>
                  <w:rPr>
                    <w:rFonts w:ascii="宋体" w:hAnsi="宋体" w:hint="eastAsia"/>
                    <w:kern w:val="0"/>
                    <w:szCs w:val="21"/>
                  </w:rPr>
                  <w:t>/</w:t>
                </w:r>
              </w:p>
            </w:tc>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center"/>
                  <w:rPr>
                    <w:rFonts w:ascii="宋体" w:hAnsi="宋体"/>
                    <w:kern w:val="0"/>
                    <w:szCs w:val="21"/>
                  </w:rPr>
                </w:pPr>
                <w:r>
                  <w:rPr>
                    <w:rFonts w:ascii="宋体" w:hAnsi="宋体" w:hint="eastAsia"/>
                    <w:kern w:val="0"/>
                    <w:szCs w:val="21"/>
                  </w:rPr>
                  <w:t>/</w:t>
                </w:r>
              </w:p>
            </w:tc>
            <w:tc>
              <w:tcPr>
                <w:tcW w:w="1078" w:type="dxa"/>
              </w:tcPr>
              <w:p w:rsidR="00E4562F" w:rsidRDefault="003D0AF6">
                <w:pPr>
                  <w:jc w:val="center"/>
                  <w:rPr>
                    <w:rFonts w:ascii="宋体" w:hAnsi="宋体"/>
                    <w:kern w:val="0"/>
                    <w:szCs w:val="21"/>
                  </w:rPr>
                </w:pPr>
                <w:r>
                  <w:rPr>
                    <w:rFonts w:ascii="宋体" w:hAnsi="宋体" w:hint="eastAsia"/>
                    <w:kern w:val="0"/>
                    <w:szCs w:val="21"/>
                  </w:rPr>
                  <w:t>/</w:t>
                </w:r>
              </w:p>
            </w:tc>
          </w:tr>
          <w:sdt>
            <w:sdtPr>
              <w:rPr>
                <w:rFonts w:ascii="宋体" w:eastAsiaTheme="minorEastAsia" w:hAnsi="宋体" w:cstheme="minorBidi"/>
                <w:szCs w:val="21"/>
              </w:rPr>
              <w:alias w:val="前大股东及其附属企业非经营性资金占用情况"/>
              <w:tag w:val="_TUP_15814e0b43814302b25105db0987818b"/>
              <w:id w:val="-242575629"/>
              <w:lock w:val="sdtLocked"/>
              <w:placeholder>
                <w:docPart w:val="GBC11111111111111111111111111111"/>
              </w:placeholder>
            </w:sdtPr>
            <w:sdtEndPr/>
            <w:sdtContent>
              <w:tr w:rsidR="00E4562F">
                <w:trPr>
                  <w:trHeight w:val="132"/>
                </w:trPr>
                <w:tc>
                  <w:tcPr>
                    <w:tcW w:w="1843" w:type="dxa"/>
                    <w:vMerge w:val="restart"/>
                  </w:tcPr>
                  <w:sdt>
                    <w:sdtPr>
                      <w:rPr>
                        <w:rFonts w:ascii="宋体" w:hAnsi="宋体"/>
                        <w:kern w:val="0"/>
                        <w:sz w:val="20"/>
                        <w:szCs w:val="21"/>
                      </w:rPr>
                      <w:tag w:val="_PLD_1df5620fad2b4defa3df0689530b6d0e"/>
                      <w:id w:val="-1851250005"/>
                      <w:lock w:val="sdtLocked"/>
                    </w:sdtPr>
                    <w:sdtEndPr>
                      <w:rPr>
                        <w:rFonts w:ascii="Times New Roman" w:hAnsi="Times New Roman" w:hint="eastAsia"/>
                        <w:szCs w:val="20"/>
                      </w:rPr>
                    </w:sdtEndPr>
                    <w:sdtContent>
                      <w:p w:rsidR="00E4562F" w:rsidRDefault="003D0AF6">
                        <w:pPr>
                          <w:jc w:val="left"/>
                          <w:rPr>
                            <w:rFonts w:ascii="宋体" w:hAnsi="宋体"/>
                            <w:kern w:val="0"/>
                            <w:szCs w:val="21"/>
                          </w:rPr>
                        </w:pPr>
                        <w:r>
                          <w:rPr>
                            <w:rFonts w:ascii="宋体" w:hAnsi="宋体"/>
                            <w:kern w:val="0"/>
                            <w:szCs w:val="21"/>
                          </w:rPr>
                          <w:t>前大股东及其附属企</w:t>
                        </w:r>
                        <w:r>
                          <w:rPr>
                            <w:rFonts w:ascii="宋体" w:hAnsi="宋体" w:hint="eastAsia"/>
                            <w:kern w:val="0"/>
                            <w:szCs w:val="21"/>
                          </w:rPr>
                          <w:t>业</w:t>
                        </w:r>
                      </w:p>
                    </w:sdtContent>
                  </w:sdt>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前大股东及其附属企业非经营性资金占用方与上市公司的关联关系"/>
                    <w:tag w:val="_GBC_28a0e6ebe909412790ad723bdef0ac6d"/>
                    <w:id w:val="1625192841"/>
                    <w:lock w:val="sdtLocked"/>
                    <w:comboBox>
                      <w:listItem w:displayText="公司前实际控制人" w:value="公司前实际控制人"/>
                      <w:listItem w:displayText="公司前控股股东" w:value="公司前控股股东"/>
                      <w:listItem w:displayText="公司前控股股东、前实际控制人的附属企业" w:value="公司前控股股东、前实际控制人的附属企业"/>
                    </w:comboBox>
                  </w:sdtPr>
                  <w:sdtEndPr/>
                  <w:sdtContent>
                    <w:tc>
                      <w:tcPr>
                        <w:tcW w:w="1540"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sdt>
                  <w:sdtPr>
                    <w:rPr>
                      <w:rFonts w:ascii="宋体" w:hAnsi="宋体" w:hint="eastAsia"/>
                      <w:kern w:val="0"/>
                      <w:sz w:val="20"/>
                      <w:szCs w:val="21"/>
                    </w:rPr>
                    <w:alias w:val="前大股东及其附属企业非经营性资金占用上市公司核算的会计科目"/>
                    <w:tag w:val="_GBC_b2509e78d475426e9d85d25a332442c7"/>
                    <w:id w:val="1121499509"/>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vAlign w:val="center"/>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非经营性占用</w:t>
                    </w:r>
                  </w:p>
                </w:tc>
              </w:tr>
            </w:sdtContent>
          </w:sdt>
          <w:tr w:rsidR="00E4562F">
            <w:trPr>
              <w:trHeight w:val="132"/>
            </w:trPr>
            <w:tc>
              <w:tcPr>
                <w:tcW w:w="1843" w:type="dxa"/>
                <w:vMerge/>
              </w:tcPr>
              <w:p w:rsidR="00E4562F" w:rsidRDefault="00E4562F">
                <w:pPr>
                  <w:rPr>
                    <w:kern w:val="0"/>
                    <w:sz w:val="20"/>
                    <w:szCs w:val="20"/>
                  </w:rPr>
                </w:pPr>
              </w:p>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前大股东及其附属企业非经营性资金占用方与上市公司的关联关系"/>
                <w:tag w:val="_GBC_28a0e6ebe909412790ad723bdef0ac6d"/>
                <w:id w:val="28"/>
                <w:lock w:val="sdtLocked"/>
                <w:comboBox>
                  <w:listItem w:displayText="公司前实际控制人" w:value="公司前实际控制人"/>
                  <w:listItem w:displayText="公司前控股股东" w:value="公司前控股股东"/>
                  <w:listItem w:displayText="公司前控股股东、前实际控制人的附属企业" w:value="公司前控股股东、前实际控制人的附属企业"/>
                </w:comboBox>
              </w:sdtPr>
              <w:sdtEndPr/>
              <w:sdtContent>
                <w:tc>
                  <w:tcPr>
                    <w:tcW w:w="1540"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sdt>
              <w:sdtPr>
                <w:rPr>
                  <w:rFonts w:ascii="宋体" w:hAnsi="宋体" w:hint="eastAsia"/>
                  <w:kern w:val="0"/>
                  <w:sz w:val="20"/>
                  <w:szCs w:val="21"/>
                </w:rPr>
                <w:alias w:val="前大股东及其附属企业非经营性资金占用上市公司核算的会计科目"/>
                <w:tag w:val="_GBC_b2509e78d475426e9d85d25a332442c7"/>
                <w:id w:val="29"/>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vAlign w:val="center"/>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非经营性占用</w:t>
                </w:r>
              </w:p>
            </w:tc>
          </w:tr>
          <w:tr w:rsidR="00E4562F">
            <w:trPr>
              <w:trHeight w:val="150"/>
            </w:trPr>
            <w:sdt>
              <w:sdtPr>
                <w:rPr>
                  <w:rFonts w:ascii="宋体" w:hAnsi="宋体" w:hint="eastAsia"/>
                  <w:kern w:val="0"/>
                  <w:sz w:val="20"/>
                  <w:szCs w:val="21"/>
                </w:rPr>
                <w:tag w:val="_PLD_2ee3b03d311e4f93af3a9f493de704ae"/>
                <w:id w:val="1038852824"/>
                <w:lock w:val="sdtLocked"/>
              </w:sdtPr>
              <w:sdtEndPr/>
              <w:sdtContent>
                <w:tc>
                  <w:tcPr>
                    <w:tcW w:w="1843" w:type="dxa"/>
                  </w:tcPr>
                  <w:p w:rsidR="00E4562F" w:rsidRDefault="003D0AF6">
                    <w:pPr>
                      <w:jc w:val="center"/>
                      <w:rPr>
                        <w:rFonts w:ascii="宋体" w:hAnsi="宋体"/>
                        <w:kern w:val="0"/>
                        <w:szCs w:val="21"/>
                      </w:rPr>
                    </w:pPr>
                    <w:r>
                      <w:rPr>
                        <w:rFonts w:ascii="宋体" w:hAnsi="宋体" w:hint="eastAsia"/>
                        <w:kern w:val="0"/>
                        <w:szCs w:val="21"/>
                      </w:rPr>
                      <w:t>小计</w:t>
                    </w:r>
                  </w:p>
                </w:tc>
              </w:sdtContent>
            </w:sdt>
            <w:tc>
              <w:tcPr>
                <w:tcW w:w="1475" w:type="dxa"/>
              </w:tcPr>
              <w:p w:rsidR="00E4562F" w:rsidRDefault="003D0AF6">
                <w:pPr>
                  <w:jc w:val="center"/>
                  <w:rPr>
                    <w:rFonts w:ascii="宋体" w:hAnsi="宋体"/>
                    <w:kern w:val="0"/>
                    <w:szCs w:val="21"/>
                  </w:rPr>
                </w:pPr>
                <w:r>
                  <w:rPr>
                    <w:rFonts w:ascii="宋体" w:hAnsi="宋体" w:hint="eastAsia"/>
                    <w:kern w:val="0"/>
                    <w:szCs w:val="21"/>
                  </w:rPr>
                  <w:t>/</w:t>
                </w:r>
              </w:p>
            </w:tc>
            <w:tc>
              <w:tcPr>
                <w:tcW w:w="1540" w:type="dxa"/>
              </w:tcPr>
              <w:p w:rsidR="00E4562F" w:rsidRDefault="003D0AF6">
                <w:pPr>
                  <w:jc w:val="center"/>
                  <w:rPr>
                    <w:rFonts w:ascii="宋体" w:hAnsi="宋体"/>
                    <w:kern w:val="0"/>
                    <w:szCs w:val="21"/>
                  </w:rPr>
                </w:pPr>
                <w:r>
                  <w:rPr>
                    <w:rFonts w:ascii="宋体" w:hAnsi="宋体" w:hint="eastAsia"/>
                    <w:kern w:val="0"/>
                    <w:szCs w:val="21"/>
                  </w:rPr>
                  <w:t>/</w:t>
                </w:r>
              </w:p>
            </w:tc>
            <w:tc>
              <w:tcPr>
                <w:tcW w:w="1133" w:type="dxa"/>
              </w:tcPr>
              <w:p w:rsidR="00E4562F" w:rsidRDefault="003D0AF6">
                <w:pPr>
                  <w:jc w:val="center"/>
                  <w:rPr>
                    <w:rFonts w:ascii="宋体" w:hAnsi="宋体"/>
                    <w:kern w:val="0"/>
                    <w:szCs w:val="21"/>
                  </w:rPr>
                </w:pPr>
                <w:r>
                  <w:rPr>
                    <w:rFonts w:ascii="宋体" w:hAnsi="宋体" w:hint="eastAsia"/>
                    <w:kern w:val="0"/>
                    <w:szCs w:val="21"/>
                  </w:rPr>
                  <w:t>/</w:t>
                </w:r>
              </w:p>
            </w:tc>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center"/>
                  <w:rPr>
                    <w:rFonts w:ascii="宋体" w:hAnsi="宋体"/>
                    <w:kern w:val="0"/>
                    <w:szCs w:val="21"/>
                  </w:rPr>
                </w:pPr>
                <w:r>
                  <w:rPr>
                    <w:rFonts w:ascii="宋体" w:hAnsi="宋体" w:hint="eastAsia"/>
                    <w:kern w:val="0"/>
                    <w:szCs w:val="21"/>
                  </w:rPr>
                  <w:t>/</w:t>
                </w:r>
              </w:p>
            </w:tc>
            <w:tc>
              <w:tcPr>
                <w:tcW w:w="1078" w:type="dxa"/>
              </w:tcPr>
              <w:p w:rsidR="00E4562F" w:rsidRDefault="003D0AF6">
                <w:pPr>
                  <w:jc w:val="center"/>
                  <w:rPr>
                    <w:rFonts w:ascii="宋体" w:hAnsi="宋体"/>
                    <w:kern w:val="0"/>
                    <w:szCs w:val="21"/>
                  </w:rPr>
                </w:pPr>
                <w:r>
                  <w:rPr>
                    <w:rFonts w:ascii="宋体" w:hAnsi="宋体" w:hint="eastAsia"/>
                    <w:kern w:val="0"/>
                    <w:szCs w:val="21"/>
                  </w:rPr>
                  <w:t>/</w:t>
                </w:r>
              </w:p>
            </w:tc>
          </w:tr>
          <w:tr w:rsidR="00E4562F">
            <w:trPr>
              <w:trHeight w:val="150"/>
            </w:trPr>
            <w:sdt>
              <w:sdtPr>
                <w:rPr>
                  <w:rFonts w:ascii="宋体" w:hAnsi="宋体" w:hint="eastAsia"/>
                  <w:kern w:val="0"/>
                  <w:sz w:val="20"/>
                  <w:szCs w:val="21"/>
                </w:rPr>
                <w:tag w:val="_PLD_eafd71a9aaca417693031c7e6e4e53e3"/>
                <w:id w:val="1785613761"/>
                <w:lock w:val="sdtLocked"/>
              </w:sdtPr>
              <w:sdtEndPr/>
              <w:sdtContent>
                <w:tc>
                  <w:tcPr>
                    <w:tcW w:w="1843" w:type="dxa"/>
                  </w:tcPr>
                  <w:p w:rsidR="00E4562F" w:rsidRDefault="003D0AF6">
                    <w:pPr>
                      <w:jc w:val="center"/>
                      <w:rPr>
                        <w:rFonts w:ascii="宋体" w:hAnsi="宋体"/>
                        <w:kern w:val="0"/>
                        <w:szCs w:val="21"/>
                      </w:rPr>
                    </w:pPr>
                    <w:r>
                      <w:rPr>
                        <w:rFonts w:ascii="宋体" w:hAnsi="宋体" w:hint="eastAsia"/>
                        <w:kern w:val="0"/>
                        <w:szCs w:val="21"/>
                      </w:rPr>
                      <w:t>总计</w:t>
                    </w:r>
                  </w:p>
                </w:tc>
              </w:sdtContent>
            </w:sdt>
            <w:tc>
              <w:tcPr>
                <w:tcW w:w="1475" w:type="dxa"/>
              </w:tcPr>
              <w:p w:rsidR="00E4562F" w:rsidRDefault="003D0AF6">
                <w:pPr>
                  <w:jc w:val="center"/>
                  <w:rPr>
                    <w:rFonts w:ascii="宋体" w:hAnsi="宋体"/>
                    <w:kern w:val="0"/>
                    <w:szCs w:val="21"/>
                  </w:rPr>
                </w:pPr>
                <w:r>
                  <w:rPr>
                    <w:rFonts w:ascii="宋体" w:hAnsi="宋体" w:hint="eastAsia"/>
                    <w:kern w:val="0"/>
                    <w:szCs w:val="21"/>
                  </w:rPr>
                  <w:t>/</w:t>
                </w:r>
              </w:p>
            </w:tc>
            <w:tc>
              <w:tcPr>
                <w:tcW w:w="1540" w:type="dxa"/>
              </w:tcPr>
              <w:p w:rsidR="00E4562F" w:rsidRDefault="003D0AF6">
                <w:pPr>
                  <w:jc w:val="center"/>
                  <w:rPr>
                    <w:rFonts w:ascii="宋体" w:hAnsi="宋体"/>
                    <w:kern w:val="0"/>
                    <w:szCs w:val="21"/>
                  </w:rPr>
                </w:pPr>
                <w:r>
                  <w:rPr>
                    <w:rFonts w:ascii="宋体" w:hAnsi="宋体" w:hint="eastAsia"/>
                    <w:kern w:val="0"/>
                    <w:szCs w:val="21"/>
                  </w:rPr>
                  <w:t>/</w:t>
                </w:r>
              </w:p>
            </w:tc>
            <w:tc>
              <w:tcPr>
                <w:tcW w:w="1133" w:type="dxa"/>
              </w:tcPr>
              <w:p w:rsidR="00E4562F" w:rsidRDefault="003D0AF6">
                <w:pPr>
                  <w:jc w:val="center"/>
                  <w:rPr>
                    <w:rFonts w:ascii="宋体" w:hAnsi="宋体"/>
                    <w:kern w:val="0"/>
                    <w:szCs w:val="21"/>
                  </w:rPr>
                </w:pPr>
                <w:r>
                  <w:rPr>
                    <w:rFonts w:ascii="宋体" w:hAnsi="宋体" w:hint="eastAsia"/>
                    <w:kern w:val="0"/>
                    <w:szCs w:val="21"/>
                  </w:rPr>
                  <w:t>/</w:t>
                </w:r>
              </w:p>
            </w:tc>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center"/>
                  <w:rPr>
                    <w:rFonts w:ascii="宋体" w:hAnsi="宋体"/>
                    <w:kern w:val="0"/>
                    <w:szCs w:val="21"/>
                  </w:rPr>
                </w:pPr>
                <w:r>
                  <w:rPr>
                    <w:rFonts w:ascii="宋体" w:hAnsi="宋体" w:hint="eastAsia"/>
                    <w:kern w:val="0"/>
                    <w:szCs w:val="21"/>
                  </w:rPr>
                  <w:t>/</w:t>
                </w:r>
              </w:p>
            </w:tc>
            <w:tc>
              <w:tcPr>
                <w:tcW w:w="1078" w:type="dxa"/>
              </w:tcPr>
              <w:p w:rsidR="00E4562F" w:rsidRDefault="003D0AF6">
                <w:pPr>
                  <w:jc w:val="center"/>
                  <w:rPr>
                    <w:rFonts w:ascii="宋体" w:hAnsi="宋体"/>
                    <w:kern w:val="0"/>
                    <w:szCs w:val="21"/>
                  </w:rPr>
                </w:pPr>
                <w:r>
                  <w:rPr>
                    <w:rFonts w:ascii="宋体" w:hAnsi="宋体" w:hint="eastAsia"/>
                    <w:kern w:val="0"/>
                    <w:szCs w:val="21"/>
                  </w:rPr>
                  <w:t>/</w:t>
                </w:r>
              </w:p>
            </w:tc>
          </w:tr>
          <w:tr w:rsidR="00E4562F">
            <w:trPr>
              <w:trHeight w:val="120"/>
            </w:trPr>
            <w:sdt>
              <w:sdtPr>
                <w:rPr>
                  <w:rFonts w:ascii="宋体" w:hAnsi="宋体"/>
                  <w:bCs/>
                  <w:kern w:val="0"/>
                  <w:sz w:val="20"/>
                  <w:szCs w:val="21"/>
                </w:rPr>
                <w:tag w:val="_PLD_eb55db702bbb4dac93d8b6add2576d17"/>
                <w:id w:val="403489803"/>
                <w:lock w:val="sdtLocked"/>
              </w:sdtPr>
              <w:sdtEndPr/>
              <w:sdtContent>
                <w:tc>
                  <w:tcPr>
                    <w:tcW w:w="1843" w:type="dxa"/>
                    <w:vAlign w:val="center"/>
                  </w:tcPr>
                  <w:p w:rsidR="00E4562F" w:rsidRDefault="003D0AF6">
                    <w:pPr>
                      <w:jc w:val="center"/>
                      <w:rPr>
                        <w:rFonts w:ascii="宋体" w:hAnsi="宋体"/>
                        <w:kern w:val="0"/>
                        <w:szCs w:val="21"/>
                      </w:rPr>
                    </w:pPr>
                    <w:r>
                      <w:rPr>
                        <w:rFonts w:ascii="宋体" w:hAnsi="宋体"/>
                        <w:bCs/>
                        <w:kern w:val="0"/>
                        <w:szCs w:val="21"/>
                      </w:rPr>
                      <w:t>其他关联资金往来</w:t>
                    </w:r>
                  </w:p>
                </w:tc>
              </w:sdtContent>
            </w:sdt>
            <w:sdt>
              <w:sdtPr>
                <w:rPr>
                  <w:rFonts w:ascii="宋体" w:hAnsi="宋体"/>
                  <w:kern w:val="0"/>
                  <w:sz w:val="20"/>
                  <w:szCs w:val="21"/>
                </w:rPr>
                <w:tag w:val="_PLD_5a45dea9cb5e4343b4e4419f867ddfe1"/>
                <w:id w:val="846990006"/>
                <w:lock w:val="sdtLocked"/>
              </w:sdtPr>
              <w:sdtEndPr/>
              <w:sdtContent>
                <w:tc>
                  <w:tcPr>
                    <w:tcW w:w="1475" w:type="dxa"/>
                    <w:vAlign w:val="center"/>
                  </w:tcPr>
                  <w:p w:rsidR="00E4562F" w:rsidRDefault="003D0AF6">
                    <w:pPr>
                      <w:jc w:val="center"/>
                      <w:rPr>
                        <w:rFonts w:ascii="宋体" w:hAnsi="宋体"/>
                        <w:kern w:val="0"/>
                        <w:szCs w:val="21"/>
                      </w:rPr>
                    </w:pPr>
                    <w:r>
                      <w:rPr>
                        <w:rFonts w:ascii="宋体" w:hAnsi="宋体"/>
                        <w:kern w:val="0"/>
                        <w:szCs w:val="21"/>
                      </w:rPr>
                      <w:t>资金往来方名称</w:t>
                    </w:r>
                  </w:p>
                </w:tc>
              </w:sdtContent>
            </w:sdt>
            <w:sdt>
              <w:sdtPr>
                <w:rPr>
                  <w:rFonts w:ascii="宋体" w:hAnsi="宋体"/>
                  <w:kern w:val="0"/>
                  <w:sz w:val="20"/>
                  <w:szCs w:val="21"/>
                </w:rPr>
                <w:tag w:val="_PLD_857f50f66c704e038b43a4eec541a334"/>
                <w:id w:val="712229996"/>
                <w:lock w:val="sdtLocked"/>
              </w:sdtPr>
              <w:sdtEndPr/>
              <w:sdtContent>
                <w:tc>
                  <w:tcPr>
                    <w:tcW w:w="1540" w:type="dxa"/>
                    <w:vAlign w:val="center"/>
                  </w:tcPr>
                  <w:p w:rsidR="00E4562F" w:rsidRDefault="003D0AF6">
                    <w:pPr>
                      <w:jc w:val="center"/>
                      <w:rPr>
                        <w:rFonts w:ascii="宋体" w:hAnsi="宋体"/>
                        <w:kern w:val="0"/>
                        <w:szCs w:val="21"/>
                      </w:rPr>
                    </w:pPr>
                    <w:r>
                      <w:rPr>
                        <w:rFonts w:ascii="宋体" w:hAnsi="宋体"/>
                        <w:kern w:val="0"/>
                        <w:szCs w:val="21"/>
                      </w:rPr>
                      <w:t>往来方与上市公司的关系</w:t>
                    </w:r>
                  </w:p>
                </w:tc>
              </w:sdtContent>
            </w:sdt>
            <w:sdt>
              <w:sdtPr>
                <w:rPr>
                  <w:rFonts w:ascii="宋体" w:hAnsi="宋体"/>
                  <w:kern w:val="0"/>
                  <w:sz w:val="20"/>
                  <w:szCs w:val="21"/>
                </w:rPr>
                <w:tag w:val="_PLD_fcbed7e94be149a3bedb80242574ba48"/>
                <w:id w:val="-1149596158"/>
                <w:lock w:val="sdtLocked"/>
              </w:sdtPr>
              <w:sdtEndPr/>
              <w:sdtContent>
                <w:tc>
                  <w:tcPr>
                    <w:tcW w:w="1133" w:type="dxa"/>
                    <w:vAlign w:val="center"/>
                  </w:tcPr>
                  <w:p w:rsidR="00E4562F" w:rsidRDefault="003D0AF6">
                    <w:pPr>
                      <w:jc w:val="center"/>
                      <w:rPr>
                        <w:rFonts w:ascii="宋体" w:hAnsi="宋体"/>
                        <w:kern w:val="0"/>
                        <w:szCs w:val="21"/>
                      </w:rPr>
                    </w:pPr>
                    <w:r>
                      <w:rPr>
                        <w:rFonts w:ascii="宋体" w:hAnsi="宋体"/>
                        <w:kern w:val="0"/>
                        <w:szCs w:val="21"/>
                      </w:rPr>
                      <w:t>上市公司核算的会计科目</w:t>
                    </w:r>
                  </w:p>
                </w:tc>
              </w:sdtContent>
            </w:sdt>
            <w:sdt>
              <w:sdtPr>
                <w:rPr>
                  <w:rFonts w:ascii="宋体" w:hAnsi="宋体"/>
                  <w:kern w:val="0"/>
                  <w:sz w:val="20"/>
                  <w:szCs w:val="21"/>
                </w:rPr>
                <w:tag w:val="_PLD_1c7b6fc566bb45f19145a3b7837c29a3"/>
                <w:id w:val="777368261"/>
                <w:lock w:val="sdtLocked"/>
              </w:sdtPr>
              <w:sdtEndPr/>
              <w:sdtContent>
                <w:tc>
                  <w:tcPr>
                    <w:tcW w:w="1092" w:type="dxa"/>
                    <w:vAlign w:val="center"/>
                  </w:tcPr>
                  <w:p w:rsidR="00E4562F" w:rsidRDefault="003D0AF6">
                    <w:pPr>
                      <w:jc w:val="center"/>
                      <w:rPr>
                        <w:rFonts w:ascii="宋体" w:hAnsi="宋体"/>
                        <w:kern w:val="0"/>
                        <w:szCs w:val="21"/>
                      </w:rPr>
                    </w:pPr>
                    <w:r>
                      <w:rPr>
                        <w:rFonts w:ascii="宋体" w:hAnsi="宋体"/>
                        <w:kern w:val="0"/>
                        <w:szCs w:val="21"/>
                      </w:rPr>
                      <w:t>2022年期初往来资金余额</w:t>
                    </w:r>
                  </w:p>
                </w:tc>
              </w:sdtContent>
            </w:sdt>
            <w:sdt>
              <w:sdtPr>
                <w:rPr>
                  <w:rFonts w:ascii="宋体" w:hAnsi="宋体"/>
                  <w:kern w:val="0"/>
                  <w:sz w:val="20"/>
                  <w:szCs w:val="21"/>
                </w:rPr>
                <w:tag w:val="_PLD_9c95747bedfd4aa491cab74a253e3f3f"/>
                <w:id w:val="-1507438100"/>
                <w:lock w:val="sdtLocked"/>
              </w:sdtPr>
              <w:sdtEndPr>
                <w:rPr>
                  <w:rFonts w:ascii="Times New Roman" w:hAnsi="Times New Roman" w:hint="eastAsia"/>
                  <w:szCs w:val="20"/>
                </w:rPr>
              </w:sdtEndPr>
              <w:sdtContent>
                <w:tc>
                  <w:tcPr>
                    <w:tcW w:w="1148" w:type="dxa"/>
                    <w:vAlign w:val="center"/>
                  </w:tcPr>
                  <w:p w:rsidR="00E4562F" w:rsidRDefault="003D0AF6">
                    <w:pPr>
                      <w:jc w:val="center"/>
                      <w:rPr>
                        <w:rFonts w:ascii="宋体" w:hAnsi="宋体"/>
                        <w:kern w:val="0"/>
                        <w:szCs w:val="21"/>
                      </w:rPr>
                    </w:pPr>
                    <w:r>
                      <w:rPr>
                        <w:rFonts w:ascii="宋体" w:hAnsi="宋体"/>
                        <w:kern w:val="0"/>
                        <w:szCs w:val="21"/>
                      </w:rPr>
                      <w:t>2022年度往来累计发生金额（不含利息</w:t>
                    </w:r>
                    <w:r>
                      <w:rPr>
                        <w:rFonts w:ascii="宋体" w:hAnsi="宋体" w:hint="eastAsia"/>
                        <w:kern w:val="0"/>
                        <w:szCs w:val="21"/>
                      </w:rPr>
                      <w:t>）</w:t>
                    </w:r>
                  </w:p>
                </w:tc>
              </w:sdtContent>
            </w:sdt>
            <w:sdt>
              <w:sdtPr>
                <w:rPr>
                  <w:rFonts w:ascii="宋体" w:hAnsi="宋体"/>
                  <w:kern w:val="0"/>
                  <w:sz w:val="20"/>
                  <w:szCs w:val="21"/>
                </w:rPr>
                <w:tag w:val="_PLD_a207232109cc437a9f1cace91a1ea1f8"/>
                <w:id w:val="632217571"/>
                <w:lock w:val="sdtLocked"/>
              </w:sdtPr>
              <w:sdtEndPr/>
              <w:sdtContent>
                <w:tc>
                  <w:tcPr>
                    <w:tcW w:w="1134" w:type="dxa"/>
                    <w:vAlign w:val="center"/>
                  </w:tcPr>
                  <w:p w:rsidR="00E4562F" w:rsidRDefault="003D0AF6">
                    <w:pPr>
                      <w:jc w:val="center"/>
                      <w:rPr>
                        <w:rFonts w:ascii="宋体" w:hAnsi="宋体"/>
                        <w:kern w:val="0"/>
                        <w:szCs w:val="21"/>
                      </w:rPr>
                    </w:pPr>
                    <w:r>
                      <w:rPr>
                        <w:rFonts w:ascii="宋体" w:hAnsi="宋体"/>
                        <w:kern w:val="0"/>
                        <w:szCs w:val="21"/>
                      </w:rPr>
                      <w:t>2022年度往来资金的利息（如有）</w:t>
                    </w:r>
                  </w:p>
                </w:tc>
              </w:sdtContent>
            </w:sdt>
            <w:sdt>
              <w:sdtPr>
                <w:rPr>
                  <w:rFonts w:ascii="宋体" w:hAnsi="宋体"/>
                  <w:kern w:val="0"/>
                  <w:sz w:val="20"/>
                  <w:szCs w:val="21"/>
                </w:rPr>
                <w:tag w:val="_PLD_d817237d18d34a9a904cbad432c24934"/>
                <w:id w:val="1964312586"/>
                <w:lock w:val="sdtLocked"/>
              </w:sdtPr>
              <w:sdtEndPr/>
              <w:sdtContent>
                <w:tc>
                  <w:tcPr>
                    <w:tcW w:w="1148" w:type="dxa"/>
                    <w:vAlign w:val="center"/>
                  </w:tcPr>
                  <w:p w:rsidR="00E4562F" w:rsidRDefault="003D0AF6">
                    <w:pPr>
                      <w:jc w:val="center"/>
                      <w:rPr>
                        <w:rFonts w:ascii="宋体" w:hAnsi="宋体"/>
                        <w:kern w:val="0"/>
                        <w:szCs w:val="21"/>
                      </w:rPr>
                    </w:pPr>
                    <w:r>
                      <w:rPr>
                        <w:rFonts w:ascii="宋体" w:hAnsi="宋体"/>
                        <w:kern w:val="0"/>
                        <w:szCs w:val="21"/>
                      </w:rPr>
                      <w:t>2022年度偿还累计发生金额</w:t>
                    </w:r>
                  </w:p>
                </w:tc>
              </w:sdtContent>
            </w:sdt>
            <w:sdt>
              <w:sdtPr>
                <w:rPr>
                  <w:rFonts w:ascii="宋体" w:hAnsi="宋体"/>
                  <w:kern w:val="0"/>
                  <w:sz w:val="20"/>
                  <w:szCs w:val="21"/>
                </w:rPr>
                <w:tag w:val="_PLD_bf4c4697c58f46fe93d1d15120ed2a5e"/>
                <w:id w:val="-1370373105"/>
                <w:lock w:val="sdtLocked"/>
              </w:sdtPr>
              <w:sdtEndPr/>
              <w:sdtContent>
                <w:tc>
                  <w:tcPr>
                    <w:tcW w:w="1147" w:type="dxa"/>
                    <w:vAlign w:val="center"/>
                  </w:tcPr>
                  <w:p w:rsidR="00E4562F" w:rsidRDefault="003D0AF6">
                    <w:pPr>
                      <w:jc w:val="center"/>
                      <w:rPr>
                        <w:rFonts w:ascii="宋体" w:hAnsi="宋体"/>
                        <w:kern w:val="0"/>
                        <w:szCs w:val="21"/>
                      </w:rPr>
                    </w:pPr>
                    <w:r>
                      <w:rPr>
                        <w:rFonts w:ascii="宋体" w:hAnsi="宋体"/>
                        <w:kern w:val="0"/>
                        <w:szCs w:val="21"/>
                      </w:rPr>
                      <w:t>2022年期末往来资金余额</w:t>
                    </w:r>
                  </w:p>
                </w:tc>
              </w:sdtContent>
            </w:sdt>
            <w:sdt>
              <w:sdtPr>
                <w:rPr>
                  <w:rFonts w:ascii="宋体" w:hAnsi="宋体"/>
                  <w:kern w:val="0"/>
                  <w:sz w:val="20"/>
                  <w:szCs w:val="21"/>
                </w:rPr>
                <w:tag w:val="_PLD_b10033fa7ceb49488a1f074733776ecc"/>
                <w:id w:val="-638182211"/>
                <w:lock w:val="sdtLocked"/>
              </w:sdtPr>
              <w:sdtEndPr/>
              <w:sdtContent>
                <w:tc>
                  <w:tcPr>
                    <w:tcW w:w="1190" w:type="dxa"/>
                    <w:vAlign w:val="center"/>
                  </w:tcPr>
                  <w:p w:rsidR="00E4562F" w:rsidRDefault="003D0AF6">
                    <w:pPr>
                      <w:jc w:val="center"/>
                      <w:rPr>
                        <w:rFonts w:ascii="宋体" w:hAnsi="宋体"/>
                        <w:kern w:val="0"/>
                        <w:szCs w:val="21"/>
                      </w:rPr>
                    </w:pPr>
                    <w:r>
                      <w:rPr>
                        <w:rFonts w:ascii="宋体" w:hAnsi="宋体"/>
                        <w:kern w:val="0"/>
                        <w:szCs w:val="21"/>
                      </w:rPr>
                      <w:t>往来形成原因</w:t>
                    </w:r>
                  </w:p>
                </w:tc>
              </w:sdtContent>
            </w:sdt>
            <w:sdt>
              <w:sdtPr>
                <w:rPr>
                  <w:rFonts w:ascii="宋体" w:hAnsi="宋体"/>
                  <w:kern w:val="0"/>
                  <w:sz w:val="20"/>
                  <w:szCs w:val="21"/>
                </w:rPr>
                <w:tag w:val="_PLD_24bc118d4e4f461aa582461866a38830"/>
                <w:id w:val="-1027950560"/>
                <w:lock w:val="sdtLocked"/>
              </w:sdtPr>
              <w:sdtEndPr/>
              <w:sdtContent>
                <w:tc>
                  <w:tcPr>
                    <w:tcW w:w="1078" w:type="dxa"/>
                    <w:vAlign w:val="center"/>
                  </w:tcPr>
                  <w:p w:rsidR="00E4562F" w:rsidRDefault="003D0AF6">
                    <w:pPr>
                      <w:jc w:val="center"/>
                      <w:rPr>
                        <w:rFonts w:ascii="宋体" w:hAnsi="宋体"/>
                        <w:kern w:val="0"/>
                        <w:szCs w:val="21"/>
                      </w:rPr>
                    </w:pPr>
                    <w:r>
                      <w:rPr>
                        <w:rFonts w:ascii="宋体" w:hAnsi="宋体"/>
                        <w:kern w:val="0"/>
                        <w:szCs w:val="21"/>
                      </w:rPr>
                      <w:t>往来性质</w:t>
                    </w:r>
                  </w:p>
                </w:tc>
              </w:sdtContent>
            </w:sdt>
          </w:tr>
          <w:sdt>
            <w:sdtPr>
              <w:rPr>
                <w:rFonts w:ascii="宋体" w:eastAsiaTheme="minorEastAsia" w:hAnsi="宋体" w:cstheme="minorBidi"/>
                <w:szCs w:val="21"/>
              </w:rPr>
              <w:alias w:val="大股东及其附属企业经营性资金往来情况"/>
              <w:tag w:val="_TUP_b1230516c9b443a8ae6a0ee5faae34d9"/>
              <w:id w:val="-16321382"/>
              <w:lock w:val="sdtLocked"/>
              <w:placeholder>
                <w:docPart w:val="GBC11111111111111111111111111111"/>
              </w:placeholder>
            </w:sdtPr>
            <w:sdtEndPr/>
            <w:sdtContent>
              <w:tr w:rsidR="00E4562F">
                <w:trPr>
                  <w:trHeight w:val="510"/>
                </w:trPr>
                <w:tc>
                  <w:tcPr>
                    <w:tcW w:w="1843" w:type="dxa"/>
                    <w:vMerge w:val="restart"/>
                  </w:tcPr>
                  <w:sdt>
                    <w:sdtPr>
                      <w:rPr>
                        <w:rFonts w:ascii="宋体" w:hAnsi="宋体"/>
                        <w:kern w:val="0"/>
                        <w:sz w:val="20"/>
                        <w:szCs w:val="21"/>
                      </w:rPr>
                      <w:tag w:val="_PLD_bc0f2a0bc30c4288a5bb4f26fe930d4f"/>
                      <w:id w:val="324942126"/>
                      <w:lock w:val="sdtLocked"/>
                    </w:sdtPr>
                    <w:sdtEndPr/>
                    <w:sdtContent>
                      <w:p w:rsidR="00E4562F" w:rsidRDefault="003D0AF6">
                        <w:pPr>
                          <w:jc w:val="left"/>
                          <w:rPr>
                            <w:rFonts w:ascii="宋体" w:hAnsi="宋体"/>
                            <w:kern w:val="0"/>
                            <w:szCs w:val="21"/>
                          </w:rPr>
                        </w:pPr>
                        <w:r>
                          <w:rPr>
                            <w:rFonts w:ascii="宋体" w:hAnsi="宋体"/>
                            <w:kern w:val="0"/>
                            <w:szCs w:val="21"/>
                          </w:rPr>
                          <w:t>大股东及其附属企业</w:t>
                        </w:r>
                      </w:p>
                    </w:sdtContent>
                  </w:sdt>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大股东及其附属企业经营性资金往来方与上市公司的关联关系"/>
                    <w:tag w:val="_GBC_02264ee0809241f4b0b768f134a9f13e"/>
                    <w:id w:val="1956527467"/>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EndPr/>
                  <w:sdtContent>
                    <w:tc>
                      <w:tcPr>
                        <w:tcW w:w="1540"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sdt>
                  <w:sdtPr>
                    <w:rPr>
                      <w:rFonts w:ascii="宋体" w:hAnsi="宋体" w:hint="eastAsia"/>
                      <w:kern w:val="0"/>
                      <w:sz w:val="20"/>
                      <w:szCs w:val="21"/>
                    </w:rPr>
                    <w:alias w:val="大股东及其附属企业经营性资金往来上市公司核算的会计科目"/>
                    <w:tag w:val="_GBC_a5cc41b0e8af4597a402e42878ad53a0"/>
                    <w:id w:val="-901215084"/>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经营性往来</w:t>
                    </w:r>
                  </w:p>
                </w:tc>
              </w:tr>
            </w:sdtContent>
          </w:sdt>
          <w:tr w:rsidR="00E4562F">
            <w:trPr>
              <w:trHeight w:val="510"/>
            </w:trPr>
            <w:tc>
              <w:tcPr>
                <w:tcW w:w="1843" w:type="dxa"/>
                <w:vMerge/>
              </w:tcPr>
              <w:p w:rsidR="00E4562F" w:rsidRDefault="00E4562F">
                <w:pPr>
                  <w:rPr>
                    <w:kern w:val="0"/>
                    <w:sz w:val="20"/>
                    <w:szCs w:val="20"/>
                  </w:rPr>
                </w:pPr>
              </w:p>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大股东及其附属企业经营性资金往来方与上市公司的关联关系"/>
                <w:tag w:val="_GBC_02264ee0809241f4b0b768f134a9f13e"/>
                <w:id w:val="47"/>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EndPr/>
              <w:sdtContent>
                <w:tc>
                  <w:tcPr>
                    <w:tcW w:w="1540"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sdt>
              <w:sdtPr>
                <w:rPr>
                  <w:rFonts w:ascii="宋体" w:hAnsi="宋体" w:hint="eastAsia"/>
                  <w:kern w:val="0"/>
                  <w:sz w:val="20"/>
                  <w:szCs w:val="21"/>
                </w:rPr>
                <w:alias w:val="大股东及其附属企业经营性资金往来上市公司核算的会计科目"/>
                <w:tag w:val="_GBC_a5cc41b0e8af4597a402e42878ad53a0"/>
                <w:id w:val="48"/>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经营性往来</w:t>
                </w:r>
              </w:p>
            </w:tc>
          </w:tr>
          <w:sdt>
            <w:sdtPr>
              <w:rPr>
                <w:rFonts w:ascii="宋体" w:eastAsiaTheme="minorEastAsia" w:hAnsi="宋体" w:cstheme="minorBidi"/>
                <w:szCs w:val="21"/>
              </w:rPr>
              <w:alias w:val="上市公司的子公司及其附属企业非经营性资金往来情况"/>
              <w:tag w:val="_TUP_243deb7837ed4d5f9c10ce5361367617"/>
              <w:id w:val="679241403"/>
              <w:lock w:val="sdtLocked"/>
              <w:placeholder>
                <w:docPart w:val="GBC11111111111111111111111111111"/>
              </w:placeholder>
            </w:sdtPr>
            <w:sdtEndPr/>
            <w:sdtContent>
              <w:tr w:rsidR="00E4562F">
                <w:trPr>
                  <w:trHeight w:val="102"/>
                </w:trPr>
                <w:tc>
                  <w:tcPr>
                    <w:tcW w:w="1843" w:type="dxa"/>
                    <w:vMerge w:val="restart"/>
                  </w:tcPr>
                  <w:sdt>
                    <w:sdtPr>
                      <w:rPr>
                        <w:rFonts w:ascii="宋体" w:hAnsi="宋体"/>
                        <w:kern w:val="0"/>
                        <w:sz w:val="20"/>
                        <w:szCs w:val="21"/>
                      </w:rPr>
                      <w:tag w:val="_PLD_b454b560aac94ed59b03ba24580d827d"/>
                      <w:id w:val="1589654123"/>
                      <w:lock w:val="sdtLocked"/>
                    </w:sdtPr>
                    <w:sdtEndPr/>
                    <w:sdtContent>
                      <w:p w:rsidR="00E4562F" w:rsidRDefault="003D0AF6">
                        <w:pPr>
                          <w:jc w:val="left"/>
                          <w:rPr>
                            <w:rFonts w:ascii="宋体" w:hAnsi="宋体"/>
                            <w:kern w:val="0"/>
                            <w:szCs w:val="21"/>
                          </w:rPr>
                        </w:pPr>
                        <w:r>
                          <w:rPr>
                            <w:rFonts w:ascii="宋体" w:hAnsi="宋体"/>
                            <w:kern w:val="0"/>
                            <w:szCs w:val="21"/>
                          </w:rPr>
                          <w:t>上市公司的子公司及其附属企业</w:t>
                        </w:r>
                      </w:p>
                    </w:sdtContent>
                  </w:sdt>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上市公司的子公司及其附属企业非经营性资金往来方与上市公司的关联关系"/>
                    <w:tag w:val="_GBC_bb3c4c63b61444a7a4648c7a2605b834"/>
                    <w:id w:val="1175375912"/>
                    <w:lock w:val="sdtLocked"/>
                    <w:comboBox>
                      <w:listItem w:displayText="子公司及其控制的法人" w:value="子公司及其控制的法人"/>
                      <w:listItem w:displayText="上市公司的附属企业" w:value="上市公司的附属企业"/>
                    </w:comboBox>
                  </w:sdtPr>
                  <w:sdtEndPr/>
                  <w:sdtContent>
                    <w:tc>
                      <w:tcPr>
                        <w:tcW w:w="1540"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sdt>
                  <w:sdtPr>
                    <w:rPr>
                      <w:rFonts w:ascii="宋体" w:hAnsi="宋体" w:hint="eastAsia"/>
                      <w:kern w:val="0"/>
                      <w:sz w:val="20"/>
                      <w:szCs w:val="21"/>
                    </w:rPr>
                    <w:alias w:val="上市公司的子公司及其附属企业非经营性资金往来上市公司核算的会计科目"/>
                    <w:tag w:val="_GBC_9113986d012841ad860a86b26768ce7a"/>
                    <w:id w:val="627058993"/>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非经营性往来</w:t>
                    </w:r>
                  </w:p>
                </w:tc>
              </w:tr>
            </w:sdtContent>
          </w:sdt>
          <w:tr w:rsidR="00E4562F">
            <w:trPr>
              <w:trHeight w:val="102"/>
            </w:trPr>
            <w:tc>
              <w:tcPr>
                <w:tcW w:w="1843" w:type="dxa"/>
                <w:vMerge/>
              </w:tcPr>
              <w:p w:rsidR="00E4562F" w:rsidRDefault="00E4562F">
                <w:pPr>
                  <w:rPr>
                    <w:kern w:val="0"/>
                    <w:sz w:val="20"/>
                    <w:szCs w:val="20"/>
                  </w:rPr>
                </w:pPr>
              </w:p>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上市公司的子公司及其附属企业非经营性资金往来方与上市公司的关联关系"/>
                <w:tag w:val="_GBC_bb3c4c63b61444a7a4648c7a2605b834"/>
                <w:id w:val="53"/>
                <w:lock w:val="sdtLocked"/>
                <w:comboBox>
                  <w:listItem w:displayText="子公司及其控制的法人" w:value="子公司及其控制的法人"/>
                  <w:listItem w:displayText="上市公司的附属企业" w:value="上市公司的附属企业"/>
                </w:comboBox>
              </w:sdtPr>
              <w:sdtEndPr/>
              <w:sdtContent>
                <w:tc>
                  <w:tcPr>
                    <w:tcW w:w="1540"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sdt>
              <w:sdtPr>
                <w:rPr>
                  <w:rFonts w:ascii="宋体" w:hAnsi="宋体" w:hint="eastAsia"/>
                  <w:kern w:val="0"/>
                  <w:sz w:val="20"/>
                  <w:szCs w:val="21"/>
                </w:rPr>
                <w:alias w:val="上市公司的子公司及其附属企业非经营性资金往来上市公司核算的会计科目"/>
                <w:tag w:val="_GBC_9113986d012841ad860a86b26768ce7a"/>
                <w:id w:val="54"/>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非经营性往来</w:t>
                </w:r>
              </w:p>
            </w:tc>
          </w:tr>
          <w:sdt>
            <w:sdtPr>
              <w:rPr>
                <w:rFonts w:ascii="宋体" w:eastAsiaTheme="minorEastAsia" w:hAnsi="宋体" w:cstheme="minorBidi"/>
                <w:szCs w:val="21"/>
              </w:rPr>
              <w:alias w:val="关联自然人及其控制的法人非经营性资金往来情况"/>
              <w:tag w:val="_TUP_fb1ca2d6544540249df2183b6c96cd35"/>
              <w:id w:val="1535154927"/>
              <w:lock w:val="sdtLocked"/>
              <w:placeholder>
                <w:docPart w:val="GBC11111111111111111111111111111"/>
              </w:placeholder>
            </w:sdtPr>
            <w:sdtEndPr/>
            <w:sdtContent>
              <w:tr w:rsidR="00E4562F">
                <w:trPr>
                  <w:trHeight w:val="388"/>
                </w:trPr>
                <w:tc>
                  <w:tcPr>
                    <w:tcW w:w="1843" w:type="dxa"/>
                  </w:tcPr>
                  <w:sdt>
                    <w:sdtPr>
                      <w:rPr>
                        <w:rFonts w:ascii="宋体" w:hAnsi="宋体"/>
                        <w:kern w:val="0"/>
                        <w:sz w:val="20"/>
                        <w:szCs w:val="21"/>
                      </w:rPr>
                      <w:tag w:val="_PLD_f8998947da4044cca6283c5a0aaf4772"/>
                      <w:id w:val="-1179654956"/>
                      <w:lock w:val="sdtLocked"/>
                    </w:sdtPr>
                    <w:sdtEndPr/>
                    <w:sdtContent>
                      <w:p w:rsidR="00E4562F" w:rsidRDefault="003D0AF6">
                        <w:pPr>
                          <w:jc w:val="left"/>
                          <w:rPr>
                            <w:rFonts w:ascii="宋体" w:hAnsi="宋体"/>
                            <w:kern w:val="0"/>
                            <w:szCs w:val="21"/>
                          </w:rPr>
                        </w:pPr>
                        <w:r>
                          <w:rPr>
                            <w:rFonts w:ascii="宋体" w:hAnsi="宋体"/>
                            <w:kern w:val="0"/>
                            <w:szCs w:val="21"/>
                          </w:rPr>
                          <w:t>关联自然人</w:t>
                        </w:r>
                      </w:p>
                    </w:sdtContent>
                  </w:sdt>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540"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关联自然人及其控制的法人非经营性资金往来上市公司核算的会计科目"/>
                    <w:tag w:val="_GBC_ed6baff0fdb743b8872216f9f3eb1f63"/>
                    <w:id w:val="-521169528"/>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非经营性往来</w:t>
                    </w:r>
                  </w:p>
                </w:tc>
              </w:tr>
            </w:sdtContent>
          </w:sdt>
          <w:sdt>
            <w:sdtPr>
              <w:rPr>
                <w:rFonts w:ascii="宋体" w:eastAsiaTheme="minorEastAsia" w:hAnsi="宋体" w:cstheme="minorBidi"/>
                <w:szCs w:val="21"/>
              </w:rPr>
              <w:alias w:val="关联自然人及其控制的法人非经营性资金往来情况"/>
              <w:tag w:val="_TUP_fb1ca2d6544540249df2183b6c96cd35"/>
              <w:id w:val="58"/>
              <w:lock w:val="sdtLocked"/>
              <w:placeholder>
                <w:docPart w:val="GBC11111111111111111111111111111"/>
              </w:placeholder>
            </w:sdtPr>
            <w:sdtEndPr/>
            <w:sdtContent>
              <w:tr w:rsidR="00E4562F">
                <w:trPr>
                  <w:trHeight w:val="388"/>
                </w:trPr>
                <w:tc>
                  <w:tcPr>
                    <w:tcW w:w="1843" w:type="dxa"/>
                  </w:tcPr>
                  <w:sdt>
                    <w:sdtPr>
                      <w:rPr>
                        <w:rFonts w:ascii="宋体" w:hAnsi="宋体"/>
                        <w:kern w:val="0"/>
                        <w:sz w:val="20"/>
                        <w:szCs w:val="21"/>
                      </w:rPr>
                      <w:tag w:val="_PLD_f8998947da4044cca6283c5a0aaf4772"/>
                      <w:id w:val="59"/>
                      <w:lock w:val="sdtLocked"/>
                    </w:sdtPr>
                    <w:sdtEndPr/>
                    <w:sdtContent>
                      <w:p w:rsidR="00E4562F" w:rsidRDefault="003D0AF6">
                        <w:pPr>
                          <w:jc w:val="left"/>
                          <w:rPr>
                            <w:rFonts w:ascii="宋体" w:hAnsi="宋体"/>
                            <w:kern w:val="0"/>
                            <w:szCs w:val="21"/>
                          </w:rPr>
                        </w:pPr>
                        <w:r>
                          <w:rPr>
                            <w:rFonts w:ascii="宋体" w:hAnsi="宋体"/>
                            <w:kern w:val="0"/>
                            <w:szCs w:val="21"/>
                          </w:rPr>
                          <w:t>关联自然人</w:t>
                        </w:r>
                      </w:p>
                    </w:sdtContent>
                  </w:sdt>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540"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关联自然人及其控制的法人非经营性资金往来上市公司核算的会计科目"/>
                    <w:tag w:val="_GBC_ed6baff0fdb743b8872216f9f3eb1f63"/>
                    <w:id w:val="60"/>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非经营性往来</w:t>
                    </w:r>
                  </w:p>
                </w:tc>
              </w:tr>
            </w:sdtContent>
          </w:sdt>
          <w:sdt>
            <w:sdtPr>
              <w:rPr>
                <w:rFonts w:ascii="宋体" w:eastAsiaTheme="minorEastAsia" w:hAnsi="宋体" w:cstheme="minorBidi"/>
                <w:szCs w:val="21"/>
              </w:rPr>
              <w:alias w:val="其他关联人及其附属企业非经营性资金往来情况"/>
              <w:tag w:val="_TUP_1e5f41ccfad941b4a0623d93723279db"/>
              <w:id w:val="383993154"/>
              <w:lock w:val="sdtLocked"/>
              <w:placeholder>
                <w:docPart w:val="GBC11111111111111111111111111111"/>
              </w:placeholder>
            </w:sdtPr>
            <w:sdtEndPr/>
            <w:sdtContent>
              <w:tr w:rsidR="00E4562F">
                <w:trPr>
                  <w:trHeight w:val="147"/>
                </w:trPr>
                <w:tc>
                  <w:tcPr>
                    <w:tcW w:w="1843" w:type="dxa"/>
                  </w:tcPr>
                  <w:sdt>
                    <w:sdtPr>
                      <w:rPr>
                        <w:rFonts w:ascii="宋体" w:hAnsi="宋体"/>
                        <w:kern w:val="0"/>
                        <w:sz w:val="20"/>
                        <w:szCs w:val="21"/>
                      </w:rPr>
                      <w:tag w:val="_PLD_39fc2cc6d2fd462ca656f9aa6d9dbd59"/>
                      <w:id w:val="-51080029"/>
                      <w:lock w:val="sdtLocked"/>
                    </w:sdtPr>
                    <w:sdtEndPr/>
                    <w:sdtContent>
                      <w:p w:rsidR="00E4562F" w:rsidRDefault="003D0AF6">
                        <w:pPr>
                          <w:jc w:val="left"/>
                          <w:rPr>
                            <w:rFonts w:ascii="宋体" w:hAnsi="宋体"/>
                            <w:kern w:val="0"/>
                            <w:szCs w:val="21"/>
                          </w:rPr>
                        </w:pPr>
                        <w:r>
                          <w:rPr>
                            <w:rFonts w:ascii="宋体" w:hAnsi="宋体"/>
                            <w:kern w:val="0"/>
                            <w:szCs w:val="21"/>
                          </w:rPr>
                          <w:t>其他关联方及其附属企业</w:t>
                        </w:r>
                      </w:p>
                    </w:sdtContent>
                  </w:sdt>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540"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其他关联人及其附属企业非经营性资金往来上市公司核算的会计科目"/>
                    <w:tag w:val="_GBC_b4fa347eb70749d78ef3be08ade73d47"/>
                    <w:id w:val="-1226827825"/>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非经营性往来</w:t>
                    </w:r>
                  </w:p>
                </w:tc>
              </w:tr>
            </w:sdtContent>
          </w:sdt>
          <w:sdt>
            <w:sdtPr>
              <w:rPr>
                <w:rFonts w:ascii="宋体" w:eastAsiaTheme="minorEastAsia" w:hAnsi="宋体" w:cstheme="minorBidi"/>
                <w:szCs w:val="21"/>
              </w:rPr>
              <w:alias w:val="其他关联人及其附属企业非经营性资金往来情况"/>
              <w:tag w:val="_TUP_1e5f41ccfad941b4a0623d93723279db"/>
              <w:id w:val="64"/>
              <w:lock w:val="sdtLocked"/>
              <w:placeholder>
                <w:docPart w:val="GBC11111111111111111111111111111"/>
              </w:placeholder>
            </w:sdtPr>
            <w:sdtEndPr/>
            <w:sdtContent>
              <w:tr w:rsidR="00E4562F">
                <w:trPr>
                  <w:trHeight w:val="147"/>
                </w:trPr>
                <w:tc>
                  <w:tcPr>
                    <w:tcW w:w="1843" w:type="dxa"/>
                  </w:tcPr>
                  <w:sdt>
                    <w:sdtPr>
                      <w:rPr>
                        <w:rFonts w:ascii="宋体" w:hAnsi="宋体"/>
                        <w:kern w:val="0"/>
                        <w:sz w:val="20"/>
                        <w:szCs w:val="21"/>
                      </w:rPr>
                      <w:tag w:val="_PLD_39fc2cc6d2fd462ca656f9aa6d9dbd59"/>
                      <w:id w:val="65"/>
                      <w:lock w:val="sdtLocked"/>
                    </w:sdtPr>
                    <w:sdtEndPr/>
                    <w:sdtContent>
                      <w:p w:rsidR="00E4562F" w:rsidRDefault="003D0AF6">
                        <w:pPr>
                          <w:jc w:val="left"/>
                          <w:rPr>
                            <w:rFonts w:ascii="宋体" w:hAnsi="宋体"/>
                            <w:kern w:val="0"/>
                            <w:szCs w:val="21"/>
                          </w:rPr>
                        </w:pPr>
                        <w:r>
                          <w:rPr>
                            <w:rFonts w:ascii="宋体" w:hAnsi="宋体"/>
                            <w:kern w:val="0"/>
                            <w:szCs w:val="21"/>
                          </w:rPr>
                          <w:t>其他关联方及其附属企业</w:t>
                        </w:r>
                      </w:p>
                    </w:sdtContent>
                  </w:sdt>
                </w:tc>
                <w:tc>
                  <w:tcPr>
                    <w:tcW w:w="1475"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540" w:type="dxa"/>
                  </w:tcPr>
                  <w:p w:rsidR="00E4562F" w:rsidRDefault="003D0AF6">
                    <w:pPr>
                      <w:jc w:val="center"/>
                      <w:rPr>
                        <w:rFonts w:ascii="宋体" w:hAnsi="宋体"/>
                        <w:kern w:val="0"/>
                        <w:sz w:val="20"/>
                        <w:szCs w:val="21"/>
                      </w:rPr>
                    </w:pPr>
                    <w:r>
                      <w:rPr>
                        <w:rFonts w:ascii="宋体" w:hAnsi="宋体" w:hint="eastAsia"/>
                        <w:kern w:val="0"/>
                        <w:sz w:val="20"/>
                        <w:szCs w:val="21"/>
                      </w:rPr>
                      <w:t>无</w:t>
                    </w:r>
                  </w:p>
                </w:tc>
                <w:sdt>
                  <w:sdtPr>
                    <w:rPr>
                      <w:rFonts w:ascii="宋体" w:hAnsi="宋体" w:hint="eastAsia"/>
                      <w:kern w:val="0"/>
                      <w:sz w:val="20"/>
                      <w:szCs w:val="21"/>
                    </w:rPr>
                    <w:alias w:val="其他关联人及其附属企业非经营性资金往来上市公司核算的会计科目"/>
                    <w:tag w:val="_GBC_b4fa347eb70749d78ef3be08ade73d47"/>
                    <w:id w:val="66"/>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sdtContent>
                    <w:tc>
                      <w:tcPr>
                        <w:tcW w:w="1133" w:type="dxa"/>
                      </w:tcPr>
                      <w:p w:rsidR="00E4562F" w:rsidRDefault="003D0AF6">
                        <w:pPr>
                          <w:jc w:val="center"/>
                          <w:rPr>
                            <w:rFonts w:ascii="宋体" w:hAnsi="宋体"/>
                            <w:kern w:val="0"/>
                            <w:szCs w:val="21"/>
                          </w:rPr>
                        </w:pPr>
                        <w:r>
                          <w:rPr>
                            <w:rFonts w:ascii="宋体" w:hAnsi="宋体" w:hint="eastAsia"/>
                            <w:kern w:val="0"/>
                            <w:sz w:val="20"/>
                            <w:szCs w:val="21"/>
                          </w:rPr>
                          <w:t>无</w:t>
                        </w:r>
                      </w:p>
                    </w:tc>
                  </w:sdtContent>
                </w:sdt>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left"/>
                      <w:rPr>
                        <w:rFonts w:ascii="宋体" w:hAnsi="宋体"/>
                        <w:kern w:val="0"/>
                        <w:sz w:val="20"/>
                        <w:szCs w:val="21"/>
                      </w:rPr>
                    </w:pPr>
                    <w:r>
                      <w:rPr>
                        <w:rFonts w:ascii="宋体" w:hAnsi="宋体" w:hint="eastAsia"/>
                        <w:kern w:val="0"/>
                        <w:sz w:val="20"/>
                        <w:szCs w:val="21"/>
                      </w:rPr>
                      <w:t>不适用</w:t>
                    </w:r>
                  </w:p>
                </w:tc>
                <w:tc>
                  <w:tcPr>
                    <w:tcW w:w="1078" w:type="dxa"/>
                  </w:tcPr>
                  <w:p w:rsidR="00E4562F" w:rsidRDefault="003D0AF6">
                    <w:pPr>
                      <w:jc w:val="left"/>
                      <w:rPr>
                        <w:rFonts w:ascii="宋体" w:hAnsi="宋体"/>
                        <w:kern w:val="0"/>
                        <w:szCs w:val="21"/>
                      </w:rPr>
                    </w:pPr>
                    <w:r>
                      <w:rPr>
                        <w:rFonts w:ascii="宋体" w:hAnsi="宋体" w:hint="eastAsia"/>
                        <w:kern w:val="0"/>
                        <w:szCs w:val="21"/>
                        <w:shd w:val="solid" w:color="FFFFFF" w:fill="auto"/>
                      </w:rPr>
                      <w:t>非经营性往来</w:t>
                    </w:r>
                  </w:p>
                </w:tc>
              </w:tr>
            </w:sdtContent>
          </w:sdt>
          <w:tr w:rsidR="00E4562F">
            <w:trPr>
              <w:trHeight w:val="150"/>
            </w:trPr>
            <w:tc>
              <w:tcPr>
                <w:tcW w:w="1843" w:type="dxa"/>
              </w:tcPr>
              <w:sdt>
                <w:sdtPr>
                  <w:rPr>
                    <w:rFonts w:ascii="宋体" w:hAnsi="宋体" w:hint="eastAsia"/>
                    <w:kern w:val="0"/>
                    <w:sz w:val="20"/>
                    <w:szCs w:val="21"/>
                  </w:rPr>
                  <w:tag w:val="_PLD_a6728c85cbfb466ea3c2ce1afe42bf17"/>
                  <w:id w:val="1379585084"/>
                  <w:lock w:val="sdtLocked"/>
                </w:sdtPr>
                <w:sdtEndPr/>
                <w:sdtContent>
                  <w:p w:rsidR="00E4562F" w:rsidRDefault="003D0AF6">
                    <w:pPr>
                      <w:jc w:val="center"/>
                      <w:rPr>
                        <w:rFonts w:ascii="宋体" w:hAnsi="宋体"/>
                        <w:kern w:val="0"/>
                        <w:szCs w:val="21"/>
                      </w:rPr>
                    </w:pPr>
                    <w:r>
                      <w:rPr>
                        <w:rFonts w:ascii="宋体" w:hAnsi="宋体" w:hint="eastAsia"/>
                        <w:kern w:val="0"/>
                        <w:szCs w:val="21"/>
                      </w:rPr>
                      <w:t>总计</w:t>
                    </w:r>
                  </w:p>
                </w:sdtContent>
              </w:sdt>
            </w:tc>
            <w:tc>
              <w:tcPr>
                <w:tcW w:w="1475" w:type="dxa"/>
              </w:tcPr>
              <w:p w:rsidR="00E4562F" w:rsidRDefault="003D0AF6">
                <w:pPr>
                  <w:jc w:val="center"/>
                  <w:rPr>
                    <w:rFonts w:ascii="宋体" w:hAnsi="宋体"/>
                    <w:kern w:val="0"/>
                    <w:szCs w:val="21"/>
                  </w:rPr>
                </w:pPr>
                <w:r>
                  <w:rPr>
                    <w:rFonts w:ascii="宋体" w:hAnsi="宋体" w:hint="eastAsia"/>
                    <w:kern w:val="0"/>
                    <w:szCs w:val="21"/>
                  </w:rPr>
                  <w:t>/</w:t>
                </w:r>
              </w:p>
            </w:tc>
            <w:tc>
              <w:tcPr>
                <w:tcW w:w="1540" w:type="dxa"/>
              </w:tcPr>
              <w:p w:rsidR="00E4562F" w:rsidRDefault="003D0AF6">
                <w:pPr>
                  <w:jc w:val="center"/>
                  <w:rPr>
                    <w:rFonts w:ascii="宋体" w:hAnsi="宋体"/>
                    <w:kern w:val="0"/>
                    <w:szCs w:val="21"/>
                  </w:rPr>
                </w:pPr>
                <w:r>
                  <w:rPr>
                    <w:rFonts w:ascii="宋体" w:hAnsi="宋体" w:hint="eastAsia"/>
                    <w:kern w:val="0"/>
                    <w:szCs w:val="21"/>
                  </w:rPr>
                  <w:t>/</w:t>
                </w:r>
              </w:p>
            </w:tc>
            <w:tc>
              <w:tcPr>
                <w:tcW w:w="1133" w:type="dxa"/>
              </w:tcPr>
              <w:p w:rsidR="00E4562F" w:rsidRDefault="003D0AF6">
                <w:pPr>
                  <w:jc w:val="center"/>
                  <w:rPr>
                    <w:rFonts w:ascii="宋体" w:hAnsi="宋体"/>
                    <w:kern w:val="0"/>
                    <w:szCs w:val="21"/>
                  </w:rPr>
                </w:pPr>
                <w:r>
                  <w:rPr>
                    <w:rFonts w:ascii="宋体" w:hAnsi="宋体" w:hint="eastAsia"/>
                    <w:kern w:val="0"/>
                    <w:szCs w:val="21"/>
                  </w:rPr>
                  <w:t>/</w:t>
                </w:r>
              </w:p>
            </w:tc>
            <w:tc>
              <w:tcPr>
                <w:tcW w:w="1092"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34"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8"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47" w:type="dxa"/>
              </w:tcPr>
              <w:p w:rsidR="00E4562F" w:rsidRDefault="003D0AF6">
                <w:pPr>
                  <w:jc w:val="center"/>
                  <w:rPr>
                    <w:rFonts w:ascii="宋体" w:hAnsi="宋体"/>
                    <w:kern w:val="0"/>
                    <w:sz w:val="20"/>
                    <w:szCs w:val="21"/>
                  </w:rPr>
                </w:pPr>
                <w:r>
                  <w:rPr>
                    <w:rFonts w:ascii="宋体" w:hAnsi="宋体" w:hint="eastAsia"/>
                    <w:kern w:val="0"/>
                    <w:sz w:val="20"/>
                    <w:szCs w:val="21"/>
                  </w:rPr>
                  <w:t>无</w:t>
                </w:r>
              </w:p>
            </w:tc>
            <w:tc>
              <w:tcPr>
                <w:tcW w:w="1190" w:type="dxa"/>
              </w:tcPr>
              <w:p w:rsidR="00E4562F" w:rsidRDefault="003D0AF6">
                <w:pPr>
                  <w:jc w:val="center"/>
                  <w:rPr>
                    <w:rFonts w:ascii="宋体" w:hAnsi="宋体"/>
                    <w:kern w:val="0"/>
                    <w:szCs w:val="21"/>
                  </w:rPr>
                </w:pPr>
                <w:r>
                  <w:rPr>
                    <w:rFonts w:ascii="宋体" w:hAnsi="宋体" w:hint="eastAsia"/>
                    <w:kern w:val="0"/>
                    <w:szCs w:val="21"/>
                  </w:rPr>
                  <w:t>/</w:t>
                </w:r>
              </w:p>
            </w:tc>
            <w:tc>
              <w:tcPr>
                <w:tcW w:w="1078" w:type="dxa"/>
              </w:tcPr>
              <w:p w:rsidR="00E4562F" w:rsidRDefault="003D0AF6">
                <w:pPr>
                  <w:jc w:val="center"/>
                  <w:rPr>
                    <w:rFonts w:ascii="宋体" w:hAnsi="宋体"/>
                    <w:kern w:val="0"/>
                    <w:szCs w:val="21"/>
                  </w:rPr>
                </w:pPr>
                <w:r>
                  <w:rPr>
                    <w:rFonts w:ascii="宋体" w:hAnsi="宋体" w:hint="eastAsia"/>
                    <w:kern w:val="0"/>
                    <w:szCs w:val="21"/>
                  </w:rPr>
                  <w:t>/</w:t>
                </w:r>
              </w:p>
            </w:tc>
          </w:tr>
        </w:tbl>
        <w:p w:rsidR="00E4562F" w:rsidRDefault="003D0AF6">
          <w:pPr>
            <w:autoSpaceDE w:val="0"/>
            <w:autoSpaceDN w:val="0"/>
            <w:ind w:left="416" w:hangingChars="200" w:hanging="416"/>
            <w:rPr>
              <w:rFonts w:ascii="Arial" w:eastAsia="黑体" w:hAnsi="Arial" w:cs="Arial"/>
              <w:w w:val="95"/>
              <w:kern w:val="0"/>
              <w:sz w:val="22"/>
            </w:rPr>
          </w:pPr>
          <w:r>
            <w:rPr>
              <w:rFonts w:ascii="Arial" w:eastAsia="黑体" w:hAnsi="Arial" w:cs="Arial"/>
              <w:w w:val="95"/>
              <w:kern w:val="0"/>
              <w:sz w:val="22"/>
            </w:rPr>
            <w:t>注：本行作为上市的商业银行，经营范围包括贷款及资金业务。本行向关联方发放的贷款及进行的资金业务严格按照中国人民银行的规定开展，不属于一般意义上的关联方占用上市公司资金范畴。有关本行与持有本行</w:t>
          </w:r>
          <w:r>
            <w:rPr>
              <w:rFonts w:ascii="Arial" w:eastAsia="黑体" w:hAnsi="Arial" w:cs="Arial"/>
              <w:w w:val="95"/>
              <w:kern w:val="0"/>
              <w:sz w:val="22"/>
            </w:rPr>
            <w:t>5%</w:t>
          </w:r>
          <w:r>
            <w:rPr>
              <w:rFonts w:ascii="Arial" w:eastAsia="黑体" w:hAnsi="Arial" w:cs="Arial"/>
              <w:w w:val="95"/>
              <w:kern w:val="0"/>
              <w:sz w:val="22"/>
            </w:rPr>
            <w:t>和</w:t>
          </w:r>
          <w:r>
            <w:rPr>
              <w:rFonts w:ascii="Arial" w:eastAsia="黑体" w:hAnsi="Arial" w:cs="Arial"/>
              <w:w w:val="95"/>
              <w:kern w:val="0"/>
              <w:sz w:val="22"/>
            </w:rPr>
            <w:t>5%</w:t>
          </w:r>
          <w:r>
            <w:rPr>
              <w:rFonts w:ascii="Arial" w:eastAsia="黑体" w:hAnsi="Arial" w:cs="Arial"/>
              <w:w w:val="95"/>
              <w:kern w:val="0"/>
              <w:sz w:val="22"/>
            </w:rPr>
            <w:t>以上股份股东及股东集团及其他关联方的重大交易，已在本行</w:t>
          </w:r>
          <w:r>
            <w:rPr>
              <w:rFonts w:ascii="Arial" w:eastAsia="黑体" w:hAnsi="Arial" w:cs="Arial" w:hint="eastAsia"/>
              <w:w w:val="95"/>
              <w:kern w:val="0"/>
              <w:sz w:val="22"/>
            </w:rPr>
            <w:t>2</w:t>
          </w:r>
          <w:r>
            <w:rPr>
              <w:rFonts w:ascii="Arial" w:eastAsia="黑体" w:hAnsi="Arial" w:cs="Arial"/>
              <w:w w:val="95"/>
              <w:kern w:val="0"/>
              <w:sz w:val="22"/>
            </w:rPr>
            <w:t>022</w:t>
          </w:r>
          <w:r>
            <w:rPr>
              <w:rFonts w:ascii="Arial" w:eastAsia="黑体" w:hAnsi="Arial" w:cs="Arial"/>
              <w:w w:val="95"/>
              <w:kern w:val="0"/>
              <w:sz w:val="22"/>
            </w:rPr>
            <w:t>年度经审计的财务报表附注九中披露，未在本表中列示。</w:t>
          </w:r>
        </w:p>
        <w:p w:rsidR="00E4562F" w:rsidRDefault="00694D32">
          <w:pPr>
            <w:sectPr w:rsidR="00E4562F">
              <w:pgSz w:w="16838" w:h="11906" w:orient="landscape"/>
              <w:pgMar w:top="1134" w:right="1440" w:bottom="1800" w:left="1440" w:header="851" w:footer="992" w:gutter="0"/>
              <w:cols w:space="425"/>
              <w:docGrid w:type="lines" w:linePitch="312"/>
            </w:sectPr>
          </w:pPr>
        </w:p>
      </w:sdtContent>
    </w:sdt>
    <w:bookmarkEnd w:id="0"/>
    <w:p w:rsidR="00E4562F" w:rsidRDefault="00E4562F"/>
    <w:sectPr w:rsidR="00E456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BA16C4"/>
    <w:multiLevelType w:val="multilevel"/>
    <w:tmpl w:val="21BA16C4"/>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97F5394"/>
    <w:multiLevelType w:val="multilevel"/>
    <w:tmpl w:val="797F539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attachedTemplate r:id="rId1"/>
  <w:defaultTabStop w:val="420"/>
  <w:drawingGridHorizontalSpacing w:val="105"/>
  <w:drawingGridVerticalSpacing w:val="156"/>
  <w:displayHorizontalDrawingGridEvery w:val="2"/>
  <w:displayVerticalDrawingGridEvery w:val="2"/>
  <w:characterSpacingControl w:val="doNotCompress"/>
  <w:compat>
    <w:useFELayout/>
    <w:compatSetting w:name="compatibilityMode" w:uri="http://schemas.microsoft.com/office/word" w:val="12"/>
  </w:compat>
  <w:docVars>
    <w:docVar w:name="Disclosure_Version" w:val="true"/>
  </w:docVars>
  <w:rsids>
    <w:rsidRoot w:val="00805AFF"/>
    <w:rsid w:val="00000CCB"/>
    <w:rsid w:val="000018EE"/>
    <w:rsid w:val="00002F46"/>
    <w:rsid w:val="00005A7A"/>
    <w:rsid w:val="000063DB"/>
    <w:rsid w:val="000117E9"/>
    <w:rsid w:val="00012EB5"/>
    <w:rsid w:val="00013980"/>
    <w:rsid w:val="00014D3D"/>
    <w:rsid w:val="00015249"/>
    <w:rsid w:val="0001661F"/>
    <w:rsid w:val="000232BB"/>
    <w:rsid w:val="00023AEA"/>
    <w:rsid w:val="00026011"/>
    <w:rsid w:val="00026D63"/>
    <w:rsid w:val="00027E8B"/>
    <w:rsid w:val="00031020"/>
    <w:rsid w:val="00032953"/>
    <w:rsid w:val="00032C45"/>
    <w:rsid w:val="000354FD"/>
    <w:rsid w:val="000368CA"/>
    <w:rsid w:val="00040D87"/>
    <w:rsid w:val="00045A79"/>
    <w:rsid w:val="00046ACD"/>
    <w:rsid w:val="0004775A"/>
    <w:rsid w:val="00047D35"/>
    <w:rsid w:val="00052F85"/>
    <w:rsid w:val="00053E67"/>
    <w:rsid w:val="000557A6"/>
    <w:rsid w:val="00056507"/>
    <w:rsid w:val="00056691"/>
    <w:rsid w:val="00056782"/>
    <w:rsid w:val="00061A66"/>
    <w:rsid w:val="00064D34"/>
    <w:rsid w:val="0006627B"/>
    <w:rsid w:val="00070A26"/>
    <w:rsid w:val="000742B4"/>
    <w:rsid w:val="0007602E"/>
    <w:rsid w:val="00076067"/>
    <w:rsid w:val="000770EF"/>
    <w:rsid w:val="000805C7"/>
    <w:rsid w:val="00083948"/>
    <w:rsid w:val="00085DC8"/>
    <w:rsid w:val="0009124D"/>
    <w:rsid w:val="00092CCA"/>
    <w:rsid w:val="00092D44"/>
    <w:rsid w:val="00095DE4"/>
    <w:rsid w:val="00096914"/>
    <w:rsid w:val="00096A81"/>
    <w:rsid w:val="0009731B"/>
    <w:rsid w:val="000A28EB"/>
    <w:rsid w:val="000A346B"/>
    <w:rsid w:val="000B2A78"/>
    <w:rsid w:val="000B4E8E"/>
    <w:rsid w:val="000B4FB7"/>
    <w:rsid w:val="000B5653"/>
    <w:rsid w:val="000B5AEB"/>
    <w:rsid w:val="000C0FE5"/>
    <w:rsid w:val="000C40C4"/>
    <w:rsid w:val="000C4E1C"/>
    <w:rsid w:val="000D01E5"/>
    <w:rsid w:val="000D0E1C"/>
    <w:rsid w:val="000D2C64"/>
    <w:rsid w:val="000D329C"/>
    <w:rsid w:val="000D47A9"/>
    <w:rsid w:val="000D4BC2"/>
    <w:rsid w:val="000D6FBB"/>
    <w:rsid w:val="000E0E90"/>
    <w:rsid w:val="000E27A8"/>
    <w:rsid w:val="000E2F3C"/>
    <w:rsid w:val="000E2F51"/>
    <w:rsid w:val="000E3A6B"/>
    <w:rsid w:val="000E6756"/>
    <w:rsid w:val="000E7AFC"/>
    <w:rsid w:val="000E7B75"/>
    <w:rsid w:val="000F0A53"/>
    <w:rsid w:val="000F11E7"/>
    <w:rsid w:val="000F14FB"/>
    <w:rsid w:val="000F3E70"/>
    <w:rsid w:val="000F5C23"/>
    <w:rsid w:val="00101B40"/>
    <w:rsid w:val="0010209B"/>
    <w:rsid w:val="001032B8"/>
    <w:rsid w:val="001077F2"/>
    <w:rsid w:val="00110412"/>
    <w:rsid w:val="00110846"/>
    <w:rsid w:val="001113F4"/>
    <w:rsid w:val="001153F9"/>
    <w:rsid w:val="001167C5"/>
    <w:rsid w:val="00116C0B"/>
    <w:rsid w:val="0012004F"/>
    <w:rsid w:val="00120055"/>
    <w:rsid w:val="0012051B"/>
    <w:rsid w:val="00121078"/>
    <w:rsid w:val="00121379"/>
    <w:rsid w:val="00121716"/>
    <w:rsid w:val="001227AE"/>
    <w:rsid w:val="00123032"/>
    <w:rsid w:val="001233F2"/>
    <w:rsid w:val="00124F4A"/>
    <w:rsid w:val="0012694F"/>
    <w:rsid w:val="001313E5"/>
    <w:rsid w:val="00131F21"/>
    <w:rsid w:val="001323F4"/>
    <w:rsid w:val="00133CB7"/>
    <w:rsid w:val="001462E9"/>
    <w:rsid w:val="001462F2"/>
    <w:rsid w:val="00150C9F"/>
    <w:rsid w:val="001540D2"/>
    <w:rsid w:val="001559EE"/>
    <w:rsid w:val="00157476"/>
    <w:rsid w:val="00161680"/>
    <w:rsid w:val="00161A63"/>
    <w:rsid w:val="001642F3"/>
    <w:rsid w:val="001661B9"/>
    <w:rsid w:val="00166A26"/>
    <w:rsid w:val="00167C63"/>
    <w:rsid w:val="001706C5"/>
    <w:rsid w:val="00170731"/>
    <w:rsid w:val="00170FD5"/>
    <w:rsid w:val="00171BDA"/>
    <w:rsid w:val="0017325B"/>
    <w:rsid w:val="00174574"/>
    <w:rsid w:val="00174B29"/>
    <w:rsid w:val="001760FE"/>
    <w:rsid w:val="0017689C"/>
    <w:rsid w:val="00177AA1"/>
    <w:rsid w:val="00181287"/>
    <w:rsid w:val="001879EF"/>
    <w:rsid w:val="00190CB8"/>
    <w:rsid w:val="00192376"/>
    <w:rsid w:val="001A2488"/>
    <w:rsid w:val="001A2F50"/>
    <w:rsid w:val="001A4149"/>
    <w:rsid w:val="001A685A"/>
    <w:rsid w:val="001B1876"/>
    <w:rsid w:val="001B2665"/>
    <w:rsid w:val="001B42FE"/>
    <w:rsid w:val="001B4609"/>
    <w:rsid w:val="001B57FA"/>
    <w:rsid w:val="001B5D85"/>
    <w:rsid w:val="001C080D"/>
    <w:rsid w:val="001C08E5"/>
    <w:rsid w:val="001C0ED4"/>
    <w:rsid w:val="001C235E"/>
    <w:rsid w:val="001C4D84"/>
    <w:rsid w:val="001D0342"/>
    <w:rsid w:val="001D1791"/>
    <w:rsid w:val="001D185A"/>
    <w:rsid w:val="001D4B09"/>
    <w:rsid w:val="001D561E"/>
    <w:rsid w:val="001D5908"/>
    <w:rsid w:val="001D77BF"/>
    <w:rsid w:val="001D7F08"/>
    <w:rsid w:val="001E007B"/>
    <w:rsid w:val="001E140F"/>
    <w:rsid w:val="001E193B"/>
    <w:rsid w:val="001E43C8"/>
    <w:rsid w:val="001E606E"/>
    <w:rsid w:val="001E6519"/>
    <w:rsid w:val="001F060A"/>
    <w:rsid w:val="001F251F"/>
    <w:rsid w:val="001F2D3D"/>
    <w:rsid w:val="001F7084"/>
    <w:rsid w:val="001F7392"/>
    <w:rsid w:val="001F7784"/>
    <w:rsid w:val="001F7BB8"/>
    <w:rsid w:val="001F7E5A"/>
    <w:rsid w:val="00200463"/>
    <w:rsid w:val="0020075B"/>
    <w:rsid w:val="00201D83"/>
    <w:rsid w:val="0020208F"/>
    <w:rsid w:val="00202F29"/>
    <w:rsid w:val="002042D9"/>
    <w:rsid w:val="00204B8C"/>
    <w:rsid w:val="002065A6"/>
    <w:rsid w:val="00206994"/>
    <w:rsid w:val="002076E0"/>
    <w:rsid w:val="00207E20"/>
    <w:rsid w:val="0021217A"/>
    <w:rsid w:val="002123C2"/>
    <w:rsid w:val="002136B4"/>
    <w:rsid w:val="00214AFF"/>
    <w:rsid w:val="00214C61"/>
    <w:rsid w:val="002155CC"/>
    <w:rsid w:val="002162C3"/>
    <w:rsid w:val="002165A0"/>
    <w:rsid w:val="00230A78"/>
    <w:rsid w:val="0024378D"/>
    <w:rsid w:val="00244CB2"/>
    <w:rsid w:val="00250898"/>
    <w:rsid w:val="002522F5"/>
    <w:rsid w:val="00256BA3"/>
    <w:rsid w:val="00257B07"/>
    <w:rsid w:val="00257D87"/>
    <w:rsid w:val="00261C92"/>
    <w:rsid w:val="00263316"/>
    <w:rsid w:val="00265DA0"/>
    <w:rsid w:val="00267843"/>
    <w:rsid w:val="00270F45"/>
    <w:rsid w:val="00271AD0"/>
    <w:rsid w:val="00271DF0"/>
    <w:rsid w:val="00272B4E"/>
    <w:rsid w:val="002745FB"/>
    <w:rsid w:val="00276D1F"/>
    <w:rsid w:val="00282DFD"/>
    <w:rsid w:val="00291C8F"/>
    <w:rsid w:val="0029329A"/>
    <w:rsid w:val="00294932"/>
    <w:rsid w:val="00295477"/>
    <w:rsid w:val="0029606F"/>
    <w:rsid w:val="00297C67"/>
    <w:rsid w:val="002A118A"/>
    <w:rsid w:val="002A2563"/>
    <w:rsid w:val="002A65CC"/>
    <w:rsid w:val="002A7CFD"/>
    <w:rsid w:val="002B0BC2"/>
    <w:rsid w:val="002B1085"/>
    <w:rsid w:val="002B62AC"/>
    <w:rsid w:val="002B6A05"/>
    <w:rsid w:val="002C3F94"/>
    <w:rsid w:val="002C58F0"/>
    <w:rsid w:val="002D136C"/>
    <w:rsid w:val="002D46D0"/>
    <w:rsid w:val="002D50F3"/>
    <w:rsid w:val="002D6DC0"/>
    <w:rsid w:val="002E2E0C"/>
    <w:rsid w:val="002E4CC5"/>
    <w:rsid w:val="002E5BD0"/>
    <w:rsid w:val="002E5E1D"/>
    <w:rsid w:val="002F0212"/>
    <w:rsid w:val="002F0315"/>
    <w:rsid w:val="002F05C5"/>
    <w:rsid w:val="002F1ABC"/>
    <w:rsid w:val="002F2E95"/>
    <w:rsid w:val="002F74F1"/>
    <w:rsid w:val="003007D6"/>
    <w:rsid w:val="00303690"/>
    <w:rsid w:val="003047A9"/>
    <w:rsid w:val="003048B9"/>
    <w:rsid w:val="0030546F"/>
    <w:rsid w:val="0031036C"/>
    <w:rsid w:val="003122F6"/>
    <w:rsid w:val="00313FF1"/>
    <w:rsid w:val="00314C0C"/>
    <w:rsid w:val="003156EE"/>
    <w:rsid w:val="003160CB"/>
    <w:rsid w:val="00321175"/>
    <w:rsid w:val="0032178C"/>
    <w:rsid w:val="00324297"/>
    <w:rsid w:val="00324ADA"/>
    <w:rsid w:val="00324C53"/>
    <w:rsid w:val="0032513B"/>
    <w:rsid w:val="0032531A"/>
    <w:rsid w:val="0032540C"/>
    <w:rsid w:val="00325534"/>
    <w:rsid w:val="00325F17"/>
    <w:rsid w:val="00327731"/>
    <w:rsid w:val="00330895"/>
    <w:rsid w:val="00330BB6"/>
    <w:rsid w:val="0033159B"/>
    <w:rsid w:val="003344A5"/>
    <w:rsid w:val="003352A6"/>
    <w:rsid w:val="00335BF4"/>
    <w:rsid w:val="003432CE"/>
    <w:rsid w:val="00343ED4"/>
    <w:rsid w:val="00344892"/>
    <w:rsid w:val="003472A8"/>
    <w:rsid w:val="00350507"/>
    <w:rsid w:val="00350C9E"/>
    <w:rsid w:val="003515C3"/>
    <w:rsid w:val="00355995"/>
    <w:rsid w:val="003610CF"/>
    <w:rsid w:val="00361423"/>
    <w:rsid w:val="00361569"/>
    <w:rsid w:val="00365709"/>
    <w:rsid w:val="00370148"/>
    <w:rsid w:val="00371F35"/>
    <w:rsid w:val="00371F5A"/>
    <w:rsid w:val="00372C77"/>
    <w:rsid w:val="00373AEC"/>
    <w:rsid w:val="003744EF"/>
    <w:rsid w:val="0037633B"/>
    <w:rsid w:val="00382B0B"/>
    <w:rsid w:val="00384FFE"/>
    <w:rsid w:val="00385B10"/>
    <w:rsid w:val="003865C2"/>
    <w:rsid w:val="00391BA0"/>
    <w:rsid w:val="0039489B"/>
    <w:rsid w:val="003A1002"/>
    <w:rsid w:val="003A1DEA"/>
    <w:rsid w:val="003A1F29"/>
    <w:rsid w:val="003A2266"/>
    <w:rsid w:val="003A4A4B"/>
    <w:rsid w:val="003A63C0"/>
    <w:rsid w:val="003B1711"/>
    <w:rsid w:val="003B738C"/>
    <w:rsid w:val="003B7B49"/>
    <w:rsid w:val="003C363D"/>
    <w:rsid w:val="003C6D37"/>
    <w:rsid w:val="003D0AF6"/>
    <w:rsid w:val="003D2313"/>
    <w:rsid w:val="003D2AC6"/>
    <w:rsid w:val="003D35D0"/>
    <w:rsid w:val="003D39D3"/>
    <w:rsid w:val="003D55BF"/>
    <w:rsid w:val="003D6091"/>
    <w:rsid w:val="003D7564"/>
    <w:rsid w:val="003D7662"/>
    <w:rsid w:val="003D795B"/>
    <w:rsid w:val="003E38F4"/>
    <w:rsid w:val="003E4558"/>
    <w:rsid w:val="003E6AB0"/>
    <w:rsid w:val="003F07F8"/>
    <w:rsid w:val="003F273C"/>
    <w:rsid w:val="003F3AA6"/>
    <w:rsid w:val="003F602C"/>
    <w:rsid w:val="003F6D3C"/>
    <w:rsid w:val="00400479"/>
    <w:rsid w:val="00400612"/>
    <w:rsid w:val="00400CAA"/>
    <w:rsid w:val="0040342C"/>
    <w:rsid w:val="00404234"/>
    <w:rsid w:val="00404680"/>
    <w:rsid w:val="0040527D"/>
    <w:rsid w:val="00405561"/>
    <w:rsid w:val="0040700C"/>
    <w:rsid w:val="00407DAA"/>
    <w:rsid w:val="00407F07"/>
    <w:rsid w:val="00410661"/>
    <w:rsid w:val="0041166F"/>
    <w:rsid w:val="004118CC"/>
    <w:rsid w:val="00412FCF"/>
    <w:rsid w:val="0041470D"/>
    <w:rsid w:val="0041525D"/>
    <w:rsid w:val="00416312"/>
    <w:rsid w:val="00417A54"/>
    <w:rsid w:val="00417B41"/>
    <w:rsid w:val="00420245"/>
    <w:rsid w:val="0042154F"/>
    <w:rsid w:val="0042224A"/>
    <w:rsid w:val="004222D7"/>
    <w:rsid w:val="00424187"/>
    <w:rsid w:val="00424416"/>
    <w:rsid w:val="00425EF7"/>
    <w:rsid w:val="004271E0"/>
    <w:rsid w:val="0043005F"/>
    <w:rsid w:val="004301D4"/>
    <w:rsid w:val="00432538"/>
    <w:rsid w:val="00433306"/>
    <w:rsid w:val="00436895"/>
    <w:rsid w:val="0044122D"/>
    <w:rsid w:val="00441550"/>
    <w:rsid w:val="00441C60"/>
    <w:rsid w:val="00443DEF"/>
    <w:rsid w:val="0044426B"/>
    <w:rsid w:val="00444B47"/>
    <w:rsid w:val="00445292"/>
    <w:rsid w:val="00446536"/>
    <w:rsid w:val="0044660F"/>
    <w:rsid w:val="0045448D"/>
    <w:rsid w:val="004547B9"/>
    <w:rsid w:val="004603D7"/>
    <w:rsid w:val="004623D7"/>
    <w:rsid w:val="004634F0"/>
    <w:rsid w:val="00463FF8"/>
    <w:rsid w:val="004709A7"/>
    <w:rsid w:val="00470C9D"/>
    <w:rsid w:val="00473272"/>
    <w:rsid w:val="0047364C"/>
    <w:rsid w:val="0047534B"/>
    <w:rsid w:val="00485E63"/>
    <w:rsid w:val="0048703B"/>
    <w:rsid w:val="004875F4"/>
    <w:rsid w:val="00490184"/>
    <w:rsid w:val="00492EE8"/>
    <w:rsid w:val="00494BC8"/>
    <w:rsid w:val="0049590D"/>
    <w:rsid w:val="00495B13"/>
    <w:rsid w:val="004A0FC0"/>
    <w:rsid w:val="004A13E0"/>
    <w:rsid w:val="004A2CAF"/>
    <w:rsid w:val="004A3875"/>
    <w:rsid w:val="004A3C0E"/>
    <w:rsid w:val="004A5AB4"/>
    <w:rsid w:val="004A5AC8"/>
    <w:rsid w:val="004A5B95"/>
    <w:rsid w:val="004A64EF"/>
    <w:rsid w:val="004A6B28"/>
    <w:rsid w:val="004B27D6"/>
    <w:rsid w:val="004B3E81"/>
    <w:rsid w:val="004B4133"/>
    <w:rsid w:val="004B695F"/>
    <w:rsid w:val="004B7640"/>
    <w:rsid w:val="004C10AD"/>
    <w:rsid w:val="004C1D95"/>
    <w:rsid w:val="004C309E"/>
    <w:rsid w:val="004C3BBA"/>
    <w:rsid w:val="004D3266"/>
    <w:rsid w:val="004D5A49"/>
    <w:rsid w:val="004D7141"/>
    <w:rsid w:val="004D7A27"/>
    <w:rsid w:val="004E2A42"/>
    <w:rsid w:val="004E2A6C"/>
    <w:rsid w:val="004E520D"/>
    <w:rsid w:val="004E57FE"/>
    <w:rsid w:val="004E638F"/>
    <w:rsid w:val="004F0A5A"/>
    <w:rsid w:val="004F1365"/>
    <w:rsid w:val="004F1D36"/>
    <w:rsid w:val="004F1E92"/>
    <w:rsid w:val="004F22EE"/>
    <w:rsid w:val="004F3C1A"/>
    <w:rsid w:val="004F5279"/>
    <w:rsid w:val="004F5B9B"/>
    <w:rsid w:val="005067E0"/>
    <w:rsid w:val="00506BDA"/>
    <w:rsid w:val="00507BF9"/>
    <w:rsid w:val="00507DDF"/>
    <w:rsid w:val="00510913"/>
    <w:rsid w:val="00514D7E"/>
    <w:rsid w:val="00515390"/>
    <w:rsid w:val="005200B5"/>
    <w:rsid w:val="005200C2"/>
    <w:rsid w:val="00520D70"/>
    <w:rsid w:val="00522C4E"/>
    <w:rsid w:val="00522E17"/>
    <w:rsid w:val="005273B6"/>
    <w:rsid w:val="005301A3"/>
    <w:rsid w:val="00533C2F"/>
    <w:rsid w:val="005353AE"/>
    <w:rsid w:val="00535868"/>
    <w:rsid w:val="005365FF"/>
    <w:rsid w:val="00536616"/>
    <w:rsid w:val="0054124A"/>
    <w:rsid w:val="00542880"/>
    <w:rsid w:val="00542C89"/>
    <w:rsid w:val="005436DB"/>
    <w:rsid w:val="00550011"/>
    <w:rsid w:val="005507F7"/>
    <w:rsid w:val="00550BA5"/>
    <w:rsid w:val="00550E48"/>
    <w:rsid w:val="00550FB5"/>
    <w:rsid w:val="005529E1"/>
    <w:rsid w:val="0055523F"/>
    <w:rsid w:val="00561717"/>
    <w:rsid w:val="005626DA"/>
    <w:rsid w:val="00563F2C"/>
    <w:rsid w:val="00567E22"/>
    <w:rsid w:val="005763B0"/>
    <w:rsid w:val="00581634"/>
    <w:rsid w:val="00581DAF"/>
    <w:rsid w:val="00581DD9"/>
    <w:rsid w:val="00582990"/>
    <w:rsid w:val="005A24EF"/>
    <w:rsid w:val="005A615C"/>
    <w:rsid w:val="005A673F"/>
    <w:rsid w:val="005A7C86"/>
    <w:rsid w:val="005B5D13"/>
    <w:rsid w:val="005B6DC7"/>
    <w:rsid w:val="005C1DD5"/>
    <w:rsid w:val="005C24DA"/>
    <w:rsid w:val="005C34FE"/>
    <w:rsid w:val="005C4C85"/>
    <w:rsid w:val="005C620B"/>
    <w:rsid w:val="005C6B15"/>
    <w:rsid w:val="005D0160"/>
    <w:rsid w:val="005D1F74"/>
    <w:rsid w:val="005D3F0E"/>
    <w:rsid w:val="005D3F62"/>
    <w:rsid w:val="005E1D1E"/>
    <w:rsid w:val="005E27F1"/>
    <w:rsid w:val="005E3380"/>
    <w:rsid w:val="005E4235"/>
    <w:rsid w:val="005E4A95"/>
    <w:rsid w:val="005E7AD7"/>
    <w:rsid w:val="005F1AB8"/>
    <w:rsid w:val="005F1B17"/>
    <w:rsid w:val="005F3223"/>
    <w:rsid w:val="005F3C64"/>
    <w:rsid w:val="005F5004"/>
    <w:rsid w:val="005F62BB"/>
    <w:rsid w:val="00602D9F"/>
    <w:rsid w:val="00605062"/>
    <w:rsid w:val="00610F97"/>
    <w:rsid w:val="00611E76"/>
    <w:rsid w:val="0061403F"/>
    <w:rsid w:val="006154D9"/>
    <w:rsid w:val="006162AA"/>
    <w:rsid w:val="00617A68"/>
    <w:rsid w:val="00621B97"/>
    <w:rsid w:val="00623221"/>
    <w:rsid w:val="0062381A"/>
    <w:rsid w:val="00624970"/>
    <w:rsid w:val="00625AA2"/>
    <w:rsid w:val="0062757C"/>
    <w:rsid w:val="00627B20"/>
    <w:rsid w:val="00627F53"/>
    <w:rsid w:val="00631E64"/>
    <w:rsid w:val="0063449E"/>
    <w:rsid w:val="006363F9"/>
    <w:rsid w:val="00640A79"/>
    <w:rsid w:val="00640B72"/>
    <w:rsid w:val="0064253F"/>
    <w:rsid w:val="0064534B"/>
    <w:rsid w:val="0064537C"/>
    <w:rsid w:val="0064695C"/>
    <w:rsid w:val="00655302"/>
    <w:rsid w:val="00656519"/>
    <w:rsid w:val="00661AA5"/>
    <w:rsid w:val="006658A4"/>
    <w:rsid w:val="006661E6"/>
    <w:rsid w:val="006702D2"/>
    <w:rsid w:val="0067064A"/>
    <w:rsid w:val="00672511"/>
    <w:rsid w:val="0067287C"/>
    <w:rsid w:val="0067749D"/>
    <w:rsid w:val="00677EAD"/>
    <w:rsid w:val="0068042F"/>
    <w:rsid w:val="00680614"/>
    <w:rsid w:val="0068331F"/>
    <w:rsid w:val="006845B7"/>
    <w:rsid w:val="0068534B"/>
    <w:rsid w:val="00685620"/>
    <w:rsid w:val="006876DC"/>
    <w:rsid w:val="00691F33"/>
    <w:rsid w:val="00692F01"/>
    <w:rsid w:val="00694408"/>
    <w:rsid w:val="00694D32"/>
    <w:rsid w:val="00695038"/>
    <w:rsid w:val="006959CD"/>
    <w:rsid w:val="006970B7"/>
    <w:rsid w:val="006971A1"/>
    <w:rsid w:val="006A0BFE"/>
    <w:rsid w:val="006A299B"/>
    <w:rsid w:val="006A2D3C"/>
    <w:rsid w:val="006A336A"/>
    <w:rsid w:val="006A4BFA"/>
    <w:rsid w:val="006A660F"/>
    <w:rsid w:val="006A6F6C"/>
    <w:rsid w:val="006A7A67"/>
    <w:rsid w:val="006B0F9A"/>
    <w:rsid w:val="006B30A8"/>
    <w:rsid w:val="006B31D4"/>
    <w:rsid w:val="006B62F0"/>
    <w:rsid w:val="006B6A06"/>
    <w:rsid w:val="006B77D9"/>
    <w:rsid w:val="006C2562"/>
    <w:rsid w:val="006D04B6"/>
    <w:rsid w:val="006D1F5D"/>
    <w:rsid w:val="006D565D"/>
    <w:rsid w:val="006D6C9E"/>
    <w:rsid w:val="006E33DA"/>
    <w:rsid w:val="006E418E"/>
    <w:rsid w:val="006E78AE"/>
    <w:rsid w:val="006F0688"/>
    <w:rsid w:val="006F2147"/>
    <w:rsid w:val="007001A4"/>
    <w:rsid w:val="00700DD4"/>
    <w:rsid w:val="00701F99"/>
    <w:rsid w:val="00703C2B"/>
    <w:rsid w:val="00706F7E"/>
    <w:rsid w:val="007070E5"/>
    <w:rsid w:val="00707245"/>
    <w:rsid w:val="00714018"/>
    <w:rsid w:val="0071487E"/>
    <w:rsid w:val="00715BB5"/>
    <w:rsid w:val="007166F3"/>
    <w:rsid w:val="00716BC8"/>
    <w:rsid w:val="00716DDC"/>
    <w:rsid w:val="00720664"/>
    <w:rsid w:val="00720CE2"/>
    <w:rsid w:val="00720E76"/>
    <w:rsid w:val="00721021"/>
    <w:rsid w:val="00721891"/>
    <w:rsid w:val="00724D5D"/>
    <w:rsid w:val="00724FCE"/>
    <w:rsid w:val="00727625"/>
    <w:rsid w:val="00730EB6"/>
    <w:rsid w:val="0073267B"/>
    <w:rsid w:val="007326AE"/>
    <w:rsid w:val="00732F2E"/>
    <w:rsid w:val="00734EBD"/>
    <w:rsid w:val="0073633E"/>
    <w:rsid w:val="00737425"/>
    <w:rsid w:val="00741FCC"/>
    <w:rsid w:val="00743F6E"/>
    <w:rsid w:val="0074511B"/>
    <w:rsid w:val="00747BE7"/>
    <w:rsid w:val="00750260"/>
    <w:rsid w:val="00750517"/>
    <w:rsid w:val="00752474"/>
    <w:rsid w:val="00752CE4"/>
    <w:rsid w:val="007568D6"/>
    <w:rsid w:val="007605CB"/>
    <w:rsid w:val="007612AC"/>
    <w:rsid w:val="00763FAA"/>
    <w:rsid w:val="007657DF"/>
    <w:rsid w:val="007659A3"/>
    <w:rsid w:val="00767168"/>
    <w:rsid w:val="00770579"/>
    <w:rsid w:val="007721DE"/>
    <w:rsid w:val="00773D8C"/>
    <w:rsid w:val="0077426A"/>
    <w:rsid w:val="00774F89"/>
    <w:rsid w:val="00777202"/>
    <w:rsid w:val="0077756A"/>
    <w:rsid w:val="00777F1A"/>
    <w:rsid w:val="007831AC"/>
    <w:rsid w:val="0078368B"/>
    <w:rsid w:val="0078452D"/>
    <w:rsid w:val="007874FB"/>
    <w:rsid w:val="007905E4"/>
    <w:rsid w:val="00790D32"/>
    <w:rsid w:val="007924EB"/>
    <w:rsid w:val="007940F6"/>
    <w:rsid w:val="00794F72"/>
    <w:rsid w:val="00796248"/>
    <w:rsid w:val="007A0085"/>
    <w:rsid w:val="007A04AB"/>
    <w:rsid w:val="007A166C"/>
    <w:rsid w:val="007A1EFD"/>
    <w:rsid w:val="007A2A77"/>
    <w:rsid w:val="007A30B3"/>
    <w:rsid w:val="007A358D"/>
    <w:rsid w:val="007A4395"/>
    <w:rsid w:val="007A4C6F"/>
    <w:rsid w:val="007A5CD5"/>
    <w:rsid w:val="007A6A6D"/>
    <w:rsid w:val="007A7E09"/>
    <w:rsid w:val="007B19E8"/>
    <w:rsid w:val="007B1BC0"/>
    <w:rsid w:val="007B2380"/>
    <w:rsid w:val="007B2586"/>
    <w:rsid w:val="007B27B2"/>
    <w:rsid w:val="007C1336"/>
    <w:rsid w:val="007C264C"/>
    <w:rsid w:val="007C6A1B"/>
    <w:rsid w:val="007D02AD"/>
    <w:rsid w:val="007D0D85"/>
    <w:rsid w:val="007D128E"/>
    <w:rsid w:val="007D18DB"/>
    <w:rsid w:val="007D1FEB"/>
    <w:rsid w:val="007D3187"/>
    <w:rsid w:val="007D3777"/>
    <w:rsid w:val="007D4858"/>
    <w:rsid w:val="007D69CB"/>
    <w:rsid w:val="007D6C17"/>
    <w:rsid w:val="007E0031"/>
    <w:rsid w:val="007E027D"/>
    <w:rsid w:val="007E32B4"/>
    <w:rsid w:val="007E6834"/>
    <w:rsid w:val="007E779F"/>
    <w:rsid w:val="007F1AAF"/>
    <w:rsid w:val="007F2640"/>
    <w:rsid w:val="007F358C"/>
    <w:rsid w:val="00803E1E"/>
    <w:rsid w:val="00805AFF"/>
    <w:rsid w:val="008072EF"/>
    <w:rsid w:val="008074FD"/>
    <w:rsid w:val="008110A1"/>
    <w:rsid w:val="00813EA6"/>
    <w:rsid w:val="00814FAB"/>
    <w:rsid w:val="0081671B"/>
    <w:rsid w:val="008229B7"/>
    <w:rsid w:val="00824C64"/>
    <w:rsid w:val="00825AD4"/>
    <w:rsid w:val="00827362"/>
    <w:rsid w:val="00831BDB"/>
    <w:rsid w:val="00835434"/>
    <w:rsid w:val="008366CB"/>
    <w:rsid w:val="008367EB"/>
    <w:rsid w:val="00840D43"/>
    <w:rsid w:val="00840E11"/>
    <w:rsid w:val="00841368"/>
    <w:rsid w:val="00842B27"/>
    <w:rsid w:val="00844E1F"/>
    <w:rsid w:val="008505DE"/>
    <w:rsid w:val="00851AA5"/>
    <w:rsid w:val="00852C68"/>
    <w:rsid w:val="00853284"/>
    <w:rsid w:val="008568B9"/>
    <w:rsid w:val="0085733F"/>
    <w:rsid w:val="00860B59"/>
    <w:rsid w:val="0086112D"/>
    <w:rsid w:val="00864490"/>
    <w:rsid w:val="00865C41"/>
    <w:rsid w:val="00866A4C"/>
    <w:rsid w:val="00870E80"/>
    <w:rsid w:val="008726A4"/>
    <w:rsid w:val="00874DC8"/>
    <w:rsid w:val="00876214"/>
    <w:rsid w:val="00877A27"/>
    <w:rsid w:val="00880B34"/>
    <w:rsid w:val="00882666"/>
    <w:rsid w:val="00883C9C"/>
    <w:rsid w:val="00883F16"/>
    <w:rsid w:val="00886E2B"/>
    <w:rsid w:val="0088751D"/>
    <w:rsid w:val="00896ED2"/>
    <w:rsid w:val="008B3640"/>
    <w:rsid w:val="008B5DE2"/>
    <w:rsid w:val="008B75D1"/>
    <w:rsid w:val="008B79FC"/>
    <w:rsid w:val="008C005D"/>
    <w:rsid w:val="008C1E57"/>
    <w:rsid w:val="008C638D"/>
    <w:rsid w:val="008D0C3A"/>
    <w:rsid w:val="008D0F42"/>
    <w:rsid w:val="008D2169"/>
    <w:rsid w:val="008D3108"/>
    <w:rsid w:val="008D3843"/>
    <w:rsid w:val="008D462D"/>
    <w:rsid w:val="008D574B"/>
    <w:rsid w:val="008D589F"/>
    <w:rsid w:val="008D5D6C"/>
    <w:rsid w:val="008D6785"/>
    <w:rsid w:val="008E0358"/>
    <w:rsid w:val="008E14D0"/>
    <w:rsid w:val="008E2332"/>
    <w:rsid w:val="008E2604"/>
    <w:rsid w:val="008E35EF"/>
    <w:rsid w:val="008E371A"/>
    <w:rsid w:val="008E3C1B"/>
    <w:rsid w:val="008E3C62"/>
    <w:rsid w:val="008E51CB"/>
    <w:rsid w:val="008E76F7"/>
    <w:rsid w:val="008F0074"/>
    <w:rsid w:val="008F0FE1"/>
    <w:rsid w:val="008F1330"/>
    <w:rsid w:val="008F3734"/>
    <w:rsid w:val="008F48E3"/>
    <w:rsid w:val="008F4E6F"/>
    <w:rsid w:val="008F7731"/>
    <w:rsid w:val="008F7ABD"/>
    <w:rsid w:val="00900F45"/>
    <w:rsid w:val="00901727"/>
    <w:rsid w:val="00902243"/>
    <w:rsid w:val="00904737"/>
    <w:rsid w:val="00912D97"/>
    <w:rsid w:val="00914086"/>
    <w:rsid w:val="0091451E"/>
    <w:rsid w:val="00914930"/>
    <w:rsid w:val="00916774"/>
    <w:rsid w:val="00917FB2"/>
    <w:rsid w:val="00920243"/>
    <w:rsid w:val="009209F3"/>
    <w:rsid w:val="00923223"/>
    <w:rsid w:val="009244A4"/>
    <w:rsid w:val="009257EB"/>
    <w:rsid w:val="00925CC2"/>
    <w:rsid w:val="00926D73"/>
    <w:rsid w:val="00932A3D"/>
    <w:rsid w:val="00942039"/>
    <w:rsid w:val="00942E70"/>
    <w:rsid w:val="009440A3"/>
    <w:rsid w:val="0094435D"/>
    <w:rsid w:val="0094472B"/>
    <w:rsid w:val="00944762"/>
    <w:rsid w:val="00947907"/>
    <w:rsid w:val="00953E39"/>
    <w:rsid w:val="00954B1B"/>
    <w:rsid w:val="00955AF0"/>
    <w:rsid w:val="0096003F"/>
    <w:rsid w:val="00960369"/>
    <w:rsid w:val="00961214"/>
    <w:rsid w:val="00962B5A"/>
    <w:rsid w:val="00964875"/>
    <w:rsid w:val="00965F0B"/>
    <w:rsid w:val="009665FE"/>
    <w:rsid w:val="00967233"/>
    <w:rsid w:val="009711EE"/>
    <w:rsid w:val="00977129"/>
    <w:rsid w:val="009776FF"/>
    <w:rsid w:val="009777B2"/>
    <w:rsid w:val="0098136A"/>
    <w:rsid w:val="00981863"/>
    <w:rsid w:val="00981A9A"/>
    <w:rsid w:val="00983558"/>
    <w:rsid w:val="00991953"/>
    <w:rsid w:val="00993952"/>
    <w:rsid w:val="009969AE"/>
    <w:rsid w:val="0099705B"/>
    <w:rsid w:val="009A11C1"/>
    <w:rsid w:val="009A4A2B"/>
    <w:rsid w:val="009A56AC"/>
    <w:rsid w:val="009A75D4"/>
    <w:rsid w:val="009B4A08"/>
    <w:rsid w:val="009B5E75"/>
    <w:rsid w:val="009B64B4"/>
    <w:rsid w:val="009B70B2"/>
    <w:rsid w:val="009C067A"/>
    <w:rsid w:val="009C130F"/>
    <w:rsid w:val="009C1440"/>
    <w:rsid w:val="009C216B"/>
    <w:rsid w:val="009C2446"/>
    <w:rsid w:val="009C3B31"/>
    <w:rsid w:val="009C49C8"/>
    <w:rsid w:val="009C6031"/>
    <w:rsid w:val="009C6741"/>
    <w:rsid w:val="009D013E"/>
    <w:rsid w:val="009D0FE2"/>
    <w:rsid w:val="009D10B8"/>
    <w:rsid w:val="009D477A"/>
    <w:rsid w:val="009D67EF"/>
    <w:rsid w:val="009E4725"/>
    <w:rsid w:val="009E5287"/>
    <w:rsid w:val="009E5D0A"/>
    <w:rsid w:val="009F03C4"/>
    <w:rsid w:val="00A01E2D"/>
    <w:rsid w:val="00A04DD4"/>
    <w:rsid w:val="00A11676"/>
    <w:rsid w:val="00A11F76"/>
    <w:rsid w:val="00A12F89"/>
    <w:rsid w:val="00A164C0"/>
    <w:rsid w:val="00A1665F"/>
    <w:rsid w:val="00A22276"/>
    <w:rsid w:val="00A22312"/>
    <w:rsid w:val="00A22A4C"/>
    <w:rsid w:val="00A2306D"/>
    <w:rsid w:val="00A23B7F"/>
    <w:rsid w:val="00A332C6"/>
    <w:rsid w:val="00A3469D"/>
    <w:rsid w:val="00A349FA"/>
    <w:rsid w:val="00A37A1D"/>
    <w:rsid w:val="00A46D89"/>
    <w:rsid w:val="00A47111"/>
    <w:rsid w:val="00A47352"/>
    <w:rsid w:val="00A502D5"/>
    <w:rsid w:val="00A525FF"/>
    <w:rsid w:val="00A561DA"/>
    <w:rsid w:val="00A56F14"/>
    <w:rsid w:val="00A56F5D"/>
    <w:rsid w:val="00A57EFB"/>
    <w:rsid w:val="00A62595"/>
    <w:rsid w:val="00A62F63"/>
    <w:rsid w:val="00A632E1"/>
    <w:rsid w:val="00A63A29"/>
    <w:rsid w:val="00A66008"/>
    <w:rsid w:val="00A713ED"/>
    <w:rsid w:val="00A71C7A"/>
    <w:rsid w:val="00A72C32"/>
    <w:rsid w:val="00A73100"/>
    <w:rsid w:val="00A73B50"/>
    <w:rsid w:val="00A751DF"/>
    <w:rsid w:val="00A8205E"/>
    <w:rsid w:val="00A83816"/>
    <w:rsid w:val="00A8514B"/>
    <w:rsid w:val="00A85632"/>
    <w:rsid w:val="00A87BD6"/>
    <w:rsid w:val="00A92D2A"/>
    <w:rsid w:val="00A93C87"/>
    <w:rsid w:val="00A95C05"/>
    <w:rsid w:val="00AA234A"/>
    <w:rsid w:val="00AA2E8C"/>
    <w:rsid w:val="00AA4922"/>
    <w:rsid w:val="00AB03A9"/>
    <w:rsid w:val="00AB07E4"/>
    <w:rsid w:val="00AB1141"/>
    <w:rsid w:val="00AB11F8"/>
    <w:rsid w:val="00AB6AE2"/>
    <w:rsid w:val="00AC01CE"/>
    <w:rsid w:val="00AC08D9"/>
    <w:rsid w:val="00AC0E39"/>
    <w:rsid w:val="00AC2B2E"/>
    <w:rsid w:val="00AC2DFC"/>
    <w:rsid w:val="00AC5A8A"/>
    <w:rsid w:val="00AC6298"/>
    <w:rsid w:val="00AD0992"/>
    <w:rsid w:val="00AD488D"/>
    <w:rsid w:val="00AD5F80"/>
    <w:rsid w:val="00AD7540"/>
    <w:rsid w:val="00AE0682"/>
    <w:rsid w:val="00AE0E7D"/>
    <w:rsid w:val="00AE1C29"/>
    <w:rsid w:val="00AE34A5"/>
    <w:rsid w:val="00AE3D71"/>
    <w:rsid w:val="00AE563E"/>
    <w:rsid w:val="00AE69D8"/>
    <w:rsid w:val="00AE7585"/>
    <w:rsid w:val="00AF0943"/>
    <w:rsid w:val="00AF5099"/>
    <w:rsid w:val="00AF5C63"/>
    <w:rsid w:val="00B03387"/>
    <w:rsid w:val="00B03D95"/>
    <w:rsid w:val="00B050F6"/>
    <w:rsid w:val="00B05C74"/>
    <w:rsid w:val="00B12D75"/>
    <w:rsid w:val="00B12E4E"/>
    <w:rsid w:val="00B12F47"/>
    <w:rsid w:val="00B260DB"/>
    <w:rsid w:val="00B263C4"/>
    <w:rsid w:val="00B26521"/>
    <w:rsid w:val="00B2666B"/>
    <w:rsid w:val="00B26763"/>
    <w:rsid w:val="00B32CD4"/>
    <w:rsid w:val="00B417D5"/>
    <w:rsid w:val="00B433F4"/>
    <w:rsid w:val="00B43CBE"/>
    <w:rsid w:val="00B4654E"/>
    <w:rsid w:val="00B467FA"/>
    <w:rsid w:val="00B46878"/>
    <w:rsid w:val="00B46A26"/>
    <w:rsid w:val="00B515C2"/>
    <w:rsid w:val="00B53C75"/>
    <w:rsid w:val="00B64CC8"/>
    <w:rsid w:val="00B665CA"/>
    <w:rsid w:val="00B713B9"/>
    <w:rsid w:val="00B7186F"/>
    <w:rsid w:val="00B74046"/>
    <w:rsid w:val="00B76104"/>
    <w:rsid w:val="00B76F51"/>
    <w:rsid w:val="00B7773D"/>
    <w:rsid w:val="00B77E6B"/>
    <w:rsid w:val="00B81CDF"/>
    <w:rsid w:val="00B83658"/>
    <w:rsid w:val="00B8418A"/>
    <w:rsid w:val="00B86B63"/>
    <w:rsid w:val="00B877B5"/>
    <w:rsid w:val="00B91857"/>
    <w:rsid w:val="00B95BA5"/>
    <w:rsid w:val="00BA1F23"/>
    <w:rsid w:val="00BA2025"/>
    <w:rsid w:val="00BA3CC6"/>
    <w:rsid w:val="00BA5DFC"/>
    <w:rsid w:val="00BA6F21"/>
    <w:rsid w:val="00BA708E"/>
    <w:rsid w:val="00BB54AA"/>
    <w:rsid w:val="00BB6185"/>
    <w:rsid w:val="00BC2931"/>
    <w:rsid w:val="00BC2AEB"/>
    <w:rsid w:val="00BC2B60"/>
    <w:rsid w:val="00BC60BF"/>
    <w:rsid w:val="00BD01F8"/>
    <w:rsid w:val="00BD2047"/>
    <w:rsid w:val="00BD78C9"/>
    <w:rsid w:val="00BE0958"/>
    <w:rsid w:val="00BE3A7C"/>
    <w:rsid w:val="00BE66AB"/>
    <w:rsid w:val="00BE66B9"/>
    <w:rsid w:val="00BF10EC"/>
    <w:rsid w:val="00BF28E9"/>
    <w:rsid w:val="00BF3945"/>
    <w:rsid w:val="00BF4298"/>
    <w:rsid w:val="00BF50FF"/>
    <w:rsid w:val="00BF68D0"/>
    <w:rsid w:val="00BF7741"/>
    <w:rsid w:val="00C0152F"/>
    <w:rsid w:val="00C024D8"/>
    <w:rsid w:val="00C02833"/>
    <w:rsid w:val="00C02F0A"/>
    <w:rsid w:val="00C04B12"/>
    <w:rsid w:val="00C050AD"/>
    <w:rsid w:val="00C060CC"/>
    <w:rsid w:val="00C06741"/>
    <w:rsid w:val="00C10600"/>
    <w:rsid w:val="00C1190C"/>
    <w:rsid w:val="00C14EFC"/>
    <w:rsid w:val="00C1544A"/>
    <w:rsid w:val="00C17945"/>
    <w:rsid w:val="00C2088B"/>
    <w:rsid w:val="00C20DB2"/>
    <w:rsid w:val="00C25202"/>
    <w:rsid w:val="00C25675"/>
    <w:rsid w:val="00C27BA3"/>
    <w:rsid w:val="00C31317"/>
    <w:rsid w:val="00C32BB5"/>
    <w:rsid w:val="00C438B8"/>
    <w:rsid w:val="00C457AF"/>
    <w:rsid w:val="00C47660"/>
    <w:rsid w:val="00C5360C"/>
    <w:rsid w:val="00C53CF4"/>
    <w:rsid w:val="00C54517"/>
    <w:rsid w:val="00C6231B"/>
    <w:rsid w:val="00C63277"/>
    <w:rsid w:val="00C65855"/>
    <w:rsid w:val="00C65A45"/>
    <w:rsid w:val="00C65FEE"/>
    <w:rsid w:val="00C742C0"/>
    <w:rsid w:val="00C757E6"/>
    <w:rsid w:val="00C76B7F"/>
    <w:rsid w:val="00C7710E"/>
    <w:rsid w:val="00C80A51"/>
    <w:rsid w:val="00C81A30"/>
    <w:rsid w:val="00C81CFD"/>
    <w:rsid w:val="00C81EF0"/>
    <w:rsid w:val="00C8250C"/>
    <w:rsid w:val="00C82804"/>
    <w:rsid w:val="00C838E2"/>
    <w:rsid w:val="00C83BDB"/>
    <w:rsid w:val="00C9595E"/>
    <w:rsid w:val="00C97FC7"/>
    <w:rsid w:val="00CA2323"/>
    <w:rsid w:val="00CA27C4"/>
    <w:rsid w:val="00CA41FF"/>
    <w:rsid w:val="00CA66B8"/>
    <w:rsid w:val="00CB668B"/>
    <w:rsid w:val="00CC10D0"/>
    <w:rsid w:val="00CC43AF"/>
    <w:rsid w:val="00CC527C"/>
    <w:rsid w:val="00CC768F"/>
    <w:rsid w:val="00CD21CD"/>
    <w:rsid w:val="00CD3ABD"/>
    <w:rsid w:val="00CD5D89"/>
    <w:rsid w:val="00CD69C0"/>
    <w:rsid w:val="00CD6FCC"/>
    <w:rsid w:val="00CD795B"/>
    <w:rsid w:val="00CE0442"/>
    <w:rsid w:val="00CE393B"/>
    <w:rsid w:val="00CE3A3A"/>
    <w:rsid w:val="00CE43C9"/>
    <w:rsid w:val="00CE46D1"/>
    <w:rsid w:val="00CE5DCA"/>
    <w:rsid w:val="00CE695B"/>
    <w:rsid w:val="00CF2ADA"/>
    <w:rsid w:val="00CF4575"/>
    <w:rsid w:val="00CF54B8"/>
    <w:rsid w:val="00CF5F0F"/>
    <w:rsid w:val="00CF6191"/>
    <w:rsid w:val="00CF693B"/>
    <w:rsid w:val="00D01AAF"/>
    <w:rsid w:val="00D03651"/>
    <w:rsid w:val="00D0554D"/>
    <w:rsid w:val="00D079C1"/>
    <w:rsid w:val="00D11868"/>
    <w:rsid w:val="00D11DE5"/>
    <w:rsid w:val="00D126F1"/>
    <w:rsid w:val="00D12C1D"/>
    <w:rsid w:val="00D13F96"/>
    <w:rsid w:val="00D14FA2"/>
    <w:rsid w:val="00D17770"/>
    <w:rsid w:val="00D2034C"/>
    <w:rsid w:val="00D207E2"/>
    <w:rsid w:val="00D26BC4"/>
    <w:rsid w:val="00D27606"/>
    <w:rsid w:val="00D31E00"/>
    <w:rsid w:val="00D3284C"/>
    <w:rsid w:val="00D44DF9"/>
    <w:rsid w:val="00D45E30"/>
    <w:rsid w:val="00D45E39"/>
    <w:rsid w:val="00D463D4"/>
    <w:rsid w:val="00D47341"/>
    <w:rsid w:val="00D47BA8"/>
    <w:rsid w:val="00D50978"/>
    <w:rsid w:val="00D526F4"/>
    <w:rsid w:val="00D56F9C"/>
    <w:rsid w:val="00D57748"/>
    <w:rsid w:val="00D60F05"/>
    <w:rsid w:val="00D625BF"/>
    <w:rsid w:val="00D63EF7"/>
    <w:rsid w:val="00D646AF"/>
    <w:rsid w:val="00D7078D"/>
    <w:rsid w:val="00D71CCA"/>
    <w:rsid w:val="00D73502"/>
    <w:rsid w:val="00D739F7"/>
    <w:rsid w:val="00D74BD8"/>
    <w:rsid w:val="00D76C88"/>
    <w:rsid w:val="00D76E53"/>
    <w:rsid w:val="00D7749D"/>
    <w:rsid w:val="00D80FAE"/>
    <w:rsid w:val="00D83865"/>
    <w:rsid w:val="00D85D90"/>
    <w:rsid w:val="00D86410"/>
    <w:rsid w:val="00D87666"/>
    <w:rsid w:val="00D90D6F"/>
    <w:rsid w:val="00D922DD"/>
    <w:rsid w:val="00D92513"/>
    <w:rsid w:val="00D938CF"/>
    <w:rsid w:val="00D94BBC"/>
    <w:rsid w:val="00D96F1E"/>
    <w:rsid w:val="00D97BEB"/>
    <w:rsid w:val="00DA0EF0"/>
    <w:rsid w:val="00DA16A2"/>
    <w:rsid w:val="00DA4347"/>
    <w:rsid w:val="00DA4F7B"/>
    <w:rsid w:val="00DB316F"/>
    <w:rsid w:val="00DB38A9"/>
    <w:rsid w:val="00DB3A6F"/>
    <w:rsid w:val="00DB5E0E"/>
    <w:rsid w:val="00DB6CD0"/>
    <w:rsid w:val="00DC2450"/>
    <w:rsid w:val="00DC30AC"/>
    <w:rsid w:val="00DC4D18"/>
    <w:rsid w:val="00DC5124"/>
    <w:rsid w:val="00DC70F7"/>
    <w:rsid w:val="00DC76CF"/>
    <w:rsid w:val="00DD00AC"/>
    <w:rsid w:val="00DD70E2"/>
    <w:rsid w:val="00DD7E06"/>
    <w:rsid w:val="00DE1C62"/>
    <w:rsid w:val="00DE3DB2"/>
    <w:rsid w:val="00DE4DEE"/>
    <w:rsid w:val="00DE6E0C"/>
    <w:rsid w:val="00DF0078"/>
    <w:rsid w:val="00DF08B8"/>
    <w:rsid w:val="00DF0EE7"/>
    <w:rsid w:val="00DF1A9F"/>
    <w:rsid w:val="00DF2E35"/>
    <w:rsid w:val="00DF368E"/>
    <w:rsid w:val="00DF4301"/>
    <w:rsid w:val="00DF657A"/>
    <w:rsid w:val="00DF65C3"/>
    <w:rsid w:val="00E00484"/>
    <w:rsid w:val="00E0075C"/>
    <w:rsid w:val="00E00DBC"/>
    <w:rsid w:val="00E01A1F"/>
    <w:rsid w:val="00E027F2"/>
    <w:rsid w:val="00E02EA6"/>
    <w:rsid w:val="00E07270"/>
    <w:rsid w:val="00E10458"/>
    <w:rsid w:val="00E11286"/>
    <w:rsid w:val="00E12F32"/>
    <w:rsid w:val="00E14320"/>
    <w:rsid w:val="00E14FAE"/>
    <w:rsid w:val="00E162E3"/>
    <w:rsid w:val="00E22523"/>
    <w:rsid w:val="00E22F1F"/>
    <w:rsid w:val="00E240FA"/>
    <w:rsid w:val="00E25AEB"/>
    <w:rsid w:val="00E25BE1"/>
    <w:rsid w:val="00E33513"/>
    <w:rsid w:val="00E406DC"/>
    <w:rsid w:val="00E43031"/>
    <w:rsid w:val="00E44DD1"/>
    <w:rsid w:val="00E4562F"/>
    <w:rsid w:val="00E573C5"/>
    <w:rsid w:val="00E577C1"/>
    <w:rsid w:val="00E579F5"/>
    <w:rsid w:val="00E62B4A"/>
    <w:rsid w:val="00E634A6"/>
    <w:rsid w:val="00E659DF"/>
    <w:rsid w:val="00E70043"/>
    <w:rsid w:val="00E735D6"/>
    <w:rsid w:val="00E74FF3"/>
    <w:rsid w:val="00E75E33"/>
    <w:rsid w:val="00E7705A"/>
    <w:rsid w:val="00E774AA"/>
    <w:rsid w:val="00E86905"/>
    <w:rsid w:val="00E874E6"/>
    <w:rsid w:val="00E907D4"/>
    <w:rsid w:val="00E915AB"/>
    <w:rsid w:val="00E92A62"/>
    <w:rsid w:val="00E92F2F"/>
    <w:rsid w:val="00E95AC1"/>
    <w:rsid w:val="00E9723E"/>
    <w:rsid w:val="00EA0934"/>
    <w:rsid w:val="00EA548D"/>
    <w:rsid w:val="00EA5859"/>
    <w:rsid w:val="00EA624D"/>
    <w:rsid w:val="00EA6792"/>
    <w:rsid w:val="00EB2979"/>
    <w:rsid w:val="00EB2A25"/>
    <w:rsid w:val="00EB2C36"/>
    <w:rsid w:val="00EB4219"/>
    <w:rsid w:val="00EB62DA"/>
    <w:rsid w:val="00EC1EE7"/>
    <w:rsid w:val="00EC263C"/>
    <w:rsid w:val="00EC290B"/>
    <w:rsid w:val="00EC2B3B"/>
    <w:rsid w:val="00EC49E6"/>
    <w:rsid w:val="00ED3DCA"/>
    <w:rsid w:val="00ED52F4"/>
    <w:rsid w:val="00EE1D25"/>
    <w:rsid w:val="00EF3B72"/>
    <w:rsid w:val="00EF71D0"/>
    <w:rsid w:val="00F0011F"/>
    <w:rsid w:val="00F00995"/>
    <w:rsid w:val="00F00C10"/>
    <w:rsid w:val="00F01A9E"/>
    <w:rsid w:val="00F05F34"/>
    <w:rsid w:val="00F06724"/>
    <w:rsid w:val="00F13197"/>
    <w:rsid w:val="00F132F1"/>
    <w:rsid w:val="00F1687C"/>
    <w:rsid w:val="00F21CD1"/>
    <w:rsid w:val="00F22685"/>
    <w:rsid w:val="00F2275D"/>
    <w:rsid w:val="00F23244"/>
    <w:rsid w:val="00F246D7"/>
    <w:rsid w:val="00F32EAC"/>
    <w:rsid w:val="00F34467"/>
    <w:rsid w:val="00F352FF"/>
    <w:rsid w:val="00F3740F"/>
    <w:rsid w:val="00F37F45"/>
    <w:rsid w:val="00F42647"/>
    <w:rsid w:val="00F434AD"/>
    <w:rsid w:val="00F43C1F"/>
    <w:rsid w:val="00F45432"/>
    <w:rsid w:val="00F46F45"/>
    <w:rsid w:val="00F52C73"/>
    <w:rsid w:val="00F53143"/>
    <w:rsid w:val="00F55924"/>
    <w:rsid w:val="00F55AD2"/>
    <w:rsid w:val="00F61197"/>
    <w:rsid w:val="00F67912"/>
    <w:rsid w:val="00F715B2"/>
    <w:rsid w:val="00F7288B"/>
    <w:rsid w:val="00F76331"/>
    <w:rsid w:val="00F808E7"/>
    <w:rsid w:val="00F80FC2"/>
    <w:rsid w:val="00F84BD9"/>
    <w:rsid w:val="00F84EB8"/>
    <w:rsid w:val="00F85DA9"/>
    <w:rsid w:val="00F865EB"/>
    <w:rsid w:val="00F8788D"/>
    <w:rsid w:val="00F91096"/>
    <w:rsid w:val="00F94200"/>
    <w:rsid w:val="00F95C22"/>
    <w:rsid w:val="00F96838"/>
    <w:rsid w:val="00F97A94"/>
    <w:rsid w:val="00FA2D51"/>
    <w:rsid w:val="00FA35D0"/>
    <w:rsid w:val="00FA45F3"/>
    <w:rsid w:val="00FA6406"/>
    <w:rsid w:val="00FA6C25"/>
    <w:rsid w:val="00FB1D23"/>
    <w:rsid w:val="00FB2D30"/>
    <w:rsid w:val="00FB662E"/>
    <w:rsid w:val="00FC193E"/>
    <w:rsid w:val="00FC6F1B"/>
    <w:rsid w:val="00FD0EEF"/>
    <w:rsid w:val="00FD2443"/>
    <w:rsid w:val="00FD2E67"/>
    <w:rsid w:val="00FD5975"/>
    <w:rsid w:val="00FD6B5A"/>
    <w:rsid w:val="00FD6E5B"/>
    <w:rsid w:val="00FE092A"/>
    <w:rsid w:val="00FE0ADB"/>
    <w:rsid w:val="00FE1027"/>
    <w:rsid w:val="00FE3E53"/>
    <w:rsid w:val="00FE79C1"/>
    <w:rsid w:val="00FE7C97"/>
    <w:rsid w:val="00FF029D"/>
    <w:rsid w:val="00FF1AE3"/>
    <w:rsid w:val="00FF4015"/>
    <w:rsid w:val="00FF4583"/>
    <w:rsid w:val="00FF479A"/>
    <w:rsid w:val="00FF4B28"/>
    <w:rsid w:val="00FF7BE5"/>
    <w:rsid w:val="00FF7CDA"/>
    <w:rsid w:val="231C4736"/>
    <w:rsid w:val="2B0950F9"/>
    <w:rsid w:val="6A1267C7"/>
    <w:rsid w:val="7A2A05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90D971-CC67-430F-9099-1E970023E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unhideWhenUsed/>
    <w:qFormat/>
    <w:pPr>
      <w:keepNext/>
      <w:keepLines/>
      <w:spacing w:before="60" w:after="60"/>
      <w:outlineLvl w:val="1"/>
    </w:pPr>
    <w:rPr>
      <w:rFonts w:asciiTheme="majorHAnsi" w:eastAsia="宋体"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99"/>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laceholder Text"/>
    <w:basedOn w:val="a0"/>
    <w:uiPriority w:val="99"/>
    <w:semiHidden/>
    <w:qFormat/>
    <w:rPr>
      <w:color w:val="auto"/>
    </w:rPr>
  </w:style>
  <w:style w:type="character" w:customStyle="1" w:styleId="2Char">
    <w:name w:val="标题 2 Char"/>
    <w:basedOn w:val="a0"/>
    <w:link w:val="2"/>
    <w:uiPriority w:val="9"/>
    <w:qFormat/>
    <w:rPr>
      <w:rFonts w:asciiTheme="majorHAnsi" w:eastAsia="宋体" w:hAnsiTheme="majorHAnsi" w:cstheme="majorBidi"/>
      <w:b/>
      <w:bCs/>
      <w:szCs w:val="32"/>
    </w:rPr>
  </w:style>
  <w:style w:type="paragraph" w:styleId="a9">
    <w:name w:val="List Paragraph"/>
    <w:basedOn w:val="a"/>
    <w:uiPriority w:val="34"/>
    <w:qFormat/>
    <w:pPr>
      <w:ind w:firstLineChars="200" w:firstLine="420"/>
    </w:pPr>
  </w:style>
  <w:style w:type="character" w:customStyle="1" w:styleId="Char">
    <w:name w:val="批注框文本 Char"/>
    <w:basedOn w:val="a0"/>
    <w:link w:val="a4"/>
    <w:uiPriority w:val="99"/>
    <w:semiHidden/>
    <w:qFormat/>
    <w:rPr>
      <w:sz w:val="18"/>
      <w:szCs w:val="18"/>
    </w:rPr>
  </w:style>
  <w:style w:type="character" w:customStyle="1" w:styleId="Char1">
    <w:name w:val="页眉 Char"/>
    <w:basedOn w:val="a0"/>
    <w:link w:val="a6"/>
    <w:uiPriority w:val="99"/>
    <w:qFormat/>
    <w:rPr>
      <w:kern w:val="2"/>
      <w:sz w:val="18"/>
      <w:szCs w:val="18"/>
    </w:rPr>
  </w:style>
  <w:style w:type="character" w:customStyle="1" w:styleId="Char0">
    <w:name w:val="页脚 Char"/>
    <w:basedOn w:val="a0"/>
    <w:link w:val="a5"/>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glossaryDocument" Target="glossary/document.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mb-use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GBC11111111111111111111111111111"/>
        <w:category>
          <w:name w:val="常规"/>
          <w:gallery w:val="placeholder"/>
        </w:category>
        <w:types>
          <w:type w:val="bbPlcHdr"/>
        </w:types>
        <w:behaviors>
          <w:behavior w:val="content"/>
        </w:behaviors>
        <w:guid w:val="{C46B409F-DEC6-4502-A271-CDAD743A4228}"/>
      </w:docPartPr>
      <w:docPartBody>
        <w:p w:rsidR="00CB7FBE" w:rsidRDefault="002F3F5F">
          <w:r>
            <w:rPr>
              <w:rStyle w:val="a3"/>
            </w:rPr>
            <w:t xml:space="preserve">　</w:t>
          </w:r>
        </w:p>
      </w:docPartBody>
    </w:docPart>
    <w:docPart>
      <w:docPartPr>
        <w:name w:val="GBC22222222222222222222222222222"/>
        <w:category>
          <w:name w:val="常规"/>
          <w:gallery w:val="placeholder"/>
        </w:category>
        <w:types>
          <w:type w:val="bbPlcHdr"/>
        </w:types>
        <w:behaviors>
          <w:behavior w:val="content"/>
        </w:behaviors>
        <w:guid w:val="{1DCB3E83-DAB9-43CD-96C1-AEC2914DC8E2}"/>
      </w:docPartPr>
      <w:docPartBody>
        <w:p w:rsidR="00CB7FBE" w:rsidRDefault="002F3F5F">
          <w:pPr>
            <w:pStyle w:val="33CF930CA9D146EFB976284C6C6E3CB0"/>
          </w:pPr>
          <w:r>
            <w:rPr>
              <w:rStyle w:val="a3"/>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1FB"/>
    <w:rsid w:val="00006E6B"/>
    <w:rsid w:val="000C0E71"/>
    <w:rsid w:val="001F6DE4"/>
    <w:rsid w:val="00264084"/>
    <w:rsid w:val="002F3F5F"/>
    <w:rsid w:val="00454478"/>
    <w:rsid w:val="00506FBF"/>
    <w:rsid w:val="00530CFC"/>
    <w:rsid w:val="005360BF"/>
    <w:rsid w:val="00711595"/>
    <w:rsid w:val="007362A5"/>
    <w:rsid w:val="008001FB"/>
    <w:rsid w:val="00877EB3"/>
    <w:rsid w:val="009905B7"/>
    <w:rsid w:val="009D67FB"/>
    <w:rsid w:val="009E2C3E"/>
    <w:rsid w:val="00B53E36"/>
    <w:rsid w:val="00CA4E76"/>
    <w:rsid w:val="00CB7FBE"/>
    <w:rsid w:val="00D96C36"/>
    <w:rsid w:val="00DD3241"/>
    <w:rsid w:val="00E617A2"/>
    <w:rsid w:val="00EC580C"/>
    <w:rsid w:val="00EC7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33CF930CA9D146EFB976284C6C6E3CB0">
    <w:name w:val="33CF930CA9D146EFB976284C6C6E3CB0"/>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mapping xmlns:m="http://mapping.word.org/2012/mapping">
  <m:namespaceDeclare prefix="clcid-gcd" namespaceURI="http://www.xbrl-cn.org/cn/lcid/rpt/gcd/2006-12-31"/>
  <m:namespaceDeclare prefix="clcid-cgi" namespaceURI="http://www.xbrl-cn.org/cn/lcid/rpt/cgi/2006-12-31"/>
  <m:document name="601187_厦门银行_2022年_非经营性资金占用及其他关联资金往来情况.docx" version="0" optimized="false" originalVersion="0" taggingType="Axis" siblingTextSaved="true">
    <m:item xlName="_GBC_95d98726569a48f6907b10101d8e582e" concept="clcid-cgi:GongSiFaDingZhongWenMingCheng" label="公司法定中文名称"/>
    <m:section xlName="_SEC_70c72612375340aca6969a081b3d4196" title="非经营性资金占用及其他关联资金往来情况表">
      <m:item xlName="_GBC_29a7fb4f63d849af85d987c2a1b9fad4" concept="clcid-cgi:GongSiFaDingZhongWenMingCheng" label="公司法定中文名称" keyCode="FADING_MINGCHENG" keyAction="5"/>
    </m:section>
    <m:section xlName="_SEC_4c8f3c212e754b3691575db9a087f8b5" title="上市公司报告期控股股东及其他关联方资金占用情况汇总表">
      <m:item xlName="_GBC_6befa58c923946e89e7dde863e93ec70" indRef="1" concept="clcid-ci-ar:DanWeiShangShiGongSiBenNianNianDuKongGuGuDongJiQiTaGuanLianFangZiJinZhanYongQingKuangHuiZongBiao" label="单位：上市公司本年年度控股股东及其他关联方资金占用情况汇总表" selectOptions="_buildInScales" controlType="Combobox" cellType="Scale"/>
      <m:placeholder xlName="_PLD_b48d71c810904ea0bcd250aea442a506" wordText="非经营性资金占用" addr="T0R0C0S1_1"/>
      <m:placeholder xlName="_PLD_8d951c1fdf854ec4b9a407f441996220" wordText="资金占用方名称" addr="T0R0C1S1_1"/>
      <m:placeholder xlName="_PLD_dd4b561accab473cbcc9c5282acd8ed9" wordText="占用方与上市公司的关联关系" addr="T0R0C2S1_1"/>
      <m:placeholder xlName="_PLD_5d275183748d41c297580da1d177c5e7" wordText="上市公司核算的会计科目" addr="T0R0C3S1_1"/>
      <m:placeholder xlName="_PLD_a7ffc4cfe19e4ba498c403f35d5799bb" wordText="2022年期初占用资金余额" addr="T0R0C4S1_1"/>
      <m:placeholder xlName="_PLD_9320d6b6e633450f8dde5ea23091d57f" wordText="2022年度占用累计发生金额(不含利息)" addr="T0R0C5S1_1"/>
      <m:placeholder xlName="_PLD_51e5f22c93bd44cdb47889bf781fbd9e" wordText="2022年度占用资金的利息(如有)" addr="T0R0C6S1_1"/>
      <m:placeholder xlName="_PLD_a9c88f196d5c4f919dbc400349abd2de" wordText="2022年度偿还累计发生金额" addr="T0R0C7S1_1"/>
      <m:placeholder xlName="_PLD_c39e8eb759484de79d4283ec71056dc7" wordText="2022年期末占用资金余额" addr="T0R0C8S1_1"/>
      <m:placeholder xlName="_PLD_c7e5669a0e0b4340b236804d999f496d" wordText="占用形成原因" addr="T0R0C9S1_1"/>
      <m:placeholder xlName="_PLD_9f1b281a038f4253acc594f40b36b085" wordText="占用性质" addr="T0R0C10S1_1"/>
      <m:tuple xlName="_TUP_f2c5269e1b894ab582949e9efcc3ac0a" concept="clcid-mr:XianDaGuDongJiQiFuShuQiYeFeiJingYingXingZiJinZhanYongQingKuang" label="现控股股东及其他关联方非经营性资金占用情况" default_row="2" usage="5" addr="T0R1C">
        <m:placeholder xlName="_PLD_02fcc2548e244e09a6c6cdac7d987e8c" wordText="现大股东及其附属企业" autoRowSpan="true" addr="T0R1C0S2_1"/>
        <m:item xlName="_GBC_ed6a06a21e0042fda766d78cd681bc1c" concept="clcid-mr:XianDaGuDongJiQiFuShuQiYeFeiJingYingXingZiJinZhanYongFangMingCheng" label="现大股东及其附属企业非经营性资金占用方名称" addr="T0R1C1S1_1"/>
        <m:item xlName="_GBC_4826c7a1a91242c2bd6ad5b98af01b19" concept="clcid-mr:XianDaGuDongJiQiFuShuQiYeFeiJingYingXingZiJinZhanYongFangYuShangShiGongSiDeGuanLianGuanXi" label="现大股东及其附属企业非经营性资金占用方与上市公司的关联关系" selectOptions="3e237a4a6516472dafc56b279a1c206f" addr="T0R1C2S1_1" controlType="Combobox"/>
        <m:item xlName="_GBC_8412a79e88fe41cdbf8e4d5d4b47dbe0" concept="clcid-mr:XianDaGuDongJiQiFuShuQiYeFeiJingYingXingZiJinZhanYongShangShiGongSiHeSuanDeKuaiJiKeMu" label="现大股东及其附属企业非经营性资金占用上市公司核算的会计科目" selectOptions="484e4478ba294b98a31735c28d0c16c2" addr="T0R1C3S1_1" controlType="Combobox"/>
        <m:item xlName="_GBC_b23d8ac4398e42518bad999fb67752a4" concept="clcid-mr:XianDaGuDongJiQiFuShuQiYeFeiJingYingXingZhanYongZiJinYuE" label="现大股东及其附属企业非经营性占用资金余额" periodRef="本期期初数" mulRef="_GBC_6befa58c923946e89e7dde863e93ec70" addr="T0R1C4S1_1" formatStyle="Comma"/>
        <m:item xlName="_GBC_d20f5f395939462583ea073400e92506" concept="clcid-mr:XianDaGuDongJiQiFuShuQiYeFeiJingYingXingZiJinZhanYongLeiJiFaShengJinEBuHanLiXi" label="现大股东及其附属企业非经营性资金占用累计发生金额（不含利息）" mulRef="_GBC_6befa58c923946e89e7dde863e93ec70" addr="T0R1C5S1_1" formatStyle="Comma"/>
        <m:item xlName="_GBC_e710e7d2663845d39aecfce7f887955a" concept="clcid-mr:XianDaGuDongJiQiFuShuQiYeFeiJingYingXingZhanYongZiJinDeLiXi" label="现大股东及其附属企业非经营性占用资金的利息" mulRef="_GBC_6befa58c923946e89e7dde863e93ec70" addr="T0R1C6S1_1" formatStyle="Comma"/>
        <m:item xlName="_GBC_581e383f6e0942a08de026bbf8aa4583" concept="clcid-mr:XianDaGuDongJiQiFuShuQiYeFeiJingYingXingChangHuanLeiJiFaShengJinE" label="现大股东及其附属企业非经营性偿还累计发生金额" mulRef="_GBC_6befa58c923946e89e7dde863e93ec70" addr="T0R1C7S1_1" formatStyle="Comma"/>
        <m:item xlName="_GBC_38cb6f70a88842fca27cf3a0960a3dcb" concept="clcid-mr:XianDaGuDongJiQiFuShuQiYeFeiJingYingXingZhanYongZiJinYuE" label="现大股东及其附属企业非经营性占用资金余额" mulRef="_GBC_6befa58c923946e89e7dde863e93ec70" addr="T0R1C8S1_1" formatStyle="Comma"/>
        <m:item xlName="_GBC_103a4efbcb1b47ae8d5cf20d08d52fb3" concept="clcid-mr:XianDaGuDongJiQiFuShuQiYeFeiJingYingXingZhanYongYuanYin" label="现大股东及其附属企业非经营性占用原因" addr="T0R1C9S1_1"/>
        <m:item xlName="_GBC_c4f282b7649643eb90f6e228ccb1997b" concept="clcid-mr:XianDaGuDongJiQiFuShuQiYeFeiJingYingXingZiJinZhanYongXingZhi" label="现控股股东及其他关联方非经营性资金占用性质" addr="T0R1C10S1_1"/>
      </m:tuple>
      <m:placeholder xlName="_PLD_90e6a4e3784e4acc9008d080733a12c8" wordText="小计" addr="T0R3C0S1_1"/>
      <m:item xlName="_GBC_0ad71b67161e4ab59f7ecc40d17d75e5" concept="clcid-mr:XianDaGuDongJiQiFuShuQiYeZiJinZhanYongYuEXiaoJi" label="现大股东及其附属企业资金占用余额小计" periodRef="本期期初数" mulRef="_GBC_6befa58c923946e89e7dde863e93ec70" addr="T0R3C4S1_1" formatStyle="Comma"/>
      <m:item xlName="_GBC_92b08989cd404ad0b3f93cfe6345f88f" concept="clcid-mr:XianDaGuDongJiQiFuShuQiYeZiJinZhanYongLeiJiFaShengJinEXiaoJi" label="现大股东及其附属企业资金占用累计发生金额小计" mulRef="_GBC_6befa58c923946e89e7dde863e93ec70" addr="T0R3C5S1_1" formatStyle="Comma"/>
      <m:item xlName="_GBC_833a45118fde4f0a827630c9b0e5b52f" concept="clcid-mr:XianDaGuDongJiQiFuShuQiYeZiJinZhanYongDeLiXiXiaoJi" label="现大股东及其附属企业资金占用的利息小计" mulRef="_GBC_6befa58c923946e89e7dde863e93ec70" addr="T0R3C6S1_1" formatStyle="Comma"/>
      <m:item xlName="_GBC_3c64b6fd2670442d901f870c4a678397" concept="clcid-mr:XianDaGuDongJiQiFuShuQiYeZiJinZhanYongChangHuanLeiJiFaShengJinEXiaoJi" label="现大股东及其附属企业资金占用偿还累计发生金额小计" mulRef="_GBC_6befa58c923946e89e7dde863e93ec70" addr="T0R3C7S1_1" formatStyle="Comma"/>
      <m:item xlName="_GBC_25892681766b4a34bf2b9f9eea745477" concept="clcid-mr:XianDaGuDongJiQiFuShuQiYeZiJinZhanYongYuEXiaoJi" label="现大股东及其附属企业资金占用余额小计" mulRef="_GBC_6befa58c923946e89e7dde863e93ec70" addr="T0R3C8S1_1" formatStyle="Comma"/>
      <m:tuple xlName="_TUP_15814e0b43814302b25105db0987818b" concept="clcid-mr:QianDaGuDongJiQiFuShuQiYeFeiJingYingXingZiJinZhanYongQingKuang" label="前控股股东及其他关联方非经营性资金占用情况" default_row="2" usage="5" addr="T0R4C">
        <m:placeholder xlName="_PLD_1df5620fad2b4defa3df0689530b6d0e" wordText="前大股东及其附属企业" autoRowSpan="true" addr="T0R4C0S2_1"/>
        <m:item xlName="_GBC_f6d98ceefcfc4f9085b93baf5761e33e" concept="clcid-mr:QianDaGuDongJiQiFuShuQiYeFeiJingYingXingZiJinZhanYongFangMingCheng" label="前大股东及其附属企业非经营性资金占用方名称" addr="T0R4C1S1_1"/>
        <m:item xlName="_GBC_28a0e6ebe909412790ad723bdef0ac6d" concept="clcid-mr:QianDaGuDongJiQiFuShuQiYeFeiJingYingXingZiJinZhanYongFangYuShangShiGongSiDeGuanLianGuanXi" label="前大股东及其附属企业非经营性资金占用方与上市公司的关联关系" selectOptions="e39bd39d0882488f9c16fefacaad9959" addr="T0R4C2S1_1" controlType="Combobox"/>
        <m:item xlName="_GBC_b2509e78d475426e9d85d25a332442c7" concept="clcid-mr:QianDaGuDongJiQiFuShuQiYeFeiJingYingXingZiJinZhanYongShangShiGongSiHeSuanDeKuaiJiKeMu" label="前大股东及其附属企业非经营性资金占用上市公司核算的会计科目" selectOptions="484e4478ba294b98a31735c28d0c16c2" addr="T0R4C3S1_1" controlType="Combobox"/>
        <m:item xlName="_GBC_adef1cecd6ea450e80601e9b32b528eb" concept="clcid-mr:QianDaGuDongJiQiFuShuQiYeFeiJingYingXingZhanYongZiJinYuE" label="前大股东及其附属企业非经营性占用资金余额" periodRef="本期期初数" mulRef="_GBC_6befa58c923946e89e7dde863e93ec70" addr="T0R4C4S1_1" formatStyle="Comma"/>
        <m:item xlName="_GBC_1fe8d4391d0043f5a8d34508eb365ded" concept="clcid-mr:QianDaGuDongJiQiFuShuQiYeFeiJingYingXingZiJinZhanYongLeiJiFaShengJinEBuHanLiXi" label="前大股东及其附属企业非经营性资金占用累计发生金额（不含利息）" mulRef="_GBC_6befa58c923946e89e7dde863e93ec70" addr="T0R4C5S1_1" formatStyle="Comma"/>
        <m:item xlName="_GBC_ee303b0c370e41de9e4c3bf24a3b2326" concept="clcid-mr:QianDaGuDongJiQiFuShuQiYeFeiJingYingXingZhanYongZiJinDeLiXi" label="前大股东及其附属企业非经营性占用资金的利息" mulRef="_GBC_6befa58c923946e89e7dde863e93ec70" addr="T0R4C6S1_1" formatStyle="Comma"/>
        <m:item xlName="_GBC_d4aff28f6afd45a0b8733abfb38dbf7a" concept="clcid-mr:QianDaGuDongJiQiFuShuQiYeFeiJingYingXingChangHuanLeiJiFaShengJinE" label="前大股东及其附属企业非经营性偿还累计发生金额" mulRef="_GBC_6befa58c923946e89e7dde863e93ec70" addr="T0R4C7S1_1" formatStyle="Comma"/>
        <m:item xlName="_GBC_9095bc4849824c54841ee2b7116edf74" concept="clcid-mr:QianDaGuDongJiQiFuShuQiYeFeiJingYingXingZhanYongZiJinYuE" label="前大股东及其附属企业非经营性占用资金余额" mulRef="_GBC_6befa58c923946e89e7dde863e93ec70" addr="T0R4C8S1_1" formatStyle="Comma"/>
        <m:item xlName="_GBC_4b4604243dd741d487eec10f6b2cdd3a" concept="clcid-mr:QianDaGuDongJiQiFuShuQiYeFeiJingYingXingZhanYongYuanYin" label="前大股东及其附属企业非经营性占用原因" addr="T0R4C9S1_1"/>
        <m:item xlName="_GBC_bb30c5a1e7c44f0caaa3bbca7935f9d6" concept="clcid-mr:QianDaGuDongJiQiFuShuQiYeFeiJingYingXingZiJinZhanYongXingZhi" label="前控股股东及其他关联方非经营性资金占用性质" addr="T0R4C10S1_1"/>
      </m:tuple>
      <m:placeholder xlName="_PLD_2ee3b03d311e4f93af3a9f493de704ae" wordText="小计" addr="T0R6C0S1_1"/>
      <m:item xlName="_GBC_77cdf2cad58c470c877180790ef9ad40" concept="clcid-mr:YuanDaGuDongJiQiFuShuQiYeZiJinZhanYongYuEXiaoJi" label="原大股东及其附属企业资金占用余额小计" periodRef="本期期初数" mulRef="_GBC_6befa58c923946e89e7dde863e93ec70" addr="T0R6C4S1_1" formatStyle="Comma"/>
      <m:item xlName="_GBC_ca9209b22c7f46d0a30c4b999410da8b" concept="clcid-mr:YuanDaGuDongJiQiFuShuQiYeZiJinZhanYongLeiJiFaShengJinEXiaoJi" label="原大股东及其附属企业资金占用累计发生金额小计" mulRef="_GBC_6befa58c923946e89e7dde863e93ec70" addr="T0R6C5S1_1" formatStyle="Comma"/>
      <m:item xlName="_GBC_360c686b1e224554aab03d0b15a03df9" concept="clcid-mr:YuanDaGuDongJiQiFuShuQiYeZiJinZhanYongDeLiXiXiaoJi" label="原大股东及其附属企业资金占用的利息小计" mulRef="_GBC_6befa58c923946e89e7dde863e93ec70" addr="T0R6C6S1_1" formatStyle="Comma"/>
      <m:item xlName="_GBC_2a9818c2d88544d2ae2f241fcd1d266e" concept="clcid-mr:YuanDaGuDongJiQiFuShuQiYeZiJinZhanYongChangHuanLeiJiFaShengJinEXiaoJi" label="原大股东及其附属企业资金占用偿还累计发生金额小计" mulRef="_GBC_6befa58c923946e89e7dde863e93ec70" addr="T0R6C7S1_1" formatStyle="Comma"/>
      <m:item xlName="_GBC_5bd6e74e20974cea989c26958ab5c1b1" concept="clcid-mr:YuanDaGuDongJiQiFuShuQiYeZiJinZhanYongYuEXiaoJi" label="原大股东及其附属企业资金占用余额小计" mulRef="_GBC_6befa58c923946e89e7dde863e93ec70" addr="T0R6C8S1_1" formatStyle="Comma"/>
      <m:placeholder xlName="_PLD_eafd71a9aaca417693031c7e6e4e53e3" wordText="总计" addr="T0R7C0S1_1"/>
      <m:item xlName="_GBC_57654c1ad82f4de997e4bfb1eae52e92" concept="clcid-mr:FeiJingYingXingZiJinZhanYongYuEXiaoJi" label="非经营性资金占用余额小计" periodRef="本期期初数" mulRef="_GBC_6befa58c923946e89e7dde863e93ec70" addr="T0R7C4S1_1" formatStyle="Comma"/>
      <m:item xlName="_GBC_c9f50e620f4f462aa1d3d2918a86606a" concept="clcid-mr:FeiJingYingXingZiJinZhanYongLeiJiFaShengJinEXiaoJi" label="非经营性资金占用累计发生金额小计" mulRef="_GBC_6befa58c923946e89e7dde863e93ec70" addr="T0R7C5S1_1" formatStyle="Comma"/>
      <m:item xlName="_GBC_4708f67091894551902f54153f6c0155" concept="clcid-mr:FeiJingYingXingZiJinZhanYongDeLiXiXiaoJi" label="非经营性资金占用的利息小计" mulRef="_GBC_6befa58c923946e89e7dde863e93ec70" addr="T0R7C6S1_1" formatStyle="Comma"/>
      <m:item xlName="_GBC_215eea6bb82e4990b4458ff4c5f5b37f" concept="clcid-mr:FeiJingYingXingZiJinZhanYongChangHuanLeiJiFaShengJinEXiaoJi" label="非经营性资金占用偿还累计发生金额小计" mulRef="_GBC_6befa58c923946e89e7dde863e93ec70" addr="T0R7C7S1_1" formatStyle="Comma"/>
      <m:item xlName="_GBC_8851b5b1208c4b4a8d3916d646f90162" concept="clcid-mr:FeiJingYingXingZiJinZhanYongYuEXiaoJi" label="非经营性资金占用余额小计" mulRef="_GBC_6befa58c923946e89e7dde863e93ec70" addr="T0R7C8S1_1" formatStyle="Comma"/>
      <m:placeholder xlName="_PLD_eb55db702bbb4dac93d8b6add2576d17" wordText="其他关联资金往来" addr="T0R8C0S1_1"/>
      <m:placeholder xlName="_PLD_5a45dea9cb5e4343b4e4419f867ddfe1" wordText="资金往来方名称" addr="T0R8C1S1_1"/>
      <m:placeholder xlName="_PLD_857f50f66c704e038b43a4eec541a334" wordText="往来方与上市公司的关系" addr="T0R8C2S1_1"/>
      <m:placeholder xlName="_PLD_fcbed7e94be149a3bedb80242574ba48" wordText="上市公司核算的会计科目" addr="T0R8C3S1_1"/>
      <m:placeholder xlName="_PLD_1c7b6fc566bb45f19145a3b7837c29a3" wordText="2022年期初往来资金余额" addr="T0R8C4S1_1"/>
      <m:placeholder xlName="_PLD_9c95747bedfd4aa491cab74a253e3f3f" wordText="2022年度往来累计发生金额（不含利息）" addr="T0R8C5S1_1"/>
      <m:placeholder xlName="_PLD_a207232109cc437a9f1cace91a1ea1f8" wordText="2022年度往来资金的利息（如有）" addr="T0R8C6S1_1"/>
      <m:placeholder xlName="_PLD_d817237d18d34a9a904cbad432c24934" wordText="2022年度偿还累计发生金额" addr="T0R8C7S1_1"/>
      <m:placeholder xlName="_PLD_bf4c4697c58f46fe93d1d15120ed2a5e" wordText="2022年期末往来资金余额" addr="T0R8C8S1_1"/>
      <m:placeholder xlName="_PLD_b10033fa7ceb49488a1f074733776ecc" wordText="往来形成原因" addr="T0R8C9S1_1"/>
      <m:placeholder xlName="_PLD_24bc118d4e4f461aa582461866a38830" wordText="往来性质" addr="T0R8C10S1_1"/>
      <m:tuple xlName="_TUP_b1230516c9b443a8ae6a0ee5faae34d9" concept="clcid-mr:DaGuDongJiQiFuShuQiYeJingYingXingZiJinWangLaiQingKuang" label="大股东及其附属企业经营性资金往来情况" default_row="2" usage="5" addr="T0R9C">
        <m:placeholder xlName="_PLD_bc0f2a0bc30c4288a5bb4f26fe930d4f" wordText="大股东及其附属企业" autoRowSpan="true" addr="T0R9C0S2_1"/>
        <m:item xlName="_GBC_3e23f38d01b44f68bbe859e537babc57" concept="clcid-mr:DaGuDongJiQiFuShuQiYeJingYingXingZiJinWangLaiFangMingCheng" label="大股东及其附属企业经营性资金往来方名称" addr="T0R9C1S1_1"/>
        <m:item xlName="_GBC_02264ee0809241f4b0b768f134a9f13e" concept="clcid-mr:DaGuDongJiQiFuShuQiYeJingYingXingZiJinWangLaiFangYuShangShiGongSiDeGuanLianGuanXi" label="大股东及其附属企业经营性资金往来方与上市公司的关联关系" selectOptions="3e237a4a6516472dafc56b279a1c206f" addr="T0R9C2S1_1" controlType="Combobox"/>
        <m:item xlName="_GBC_a5cc41b0e8af4597a402e42878ad53a0" concept="clcid-mr:DaGuDongJiQiFuShuQiYeJingYingXingZiJinWangLaiShangShiGongSiHeSuanDeKuaiJiKeMu" label="大股东及其附属企业经营性资金往来上市公司核算的会计科目" selectOptions="484e4478ba294b98a31735c28d0c16c2" addr="T0R9C3S1_1" controlType="Combobox"/>
        <m:item xlName="_GBC_5cb30d2b10f94d4da4a49f3c5c53ac49" concept="clcid-mr:DaGuDongJiQiFuShuQiYeJingYingXingWangLaiZiJinYuE" label="大股东及其附属企业经营性往来资金余额" periodRef="本期期初数" mulRef="_GBC_6befa58c923946e89e7dde863e93ec70" addr="T0R9C4S1_1" formatStyle="Comma"/>
        <m:item xlName="_GBC_0f3baf4e27464901af25b03485c44d53" concept="clcid-mr:DaGuDongJiQiFuShuQiYeJingYingXingZiJinWangLaiLeiJiFaShengJinEBuHanLiXi" label="大股东及其附属企业经营性资金往来累计发生金额（不含利息）" mulRef="_GBC_6befa58c923946e89e7dde863e93ec70" addr="T0R9C5S1_1" formatStyle="Comma"/>
        <m:item xlName="_GBC_8af856912eb44c99a98ac7c4b6132a3d" concept="clcid-mr:DaGuDongJiQiFuShuQiYeJingYingXingWangLaiZiJinDeLiXi" label="大股东及其附属企业经营性往来资金的利息" mulRef="_GBC_6befa58c923946e89e7dde863e93ec70" addr="T0R9C6S1_1" formatStyle="Comma"/>
        <m:item xlName="_GBC_1c5d533f7ee5450bb9e01b441f9e2cf4" concept="clcid-mr:DaGuDongJiQiFuShuQiYeJingYingXingChangHuanLeiJiFaShengJinE" label="大股东及其附属企业经营性偿还累计发生金额" mulRef="_GBC_6befa58c923946e89e7dde863e93ec70" addr="T0R9C7S1_1" formatStyle="Comma"/>
        <m:item xlName="_GBC_91a1134e55774d3dac9212a5f413714f" concept="clcid-mr:DaGuDongJiQiFuShuQiYeJingYingXingWangLaiZiJinYuE" label="大股东及其附属企业经营性往来资金余额" mulRef="_GBC_6befa58c923946e89e7dde863e93ec70" addr="T0R9C8S1_1" formatStyle="Comma"/>
        <m:item xlName="_GBC_be7666e3d49a4f33b0209d8a288add5c" concept="clcid-mr:DaGuDongJiQiFuShuQiYeJingYingXingWangLaiYuanYin" label="大股东及其附属企业经营性往来原因" addr="T0R9C9S1_1"/>
        <m:item xlName="_GBC_5ee3963fc7224785af6b457196a618d9" concept="clcid-mr:DaGuDongJiQiFuShuQiYeJingYingXingZiJinWangLaiQingKuangZhanYongXingZhi" label="大股东及其附属企业经营性资金往来情况占用性质" addr="T0R9C10S1_1"/>
      </m:tuple>
      <m:tuple xlName="_TUP_243deb7837ed4d5f9c10ce5361367617" concept="clcid-mr:ShangShiGongSiDeZiGongSiJiQiFuShuQiYeFeiJingYingXingZiJinWangLaiQingKuang" label="上市公司的子公司及其附属企业非经营性资金往来情况" default_row="2" usage="5" addr="T0R11C">
        <m:placeholder xlName="_PLD_b454b560aac94ed59b03ba24580d827d" wordText="上市公司的子公司及其附属企业" autoRowSpan="true" addr="T0R11C0S2_1"/>
        <m:item xlName="_GBC_20daf535ee6a4d93a6145aeb3436a845" concept="clcid-mr:ShangShiGongSiDeZiGongSiJiQiFuShuQiYeFeiJingYingXingZiJinWangLaiFangMingCheng" label="上市公司的子公司及其附属企业非经营性资金往来方名称" addr="T0R11C1S1_1"/>
        <m:item xlName="_GBC_bb3c4c63b61444a7a4648c7a2605b834" concept="clcid-mr:ShangShiGongSiDeZiGongSiJiQiFuShuQiYeFeiJingYingXingZiJinWangLaiFangYuShangShiGongSiDeGuanLianGuanXi" label="上市公司的子公司及其附属企业非经营性资金往来方与上市公司的关联关系" selectOptions="3a9270f07d7b42bdb76e322cc7e53175" addr="T0R11C2S1_1" controlType="Combobox"/>
        <m:item xlName="_GBC_9113986d012841ad860a86b26768ce7a" concept="clcid-mr:ShangShiGongSiDeZiGongSiJiQiFuShuQiYeFeiJingYingXingZiJinWangLaiShangShiGongSiHeSuanDeKuaiJiKeMu" label="上市公司的子公司及其附属企业非经营性资金往来上市公司核算的会计科目" selectOptions="484e4478ba294b98a31735c28d0c16c2" addr="T0R11C3S1_1" controlType="Combobox"/>
        <m:item xlName="_GBC_a6706da59ee94727913ce80adec5844a" concept="clcid-mr:ShangShiGongSiDeZiGongSiJiQiFuShuQiYeFeiJingYingXingWangLaiZiJinYuE" label="上市公司的子公司及其附属企业非经营性往来资金余额" periodRef="本期期初数" mulRef="_GBC_6befa58c923946e89e7dde863e93ec70" addr="T0R11C4S1_1" formatStyle="Comma"/>
        <m:item xlName="_GBC_6c148742faa44bec88b63aea8075ef85" concept="clcid-mr:ShangShiGongSiDeZiGongSiJiQiFuShuQiYeFeiJingYingXingZiJinWangLaiLeiJiFaShengJinEBuHanLiXi" label="上市公司的子公司及其附属企业非经营性资金往来累计发生金额（不含利息）" mulRef="_GBC_6befa58c923946e89e7dde863e93ec70" addr="T0R11C5S1_1" formatStyle="Comma"/>
        <m:item xlName="_GBC_a71c84aa72a74050b64c904c60cd1434" concept="clcid-mr:ShangShiGongSiDeZiGongSiJiQiFuShuQiYeFeiJingYingXingWangLaiZiJinDeLiXi" label="上市公司的子公司及其附属企业非经营性往来资金的利息" mulRef="_GBC_6befa58c923946e89e7dde863e93ec70" addr="T0R11C6S1_1" formatStyle="Comma"/>
        <m:item xlName="_GBC_d9c79d9e9f3b4b738e1a5157fad2add6" concept="clcid-mr:ShangShiGongSiDeZiGongSiJiQiFuShuQiYeFeiJingYingXingChangHuanLeiJiFaShengJinE" label="上市公司的子公司及其附属企业非经营性偿还累计发生金额" mulRef="_GBC_6befa58c923946e89e7dde863e93ec70" addr="T0R11C7S1_1" formatStyle="Comma"/>
        <m:item xlName="_GBC_908c19072038426fb959bb9da416fa4e" concept="clcid-mr:ShangShiGongSiDeZiGongSiJiQiFuShuQiYeFeiJingYingXingWangLaiZiJinYuE" label="上市公司的子公司及其附属企业非经营性往来资金余额" mulRef="_GBC_6befa58c923946e89e7dde863e93ec70" addr="T0R11C8S1_1" formatStyle="Comma"/>
        <m:item xlName="_GBC_9294247a06184c06a6c74a60cc614507" concept="clcid-mr:ShangShiGongSiDeZiGongSiJiQiFuShuQiYeFeiJingYingXingWangLaiYuanYin" label="上市公司的子公司及其附属企业非经营性往来原因" addr="T0R11C9S1_1"/>
        <m:item xlName="_GBC_3ecf2e95454543989c3fd69c4ff5c516" concept="clcid-mr:ShangShiGongSiDeZiGongSiJiQiFuShuQiYeFeiJingYingXingZiJinWangLaiQingKuangWangLaiXingZhi" label="上市公司的子公司及其附属企业非经营性资金往来情况往来性质" addr="T0R11C10S1_1"/>
      </m:tuple>
      <m:tuple xlName="_TUP_fb1ca2d6544540249df2183b6c96cd35" concept="clcid-mr:GuanLianZiRanRenJiQiKongZhiDeFaRenFeiJingYingXingZiJinWangLaiQingKuang" label="关联自然人及其控制的法人非经营性资金往来情况" default_row="2" usage="5" addr="T0R13C">
        <m:placeholder xlName="_PLD_f8998947da4044cca6283c5a0aaf4772" wordText="关联自然人" addr="T0R13C0S1_1"/>
        <m:item xlName="_GBC_43fe9efc6c1048a58fa3c05fb97660f6" concept="clcid-mr:GuanLianZiRanRenJiQiKongZhiDeFaRenFeiJingYingXingZiJinWangLaiFangMingCheng" label="关联自然人及其控制的法人非经营性资金往来方名称" addr="T0R13C1S1_1"/>
        <m:item xlName="_GBC_d005c062674f4b6eb1af86a5a6bd9509" concept="clcid-mr:GuanLianZiRanRenJiQiKongZhiDeFaRenFeiJingYingXingZiJinWangLaiFangYuShangShiGongSiDeGuanLianGuanXi" label="关联自然人及其控制的法人非经营性资金往来方与上市公司的关联关系" addr="T0R13C2S1_1"/>
        <m:item xlName="_GBC_ed6baff0fdb743b8872216f9f3eb1f63" concept="clcid-mr:GuanLianZiRanRenJiQiKongZhiDeFaRenFeiJingYingXingZiJinWangLaiShangShiGongSiHeSuanDeKuaiJiKeMu" label="关联自然人及其控制的法人非经营性资金往来上市公司核算的会计科目" selectOptions="484e4478ba294b98a31735c28d0c16c2" addr="T0R13C3S1_1" controlType="Combobox"/>
        <m:item xlName="_GBC_52b683b76569480480d62ddd766a9a65" concept="clcid-mr:GuanLianZiRanRenJiQiKongZhiDeFaRenFeiJingYingXingWangLaiZiJinYuE" label="关联自然人及其控制的法人非经营性往来资金余额" periodRef="本期期初数" mulRef="_GBC_6befa58c923946e89e7dde863e93ec70" addr="T0R13C4S1_1" formatStyle="Comma"/>
        <m:item xlName="_GBC_ac1ac762fee14d25a34f53ac378c7d59" concept="clcid-mr:GuanLianZiRanRenJiQiKongZhiDeFaRenFeiJingYingXingZiJinWangLaiLeiJiFaShengJinEBuHanLiXi" label="关联自然人及其控制的法人非经营性资金往来累计发生金额（不含利息）" mulRef="_GBC_6befa58c923946e89e7dde863e93ec70" addr="T0R13C5S1_1" formatStyle="Comma"/>
        <m:item xlName="_GBC_6b2dcca1a90748c9bb564e8e48d7ac68" concept="clcid-mr:GuanLianZiRanRenJiQiKongZhiDeFaRenFeiJingYingXingWangLaiZiJinDeLiXi" label="关联自然人及其控制的法人非经营性往来资金的利息" mulRef="_GBC_6befa58c923946e89e7dde863e93ec70" addr="T0R13C6S1_1" formatStyle="Comma"/>
        <m:item xlName="_GBC_f17cada8269d49008fbbba0b0e1861af" concept="clcid-mr:GuanLianZiRanRenJiQiKongZhiDeFaRenFeiJingYingXingChangHuanLeiJiFaShengJinE" label="关联自然人及其控制的法人非经营性偿还累计发生金额" mulRef="_GBC_6befa58c923946e89e7dde863e93ec70" addr="T0R13C7S1_1" formatStyle="Comma"/>
        <m:item xlName="_GBC_618735f252cb4ea8a568ad67b268e07d" concept="clcid-mr:GuanLianZiRanRenJiQiKongZhiDeFaRenFeiJingYingXingWangLaiZiJinYuE" label="关联自然人及其控制的法人非经营性往来资金余额" mulRef="_GBC_6befa58c923946e89e7dde863e93ec70" addr="T0R13C8S1_1" formatStyle="Comma"/>
        <m:item xlName="_GBC_19cdb4557f9f494fa8280f6be7793a75" concept="clcid-mr:GuanLianZiRanRenJiQiKongZhiDeFaRenFeiJingYingXingWangLaiYuanYin" label="关联自然人及其控制的法人非经营性往来原因" addr="T0R13C9S1_1"/>
        <m:item xlName="_GBC_6ff38f3b90cc4afc9fce578417f03a71" concept="clcid-mr:GuanLianZiRanRenJiQiKongZhiDeFaRenFeiJingYingXingZiJinWangLaiQingKuangWangLaiXingZhi" label="关联自然人及其控制的法人非经营性资金往来情况往来性质" addr="T0R13C10S1_1"/>
      </m:tuple>
      <m:tuple xlName="_TUP_1e5f41ccfad941b4a0623d93723279db" concept="clcid-mr:QiTaGuanLianRenJiQiFuShuQiYeFeiJingYingXingZiJinWangLaiQingKuang" label="其他关联人及其附属企业非经营性资金往来情况" default_row="2" usage="5" addr="T0R15C">
        <m:placeholder xlName="_PLD_39fc2cc6d2fd462ca656f9aa6d9dbd59" wordText="其他关联方及其附属企业" addr="T0R15C0S1_1"/>
        <m:item xlName="_GBC_1e563a89614a43e899c3e7ef75fb8996" concept="clcid-mr:QiTaGuanLianRenJiQiFuShuQiYeFeiJingYingXingZiJinWangLaiFangMingCheng" label="其他关联人及其附属企业非经营性资金往来方名称" addr="T0R15C1S1_1"/>
        <m:item xlName="_GBC_4e8b7719043342debc74f7b0fbf54780" concept="clcid-mr:QiTaGuanLianRenJiQiFuShuQiYeFeiJingYingXingZiJinWangLaiFangYuShangShiGongSiDeGuanLianGuanXi" label="其他关联人及其附属企业非经营性资金往来方与上市公司的关联关系" addr="T0R15C2S1_1"/>
        <m:item xlName="_GBC_b4fa347eb70749d78ef3be08ade73d47" concept="clcid-mr:QiTaGuanLianRenJiQiFuShuQiYeFeiJingYingXingZiJinWangLaiShangShiGongSiHeSuanDeKuaiJiKeMu" label="其他关联人及其附属企业非经营性资金往来上市公司核算的会计科目" selectOptions="484e4478ba294b98a31735c28d0c16c2" addr="T0R15C3S1_1" controlType="Combobox"/>
        <m:item xlName="_GBC_ba083379e53f421da3b0db03bb1aa50f" concept="clcid-mr:QiTaGuanLianRenJiQiFuShuQiYeFeiJingYingXingWangLaiZiJinYuE" label="其他关联人及其附属企业非经营性往来资金余额" periodRef="本期期初数" mulRef="_GBC_6befa58c923946e89e7dde863e93ec70" addr="T0R15C4S1_1" formatStyle="Comma"/>
        <m:item xlName="_GBC_1a3e8e17a5854dc9a572b95e687a3831" concept="clcid-mr:QiTaGuanLianRenJiQiFuShuQiYeFeiJingYingXingZiJinWangLaiLeiJiFaShengJinEBuHanLiXi" label="其他关联人及其附属企业非经营性资金往来累计发生金额（不含利息）" mulRef="_GBC_6befa58c923946e89e7dde863e93ec70" addr="T0R15C5S1_1" formatStyle="Comma"/>
        <m:item xlName="_GBC_56a8050d46af4710b71796bd2a622fe7" concept="clcid-mr:QiTaGuanLianRenJiQiFuShuQiYeFeiJingYingXingWangLaiZiJinDeLiXi" label="其他关联人及其附属企业非经营性往来资金的利息" mulRef="_GBC_6befa58c923946e89e7dde863e93ec70" addr="T0R15C6S1_1" formatStyle="Comma"/>
        <m:item xlName="_GBC_f6b37503804848708689bd5ffd1c1ba1" concept="clcid-mr:QiTaGuanLianRenJiQiFuShuQiYeFeiJingYingXingChangHuanLeiJiFaShengJinE" label="其他关联人及其附属企业非经营性偿还累计发生金额" mulRef="_GBC_6befa58c923946e89e7dde863e93ec70" addr="T0R15C7S1_1" formatStyle="Comma"/>
        <m:item xlName="_GBC_5cda75353dab44d381d9a360afbbb3e5" concept="clcid-mr:QiTaGuanLianRenJiQiFuShuQiYeFeiJingYingXingWangLaiZiJinYuE" label="其他关联人及其附属企业非经营性往来资金余额" mulRef="_GBC_6befa58c923946e89e7dde863e93ec70" addr="T0R15C8S1_1" formatStyle="Comma"/>
        <m:item xlName="_GBC_161bf0046fa14a0db82768c161bab6ad" concept="clcid-mr:QiTaGuanLianRenJiQiFuShuQiYeFeiJingYingXingWangLaiYuanYin" label="其他关联人及其附属企业非经营性往来原因" addr="T0R15C9S1_1"/>
        <m:item xlName="_GBC_b930a9370b5544deb869af5c2a122335" concept="clcid-mr:QiTaGuanLianRenJiQiFuShuQiYeFeiJingYingXingZiJinWangLaiQingKuangWangLaiXingZhi" label="其他关联人及其附属企业非经营性资金往来情况往来性质" addr="T0R15C10S1_1"/>
      </m:tuple>
      <m:placeholder xlName="_PLD_a6728c85cbfb466ea3c2ce1afe42bf17" wordText="总计" addr="T0R17C0S1_1"/>
      <m:item xlName="_GBC_577101be173f4dcf8b6823cbffbaee82" concept="clcid-mr:QiTaGuanLianZiJinWangLaiYuEZongJi" label="其它关联资金往来余额总计" periodRef="本期期初数" mulRef="_GBC_6befa58c923946e89e7dde863e93ec70" addr="T0R17C4S1_1" formatStyle="Comma"/>
      <m:item xlName="_GBC_2ca56ff1f9434d308b08cd3740fc6e19" concept="clcid-mr:QiTaGuanLianZiJinWangLaiLeiJiFaShengJinEZongJi" label="其它关联资金往来累计发生金额总计" mulRef="_GBC_6befa58c923946e89e7dde863e93ec70" addr="T0R17C5S1_1" formatStyle="Comma"/>
      <m:item xlName="_GBC_2ee75fa5dab84f7f9a28a6f63eb1b773" concept="clcid-mr:QiTaGuanLianZiJinWangLaiDeLiXiZongJi" label="其它关联资金往来的利息总计" mulRef="_GBC_6befa58c923946e89e7dde863e93ec70" addr="T0R17C6S1_1" formatStyle="Comma"/>
      <m:item xlName="_GBC_8c791dcecab244048b6dfc812ab47d0e" concept="clcid-mr:QiTaGuanLianZiJinWangLaiChangHuanLeiJiFaShengJinEZongJi" label="其它关联资金往来偿还累计发生金额总计" mulRef="_GBC_6befa58c923946e89e7dde863e93ec70" addr="T0R17C7S1_1" formatStyle="Comma"/>
      <m:item xlName="_GBC_f17854ff10dd4204b7d88e5ca2df66d2" concept="clcid-mr:QiTaGuanLianZiJinWangLaiYuEZongJi" label="其它关联资金往来余额总计" mulRef="_GBC_6befa58c923946e89e7dde863e93ec70" addr="T0R17C8S1_1" formatStyle="Comma"/>
      <m:virtualTuples>
        <m:virtualTuple id="7f172e17-1aa0-451f-9ce0-12b9a51449ee" tupleRef="clcid-mr:XianDaGuDongJiQiFuShuQiYeFeiJingYingXingZiJinZhanYongQingKuang" extendDirection="1"/>
        <m:virtualTuple id="d355e4ce-9553-4362-b999-34a061e66b1a" tupleRef="clcid-mr:QianDaGuDongJiQiFuShuQiYeFeiJingYingXingZiJinZhanYongQingKuang" extendDirection="1"/>
        <m:virtualTuple id="d33a61ec-2c92-4420-a40b-52e3e39c9d0e" tupleRef="clcid-mr:DaGuDongJiQiFuShuQiYeJingYingXingZiJinWangLaiQingKuang" extendDirection="1"/>
        <m:virtualTuple id="535ec31a-2d1a-4117-9220-b3d2c000a479" tupleRef="clcid-mr:ShangShiGongSiDeZiGongSiJiQiFuShuQiYeFeiJingYingXingZiJinWangLaiQingKuang" extendDirection="1"/>
        <m:virtualTuple id="d8ba621e-dd82-4fff-be62-519114d490ab" tupleRef="clcid-mr:GuanLianZiRanRenJiQiKongZhiDeFaRenFeiJingYingXingZiJinWangLaiQingKuang" extendDirection="1"/>
        <m:virtualTuple id="88226dde-a8ac-48f4-a410-d0747d1b5fc1" tupleRef="clcid-mr:QiTaGuanLianRenJiQiFuShuQiYeFeiJingYingXingZiJinWangLaiQingKuang" extendDirection="1"/>
      </m:virtualTuples>
    </m:section>
  </m:document>
</m:mapping>
</file>

<file path=customXml/item2.xml><?xml version="1.0" encoding="utf-8"?>
<sc:sections xmlns:sc="http://mapping.word.org/2014/section/customize"/>
</file>

<file path=customXml/item3.xml><?xml version="1.0" encoding="utf-8"?>
<t:template xmlns:t="http://mapping.word.org/2012/template">
  <t:sse><![CDATA[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]]></t:sse>
</t:templat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F91E07-6592-48AA-BD85-3DF9CB8717BE}">
  <ds:schemaRefs>
    <ds:schemaRef ds:uri="http://mapping.word.org/2012/mapping"/>
  </ds:schemaRefs>
</ds:datastoreItem>
</file>

<file path=customXml/itemProps2.xml><?xml version="1.0" encoding="utf-8"?>
<ds:datastoreItem xmlns:ds="http://schemas.openxmlformats.org/officeDocument/2006/customXml" ds:itemID="{5094E3C0-4A59-49FA-9043-8967DF5E897B}">
  <ds:schemaRefs>
    <ds:schemaRef ds:uri="http://mapping.word.org/2014/section/customize"/>
  </ds:schemaRefs>
</ds:datastoreItem>
</file>

<file path=customXml/itemProps3.xml><?xml version="1.0" encoding="utf-8"?>
<ds:datastoreItem xmlns:ds="http://schemas.openxmlformats.org/officeDocument/2006/customXml" ds:itemID="{1F29D6D2-C418-411C-95CC-A3BA2CC236F7}">
  <ds:schemaRefs>
    <ds:schemaRef ds:uri="http://mapping.word.org/2012/template"/>
  </ds:schemaRefs>
</ds:datastoreItem>
</file>

<file path=customXml/itemProps4.xml><?xml version="1.0" encoding="utf-8"?>
<ds:datastoreItem xmlns:ds="http://schemas.openxmlformats.org/officeDocument/2006/customXml" ds:itemID="{1636B662-D3C5-4E53-8A0E-C72AD519A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0</TotalTime>
  <Pages>5</Pages>
  <Words>288</Words>
  <Characters>1642</Characters>
  <Application>Microsoft Office Word</Application>
  <DocSecurity>0</DocSecurity>
  <Lines>13</Lines>
  <Paragraphs>3</Paragraphs>
  <ScaleCrop>false</ScaleCrop>
  <Company>AB</Company>
  <LinksUpToDate>false</LinksUpToDate>
  <CharactersWithSpaces>1927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zhangjinli416@163.com</dc:creator>
  <cp:lastModifiedBy>Windows 用户</cp:lastModifiedBy>
  <cp:revision>89</cp:revision>
  <dcterms:created xsi:type="dcterms:W3CDTF">2023-04-23T07:01:00Z</dcterms:created>
  <dcterms:modified xsi:type="dcterms:W3CDTF">2023-05-04T07:23:00Z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9151D7B6A2CC46F6AF9E325975BE0991</vt:lpwstr>
  </property>
</Properties>
</file>