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kern w:val="0"/>
        </w:rPr>
      </w:pPr>
      <w:r>
        <w:rPr>
          <w:rFonts w:hint="eastAsia"/>
          <w:kern w:val="0"/>
        </w:rPr>
        <w:t>厦门银行股份有限公司章程</w:t>
      </w:r>
    </w:p>
    <w:p>
      <w:pPr>
        <w:pStyle w:val="2"/>
        <w:jc w:val="center"/>
        <w:rPr>
          <w:kern w:val="0"/>
        </w:rPr>
      </w:pPr>
      <w:r>
        <w:rPr>
          <w:kern w:val="0"/>
        </w:rPr>
        <w:t>目录</w:t>
      </w:r>
    </w:p>
    <w:p>
      <w:pPr>
        <w:pStyle w:val="11"/>
        <w:tabs>
          <w:tab w:val="right" w:leader="dot" w:pos="8815"/>
        </w:tabs>
        <w:rPr>
          <w:b/>
          <w:bCs/>
        </w:rPr>
      </w:pPr>
      <w:r>
        <w:rPr>
          <w:rFonts w:ascii="宋体" w:hAnsi="宋体" w:cs="宋体"/>
          <w:b/>
          <w:bCs/>
          <w:smallCaps/>
          <w:color w:val="000000"/>
          <w:kern w:val="0"/>
          <w:sz w:val="24"/>
        </w:rPr>
        <w:fldChar w:fldCharType="begin"/>
      </w:r>
      <w:r>
        <w:rPr>
          <w:rFonts w:ascii="宋体" w:hAnsi="宋体" w:cs="宋体"/>
          <w:b/>
          <w:bCs/>
          <w:smallCaps/>
          <w:color w:val="000000"/>
          <w:kern w:val="0"/>
          <w:sz w:val="24"/>
        </w:rPr>
        <w:instrText xml:space="preserve"> TOC \o "1-2" \h \z \u </w:instrText>
      </w:r>
      <w:r>
        <w:rPr>
          <w:rFonts w:ascii="宋体" w:hAnsi="宋体" w:cs="宋体"/>
          <w:b/>
          <w:bCs/>
          <w:smallCaps/>
          <w:color w:val="000000"/>
          <w:kern w:val="0"/>
          <w:sz w:val="24"/>
        </w:rPr>
        <w:fldChar w:fldCharType="separate"/>
      </w:r>
      <w:r>
        <w:fldChar w:fldCharType="begin"/>
      </w:r>
      <w:r>
        <w:instrText xml:space="preserve"> HYPERLINK \l "_Toc30817" </w:instrText>
      </w:r>
      <w:r>
        <w:fldChar w:fldCharType="separate"/>
      </w:r>
      <w:r>
        <w:rPr>
          <w:rFonts w:hint="eastAsia" w:ascii="宋体" w:hAnsi="宋体" w:cs="宋体"/>
          <w:b/>
          <w:bCs/>
          <w:smallCaps/>
          <w:kern w:val="0"/>
        </w:rPr>
        <w:t xml:space="preserve">第一章 </w:t>
      </w:r>
      <w:r>
        <w:rPr>
          <w:rFonts w:ascii="宋体" w:hAnsi="宋体" w:cs="宋体"/>
          <w:b/>
          <w:bCs/>
          <w:smallCaps/>
          <w:kern w:val="0"/>
        </w:rPr>
        <w:t>总则</w:t>
      </w:r>
      <w:r>
        <w:rPr>
          <w:b/>
          <w:bCs/>
        </w:rPr>
        <w:tab/>
      </w:r>
      <w:r>
        <w:rPr>
          <w:b/>
          <w:bCs/>
        </w:rPr>
        <w:fldChar w:fldCharType="begin"/>
      </w:r>
      <w:r>
        <w:rPr>
          <w:b/>
          <w:bCs/>
        </w:rPr>
        <w:instrText xml:space="preserve"> PAGEREF _Toc30817 \h </w:instrText>
      </w:r>
      <w:r>
        <w:rPr>
          <w:b/>
          <w:bCs/>
        </w:rPr>
        <w:fldChar w:fldCharType="separate"/>
      </w:r>
      <w:r>
        <w:rPr>
          <w:b/>
          <w:bCs/>
        </w:rPr>
        <w:t>2</w:t>
      </w:r>
      <w:r>
        <w:rPr>
          <w:b/>
          <w:bCs/>
        </w:rPr>
        <w:fldChar w:fldCharType="end"/>
      </w:r>
      <w:r>
        <w:rPr>
          <w:b/>
          <w:bCs/>
        </w:rPr>
        <w:fldChar w:fldCharType="end"/>
      </w:r>
    </w:p>
    <w:p>
      <w:pPr>
        <w:pStyle w:val="11"/>
        <w:tabs>
          <w:tab w:val="right" w:leader="dot" w:pos="8815"/>
        </w:tabs>
        <w:rPr>
          <w:b/>
          <w:bCs/>
        </w:rPr>
      </w:pPr>
      <w:r>
        <w:fldChar w:fldCharType="begin"/>
      </w:r>
      <w:r>
        <w:instrText xml:space="preserve"> HYPERLINK \l "_Toc19084" </w:instrText>
      </w:r>
      <w:r>
        <w:fldChar w:fldCharType="separate"/>
      </w:r>
      <w:r>
        <w:rPr>
          <w:rFonts w:hint="eastAsia" w:ascii="宋体" w:hAnsi="宋体" w:cs="宋体"/>
          <w:b/>
          <w:bCs/>
          <w:smallCaps/>
          <w:kern w:val="0"/>
        </w:rPr>
        <w:t xml:space="preserve">第二章 </w:t>
      </w:r>
      <w:r>
        <w:rPr>
          <w:rFonts w:ascii="宋体" w:hAnsi="宋体" w:cs="宋体"/>
          <w:b/>
          <w:bCs/>
          <w:smallCaps/>
          <w:kern w:val="0"/>
        </w:rPr>
        <w:t>经营宗旨和范围</w:t>
      </w:r>
      <w:r>
        <w:rPr>
          <w:b/>
          <w:bCs/>
        </w:rPr>
        <w:tab/>
      </w:r>
      <w:r>
        <w:rPr>
          <w:b/>
          <w:bCs/>
        </w:rPr>
        <w:fldChar w:fldCharType="begin"/>
      </w:r>
      <w:r>
        <w:rPr>
          <w:b/>
          <w:bCs/>
        </w:rPr>
        <w:instrText xml:space="preserve"> PAGEREF _Toc19084 \h </w:instrText>
      </w:r>
      <w:r>
        <w:rPr>
          <w:b/>
          <w:bCs/>
        </w:rPr>
        <w:fldChar w:fldCharType="separate"/>
      </w:r>
      <w:r>
        <w:rPr>
          <w:b/>
          <w:bCs/>
        </w:rPr>
        <w:t>3</w:t>
      </w:r>
      <w:r>
        <w:rPr>
          <w:b/>
          <w:bCs/>
        </w:rPr>
        <w:fldChar w:fldCharType="end"/>
      </w:r>
      <w:r>
        <w:rPr>
          <w:b/>
          <w:bCs/>
        </w:rPr>
        <w:fldChar w:fldCharType="end"/>
      </w:r>
    </w:p>
    <w:p>
      <w:pPr>
        <w:pStyle w:val="11"/>
        <w:tabs>
          <w:tab w:val="right" w:leader="dot" w:pos="8815"/>
        </w:tabs>
        <w:rPr>
          <w:b/>
          <w:bCs/>
        </w:rPr>
      </w:pPr>
      <w:r>
        <w:fldChar w:fldCharType="begin"/>
      </w:r>
      <w:r>
        <w:instrText xml:space="preserve"> HYPERLINK \l "_Toc32247" </w:instrText>
      </w:r>
      <w:r>
        <w:fldChar w:fldCharType="separate"/>
      </w:r>
      <w:r>
        <w:rPr>
          <w:rFonts w:hint="eastAsia" w:ascii="宋体" w:hAnsi="宋体" w:cs="宋体"/>
          <w:b/>
          <w:bCs/>
          <w:smallCaps/>
          <w:kern w:val="0"/>
        </w:rPr>
        <w:t xml:space="preserve">第三章 </w:t>
      </w:r>
      <w:r>
        <w:rPr>
          <w:rFonts w:ascii="宋体" w:hAnsi="宋体" w:cs="宋体"/>
          <w:b/>
          <w:bCs/>
          <w:smallCaps/>
          <w:kern w:val="0"/>
        </w:rPr>
        <w:t>股份</w:t>
      </w:r>
      <w:r>
        <w:rPr>
          <w:b/>
          <w:bCs/>
        </w:rPr>
        <w:tab/>
      </w:r>
      <w:r>
        <w:rPr>
          <w:b/>
          <w:bCs/>
        </w:rPr>
        <w:fldChar w:fldCharType="begin"/>
      </w:r>
      <w:r>
        <w:rPr>
          <w:b/>
          <w:bCs/>
        </w:rPr>
        <w:instrText xml:space="preserve"> PAGEREF _Toc32247 \h </w:instrText>
      </w:r>
      <w:r>
        <w:rPr>
          <w:b/>
          <w:bCs/>
        </w:rPr>
        <w:fldChar w:fldCharType="separate"/>
      </w:r>
      <w:r>
        <w:rPr>
          <w:b/>
          <w:bCs/>
        </w:rPr>
        <w:t>3</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"_Toc27039" </w:instrText>
      </w:r>
      <w:r>
        <w:fldChar w:fldCharType="separate"/>
      </w:r>
      <w:r>
        <w:rPr>
          <w:rFonts w:ascii="宋体" w:hAnsi="宋体" w:cs="宋体"/>
          <w:b/>
          <w:bCs/>
          <w:smallCaps/>
          <w:kern w:val="0"/>
        </w:rPr>
        <w:t>第一节　股份发行</w:t>
      </w:r>
      <w:r>
        <w:rPr>
          <w:b/>
          <w:bCs/>
        </w:rPr>
        <w:tab/>
      </w:r>
      <w:r>
        <w:rPr>
          <w:b/>
          <w:bCs/>
        </w:rPr>
        <w:fldChar w:fldCharType="begin"/>
      </w:r>
      <w:r>
        <w:rPr>
          <w:b/>
          <w:bCs/>
        </w:rPr>
        <w:instrText xml:space="preserve"> PAGEREF _Toc27039 \h </w:instrText>
      </w:r>
      <w:r>
        <w:rPr>
          <w:b/>
          <w:bCs/>
        </w:rPr>
        <w:fldChar w:fldCharType="separate"/>
      </w:r>
      <w:r>
        <w:rPr>
          <w:b/>
          <w:bCs/>
        </w:rPr>
        <w:t>3</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"_Toc18911" </w:instrText>
      </w:r>
      <w:r>
        <w:fldChar w:fldCharType="separate"/>
      </w:r>
      <w:r>
        <w:rPr>
          <w:rFonts w:ascii="宋体" w:hAnsi="宋体" w:cs="宋体"/>
          <w:b/>
          <w:bCs/>
          <w:smallCaps/>
          <w:kern w:val="0"/>
        </w:rPr>
        <w:t>第二节　股份增减和回购</w:t>
      </w:r>
      <w:r>
        <w:rPr>
          <w:b/>
          <w:bCs/>
        </w:rPr>
        <w:tab/>
      </w:r>
      <w:r>
        <w:rPr>
          <w:b/>
          <w:bCs/>
        </w:rPr>
        <w:fldChar w:fldCharType="begin"/>
      </w:r>
      <w:r>
        <w:rPr>
          <w:b/>
          <w:bCs/>
        </w:rPr>
        <w:instrText xml:space="preserve"> PAGEREF _Toc18911 \h </w:instrText>
      </w:r>
      <w:r>
        <w:rPr>
          <w:b/>
          <w:bCs/>
        </w:rPr>
        <w:fldChar w:fldCharType="separate"/>
      </w:r>
      <w:r>
        <w:rPr>
          <w:b/>
          <w:bCs/>
        </w:rPr>
        <w:t>4</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"_Toc24746" </w:instrText>
      </w:r>
      <w:r>
        <w:fldChar w:fldCharType="separate"/>
      </w:r>
      <w:r>
        <w:rPr>
          <w:rFonts w:ascii="宋体" w:hAnsi="宋体" w:cs="宋体"/>
          <w:b/>
          <w:bCs/>
          <w:smallCaps/>
          <w:kern w:val="0"/>
        </w:rPr>
        <w:t>第三节　股份转让</w:t>
      </w:r>
      <w:r>
        <w:rPr>
          <w:b/>
          <w:bCs/>
        </w:rPr>
        <w:tab/>
      </w:r>
      <w:r>
        <w:rPr>
          <w:b/>
          <w:bCs/>
        </w:rPr>
        <w:fldChar w:fldCharType="begin"/>
      </w:r>
      <w:r>
        <w:rPr>
          <w:b/>
          <w:bCs/>
        </w:rPr>
        <w:instrText xml:space="preserve"> PAGEREF _Toc24746 \h </w:instrText>
      </w:r>
      <w:r>
        <w:rPr>
          <w:b/>
          <w:bCs/>
        </w:rPr>
        <w:fldChar w:fldCharType="separate"/>
      </w:r>
      <w:r>
        <w:rPr>
          <w:b/>
          <w:bCs/>
        </w:rPr>
        <w:t>4</w:t>
      </w:r>
      <w:r>
        <w:rPr>
          <w:b/>
          <w:bCs/>
        </w:rPr>
        <w:fldChar w:fldCharType="end"/>
      </w:r>
      <w:r>
        <w:rPr>
          <w:b/>
          <w:bCs/>
        </w:rPr>
        <w:fldChar w:fldCharType="end"/>
      </w:r>
    </w:p>
    <w:p>
      <w:pPr>
        <w:pStyle w:val="11"/>
        <w:tabs>
          <w:tab w:val="right" w:leader="dot" w:pos="8815"/>
        </w:tabs>
        <w:rPr>
          <w:b/>
          <w:bCs/>
        </w:rPr>
      </w:pPr>
      <w:r>
        <w:fldChar w:fldCharType="begin"/>
      </w:r>
      <w:r>
        <w:instrText xml:space="preserve"> HYPERLINK \l "_Toc21011" </w:instrText>
      </w:r>
      <w:r>
        <w:fldChar w:fldCharType="separate"/>
      </w:r>
      <w:r>
        <w:rPr>
          <w:rFonts w:hint="eastAsia" w:ascii="宋体" w:hAnsi="宋体" w:cs="宋体"/>
          <w:b/>
          <w:bCs/>
          <w:smallCaps/>
          <w:kern w:val="0"/>
        </w:rPr>
        <w:t xml:space="preserve">第四章 </w:t>
      </w:r>
      <w:r>
        <w:rPr>
          <w:rFonts w:ascii="宋体" w:hAnsi="宋体" w:cs="宋体"/>
          <w:b/>
          <w:bCs/>
          <w:smallCaps/>
          <w:kern w:val="0"/>
        </w:rPr>
        <w:t>股东和股东大会</w:t>
      </w:r>
      <w:r>
        <w:rPr>
          <w:b/>
          <w:bCs/>
        </w:rPr>
        <w:tab/>
      </w:r>
      <w:r>
        <w:rPr>
          <w:b/>
          <w:bCs/>
        </w:rPr>
        <w:fldChar w:fldCharType="begin"/>
      </w:r>
      <w:r>
        <w:rPr>
          <w:b/>
          <w:bCs/>
        </w:rPr>
        <w:instrText xml:space="preserve"> PAGEREF _Toc21011 \h </w:instrText>
      </w:r>
      <w:r>
        <w:rPr>
          <w:b/>
          <w:bCs/>
        </w:rPr>
        <w:fldChar w:fldCharType="separate"/>
      </w:r>
      <w:r>
        <w:rPr>
          <w:b/>
          <w:bCs/>
        </w:rPr>
        <w:t>5</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"_Toc1831" </w:instrText>
      </w:r>
      <w:r>
        <w:fldChar w:fldCharType="separate"/>
      </w:r>
      <w:r>
        <w:rPr>
          <w:rFonts w:ascii="宋体" w:hAnsi="宋体" w:cs="宋体"/>
          <w:b/>
          <w:bCs/>
          <w:smallCaps/>
          <w:kern w:val="0"/>
        </w:rPr>
        <w:t>第一节 股东</w:t>
      </w:r>
      <w:r>
        <w:rPr>
          <w:b/>
          <w:bCs/>
        </w:rPr>
        <w:tab/>
      </w:r>
      <w:r>
        <w:rPr>
          <w:b/>
          <w:bCs/>
        </w:rPr>
        <w:fldChar w:fldCharType="begin"/>
      </w:r>
      <w:r>
        <w:rPr>
          <w:b/>
          <w:bCs/>
        </w:rPr>
        <w:instrText xml:space="preserve"> PAGEREF _Toc1831 \h </w:instrText>
      </w:r>
      <w:r>
        <w:rPr>
          <w:b/>
          <w:bCs/>
        </w:rPr>
        <w:fldChar w:fldCharType="separate"/>
      </w:r>
      <w:r>
        <w:rPr>
          <w:b/>
          <w:bCs/>
        </w:rPr>
        <w:t>5</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"_Toc3054" </w:instrText>
      </w:r>
      <w:r>
        <w:fldChar w:fldCharType="separate"/>
      </w:r>
      <w:r>
        <w:rPr>
          <w:rFonts w:ascii="宋体" w:hAnsi="宋体"/>
          <w:b/>
          <w:bCs/>
        </w:rPr>
        <w:t>第二节　股东大会</w:t>
      </w:r>
      <w:r>
        <w:rPr>
          <w:b/>
          <w:bCs/>
        </w:rPr>
        <w:tab/>
      </w:r>
      <w:r>
        <w:rPr>
          <w:b/>
          <w:bCs/>
        </w:rPr>
        <w:fldChar w:fldCharType="begin"/>
      </w:r>
      <w:r>
        <w:rPr>
          <w:b/>
          <w:bCs/>
        </w:rPr>
        <w:instrText xml:space="preserve"> PAGEREF _Toc3054 \h </w:instrText>
      </w:r>
      <w:r>
        <w:rPr>
          <w:b/>
          <w:bCs/>
        </w:rPr>
        <w:fldChar w:fldCharType="separate"/>
      </w:r>
      <w:r>
        <w:rPr>
          <w:b/>
          <w:bCs/>
        </w:rPr>
        <w:t>8</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"_Toc4545" </w:instrText>
      </w:r>
      <w:r>
        <w:fldChar w:fldCharType="separate"/>
      </w:r>
      <w:r>
        <w:rPr>
          <w:rFonts w:hint="eastAsia" w:ascii="宋体" w:hAnsi="宋体" w:cs="宋体"/>
          <w:b/>
          <w:bCs/>
          <w:kern w:val="0"/>
        </w:rPr>
        <w:t>第三节  股东大会的召集</w:t>
      </w:r>
      <w:r>
        <w:rPr>
          <w:b/>
          <w:bCs/>
        </w:rPr>
        <w:tab/>
      </w:r>
      <w:r>
        <w:rPr>
          <w:b/>
          <w:bCs/>
        </w:rPr>
        <w:fldChar w:fldCharType="begin"/>
      </w:r>
      <w:r>
        <w:rPr>
          <w:b/>
          <w:bCs/>
        </w:rPr>
        <w:instrText xml:space="preserve"> PAGEREF _Toc4545 \h </w:instrText>
      </w:r>
      <w:r>
        <w:rPr>
          <w:b/>
          <w:bCs/>
        </w:rPr>
        <w:fldChar w:fldCharType="separate"/>
      </w:r>
      <w:r>
        <w:rPr>
          <w:b/>
          <w:bCs/>
        </w:rPr>
        <w:t>9</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"_Toc829" </w:instrText>
      </w:r>
      <w:r>
        <w:fldChar w:fldCharType="separate"/>
      </w:r>
      <w:r>
        <w:rPr>
          <w:rFonts w:ascii="宋体" w:hAnsi="宋体" w:cs="宋体"/>
          <w:b/>
          <w:bCs/>
          <w:smallCaps/>
          <w:kern w:val="0"/>
        </w:rPr>
        <w:t>第</w:t>
      </w:r>
      <w:r>
        <w:rPr>
          <w:rFonts w:hint="eastAsia" w:ascii="宋体" w:hAnsi="宋体" w:cs="宋体"/>
          <w:b/>
          <w:bCs/>
          <w:smallCaps/>
          <w:kern w:val="0"/>
        </w:rPr>
        <w:t>四节</w:t>
      </w:r>
      <w:r>
        <w:rPr>
          <w:rFonts w:ascii="宋体" w:hAnsi="宋体" w:cs="宋体"/>
          <w:b/>
          <w:bCs/>
          <w:smallCaps/>
          <w:kern w:val="0"/>
        </w:rPr>
        <w:t>　股东大会</w:t>
      </w:r>
      <w:r>
        <w:rPr>
          <w:rFonts w:hint="eastAsia" w:ascii="宋体" w:hAnsi="宋体" w:cs="宋体"/>
          <w:b/>
          <w:bCs/>
          <w:smallCaps/>
          <w:kern w:val="0"/>
        </w:rPr>
        <w:t>通知与</w:t>
      </w:r>
      <w:r>
        <w:rPr>
          <w:rFonts w:ascii="宋体" w:hAnsi="宋体" w:cs="宋体"/>
          <w:b/>
          <w:bCs/>
          <w:smallCaps/>
          <w:kern w:val="0"/>
        </w:rPr>
        <w:t>提案</w:t>
      </w:r>
      <w:r>
        <w:rPr>
          <w:b/>
          <w:bCs/>
        </w:rPr>
        <w:tab/>
      </w:r>
      <w:r>
        <w:rPr>
          <w:b/>
          <w:bCs/>
        </w:rPr>
        <w:fldChar w:fldCharType="begin"/>
      </w:r>
      <w:r>
        <w:rPr>
          <w:b/>
          <w:bCs/>
        </w:rPr>
        <w:instrText xml:space="preserve"> PAGEREF _Toc829 \h </w:instrText>
      </w:r>
      <w:r>
        <w:rPr>
          <w:b/>
          <w:bCs/>
        </w:rPr>
        <w:fldChar w:fldCharType="separate"/>
      </w:r>
      <w:r>
        <w:rPr>
          <w:b/>
          <w:bCs/>
        </w:rPr>
        <w:t>10</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"_Toc10140" </w:instrText>
      </w:r>
      <w:r>
        <w:fldChar w:fldCharType="separate"/>
      </w:r>
      <w:r>
        <w:rPr>
          <w:rFonts w:hint="eastAsia" w:ascii="宋体" w:hAnsi="宋体" w:cs="宋体"/>
          <w:b/>
          <w:bCs/>
          <w:kern w:val="0"/>
        </w:rPr>
        <w:t>第五节  股东大会的召开</w:t>
      </w:r>
      <w:r>
        <w:rPr>
          <w:b/>
          <w:bCs/>
        </w:rPr>
        <w:tab/>
      </w:r>
      <w:r>
        <w:rPr>
          <w:b/>
          <w:bCs/>
        </w:rPr>
        <w:fldChar w:fldCharType="begin"/>
      </w:r>
      <w:r>
        <w:rPr>
          <w:b/>
          <w:bCs/>
        </w:rPr>
        <w:instrText xml:space="preserve"> PAGEREF _Toc10140 \h </w:instrText>
      </w:r>
      <w:r>
        <w:rPr>
          <w:b/>
          <w:bCs/>
        </w:rPr>
        <w:fldChar w:fldCharType="separate"/>
      </w:r>
      <w:r>
        <w:rPr>
          <w:b/>
          <w:bCs/>
        </w:rPr>
        <w:t>11</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"_Toc2809" </w:instrText>
      </w:r>
      <w:r>
        <w:fldChar w:fldCharType="separate"/>
      </w:r>
      <w:r>
        <w:rPr>
          <w:rFonts w:ascii="宋体" w:hAnsi="宋体" w:cs="宋体"/>
          <w:b/>
          <w:bCs/>
          <w:smallCaps/>
          <w:kern w:val="0"/>
        </w:rPr>
        <w:t>第</w:t>
      </w:r>
      <w:r>
        <w:rPr>
          <w:rFonts w:hint="eastAsia" w:ascii="宋体" w:hAnsi="宋体" w:cs="宋体"/>
          <w:b/>
          <w:bCs/>
          <w:smallCaps/>
          <w:kern w:val="0"/>
        </w:rPr>
        <w:t>六</w:t>
      </w:r>
      <w:r>
        <w:rPr>
          <w:rFonts w:ascii="宋体" w:hAnsi="宋体" w:cs="宋体"/>
          <w:b/>
          <w:bCs/>
          <w:smallCaps/>
          <w:kern w:val="0"/>
        </w:rPr>
        <w:t>节　股东大会</w:t>
      </w:r>
      <w:r>
        <w:rPr>
          <w:rFonts w:hint="eastAsia" w:ascii="宋体" w:hAnsi="宋体" w:cs="宋体"/>
          <w:b/>
          <w:bCs/>
          <w:smallCaps/>
          <w:kern w:val="0"/>
        </w:rPr>
        <w:t>的表决和</w:t>
      </w:r>
      <w:r>
        <w:rPr>
          <w:rFonts w:ascii="宋体" w:hAnsi="宋体" w:cs="宋体"/>
          <w:b/>
          <w:bCs/>
          <w:smallCaps/>
          <w:kern w:val="0"/>
        </w:rPr>
        <w:t>决议</w:t>
      </w:r>
      <w:r>
        <w:rPr>
          <w:b/>
          <w:bCs/>
        </w:rPr>
        <w:tab/>
      </w:r>
      <w:r>
        <w:rPr>
          <w:b/>
          <w:bCs/>
        </w:rPr>
        <w:fldChar w:fldCharType="begin"/>
      </w:r>
      <w:r>
        <w:rPr>
          <w:b/>
          <w:bCs/>
        </w:rPr>
        <w:instrText xml:space="preserve"> PAGEREF _Toc2809 \h </w:instrText>
      </w:r>
      <w:r>
        <w:rPr>
          <w:b/>
          <w:bCs/>
        </w:rPr>
        <w:fldChar w:fldCharType="separate"/>
      </w:r>
      <w:r>
        <w:rPr>
          <w:b/>
          <w:bCs/>
        </w:rPr>
        <w:t>13</w:t>
      </w:r>
      <w:r>
        <w:rPr>
          <w:b/>
          <w:bCs/>
        </w:rPr>
        <w:fldChar w:fldCharType="end"/>
      </w:r>
      <w:r>
        <w:rPr>
          <w:b/>
          <w:bCs/>
        </w:rPr>
        <w:fldChar w:fldCharType="end"/>
      </w:r>
    </w:p>
    <w:p>
      <w:pPr>
        <w:pStyle w:val="11"/>
        <w:tabs>
          <w:tab w:val="right" w:leader="dot" w:pos="8815"/>
        </w:tabs>
        <w:rPr>
          <w:b/>
          <w:bCs/>
        </w:rPr>
      </w:pPr>
      <w:r>
        <w:fldChar w:fldCharType="begin"/>
      </w:r>
      <w:r>
        <w:instrText xml:space="preserve"> HYPERLINK \l "_Toc32419" </w:instrText>
      </w:r>
      <w:r>
        <w:fldChar w:fldCharType="separate"/>
      </w:r>
      <w:r>
        <w:rPr>
          <w:rFonts w:hint="eastAsia" w:ascii="宋体" w:hAnsi="宋体" w:cs="宋体"/>
          <w:b/>
          <w:bCs/>
          <w:smallCaps/>
          <w:kern w:val="0"/>
        </w:rPr>
        <w:t>第五章 董事和</w:t>
      </w:r>
      <w:r>
        <w:rPr>
          <w:rFonts w:ascii="宋体" w:hAnsi="宋体" w:cs="宋体"/>
          <w:b/>
          <w:bCs/>
          <w:smallCaps/>
          <w:kern w:val="0"/>
        </w:rPr>
        <w:t>董事会</w:t>
      </w:r>
      <w:r>
        <w:rPr>
          <w:b/>
          <w:bCs/>
        </w:rPr>
        <w:tab/>
      </w:r>
      <w:r>
        <w:rPr>
          <w:b/>
          <w:bCs/>
        </w:rPr>
        <w:fldChar w:fldCharType="begin"/>
      </w:r>
      <w:r>
        <w:rPr>
          <w:b/>
          <w:bCs/>
        </w:rPr>
        <w:instrText xml:space="preserve"> PAGEREF _Toc32419 \h </w:instrText>
      </w:r>
      <w:r>
        <w:rPr>
          <w:b/>
          <w:bCs/>
        </w:rPr>
        <w:fldChar w:fldCharType="separate"/>
      </w:r>
      <w:r>
        <w:rPr>
          <w:b/>
          <w:bCs/>
        </w:rPr>
        <w:t>16</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"_Toc23761" </w:instrText>
      </w:r>
      <w:r>
        <w:fldChar w:fldCharType="separate"/>
      </w:r>
      <w:r>
        <w:rPr>
          <w:rFonts w:ascii="宋体" w:hAnsi="宋体" w:cs="宋体"/>
          <w:b/>
          <w:bCs/>
          <w:smallCaps/>
          <w:kern w:val="0"/>
        </w:rPr>
        <w:t>第一节　董事</w:t>
      </w:r>
      <w:r>
        <w:rPr>
          <w:b/>
          <w:bCs/>
        </w:rPr>
        <w:tab/>
      </w:r>
      <w:r>
        <w:rPr>
          <w:b/>
          <w:bCs/>
        </w:rPr>
        <w:fldChar w:fldCharType="begin"/>
      </w:r>
      <w:r>
        <w:rPr>
          <w:b/>
          <w:bCs/>
        </w:rPr>
        <w:instrText xml:space="preserve"> PAGEREF _Toc23761 \h </w:instrText>
      </w:r>
      <w:r>
        <w:rPr>
          <w:b/>
          <w:bCs/>
        </w:rPr>
        <w:fldChar w:fldCharType="separate"/>
      </w:r>
      <w:r>
        <w:rPr>
          <w:b/>
          <w:bCs/>
        </w:rPr>
        <w:t>16</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"_Toc8056" </w:instrText>
      </w:r>
      <w:r>
        <w:fldChar w:fldCharType="separate"/>
      </w:r>
      <w:r>
        <w:rPr>
          <w:rFonts w:hint="eastAsia" w:ascii="宋体" w:hAnsi="宋体" w:cs="宋体"/>
          <w:b/>
          <w:bCs/>
          <w:smallCaps/>
          <w:kern w:val="0"/>
        </w:rPr>
        <w:t>第二节  独立董事</w:t>
      </w:r>
      <w:r>
        <w:rPr>
          <w:b/>
          <w:bCs/>
        </w:rPr>
        <w:tab/>
      </w:r>
      <w:r>
        <w:rPr>
          <w:b/>
          <w:bCs/>
        </w:rPr>
        <w:fldChar w:fldCharType="begin"/>
      </w:r>
      <w:r>
        <w:rPr>
          <w:b/>
          <w:bCs/>
        </w:rPr>
        <w:instrText xml:space="preserve"> PAGEREF _Toc8056 \h </w:instrText>
      </w:r>
      <w:r>
        <w:rPr>
          <w:b/>
          <w:bCs/>
        </w:rPr>
        <w:fldChar w:fldCharType="separate"/>
      </w:r>
      <w:r>
        <w:rPr>
          <w:b/>
          <w:bCs/>
        </w:rPr>
        <w:t>18</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"_Toc26079" </w:instrText>
      </w:r>
      <w:r>
        <w:fldChar w:fldCharType="separate"/>
      </w:r>
      <w:r>
        <w:rPr>
          <w:rFonts w:ascii="宋体" w:hAnsi="宋体" w:cs="宋体"/>
          <w:b/>
          <w:bCs/>
          <w:smallCaps/>
          <w:kern w:val="0"/>
        </w:rPr>
        <w:t>第</w:t>
      </w:r>
      <w:r>
        <w:rPr>
          <w:rFonts w:hint="eastAsia" w:ascii="宋体" w:hAnsi="宋体" w:cs="宋体"/>
          <w:b/>
          <w:bCs/>
          <w:smallCaps/>
          <w:kern w:val="0"/>
        </w:rPr>
        <w:t>三</w:t>
      </w:r>
      <w:r>
        <w:rPr>
          <w:rFonts w:ascii="宋体" w:hAnsi="宋体" w:cs="宋体"/>
          <w:b/>
          <w:bCs/>
          <w:smallCaps/>
          <w:kern w:val="0"/>
        </w:rPr>
        <w:t>节　董事会</w:t>
      </w:r>
      <w:r>
        <w:rPr>
          <w:b/>
          <w:bCs/>
        </w:rPr>
        <w:tab/>
      </w:r>
      <w:r>
        <w:rPr>
          <w:b/>
          <w:bCs/>
        </w:rPr>
        <w:fldChar w:fldCharType="begin"/>
      </w:r>
      <w:r>
        <w:rPr>
          <w:b/>
          <w:bCs/>
        </w:rPr>
        <w:instrText xml:space="preserve"> PAGEREF _Toc26079 \h </w:instrText>
      </w:r>
      <w:r>
        <w:rPr>
          <w:b/>
          <w:bCs/>
        </w:rPr>
        <w:fldChar w:fldCharType="separate"/>
      </w:r>
      <w:r>
        <w:rPr>
          <w:b/>
          <w:bCs/>
        </w:rPr>
        <w:t>20</w:t>
      </w:r>
      <w:r>
        <w:rPr>
          <w:b/>
          <w:bCs/>
        </w:rPr>
        <w:fldChar w:fldCharType="end"/>
      </w:r>
      <w:r>
        <w:rPr>
          <w:b/>
          <w:bCs/>
        </w:rPr>
        <w:fldChar w:fldCharType="end"/>
      </w:r>
    </w:p>
    <w:p>
      <w:pPr>
        <w:pStyle w:val="11"/>
        <w:tabs>
          <w:tab w:val="right" w:leader="dot" w:pos="8815"/>
        </w:tabs>
        <w:rPr>
          <w:b/>
          <w:bCs/>
        </w:rPr>
      </w:pPr>
      <w:r>
        <w:fldChar w:fldCharType="begin"/>
      </w:r>
      <w:r>
        <w:instrText xml:space="preserve"> HYPERLINK \l "_Toc13760" </w:instrText>
      </w:r>
      <w:r>
        <w:fldChar w:fldCharType="separate"/>
      </w:r>
      <w:r>
        <w:rPr>
          <w:rFonts w:hint="eastAsia" w:ascii="宋体" w:hAnsi="宋体" w:cs="宋体"/>
          <w:b/>
          <w:bCs/>
          <w:smallCaps/>
          <w:kern w:val="0"/>
        </w:rPr>
        <w:t>第六章 监事和</w:t>
      </w:r>
      <w:r>
        <w:rPr>
          <w:rFonts w:ascii="宋体" w:hAnsi="宋体" w:cs="宋体"/>
          <w:b/>
          <w:bCs/>
          <w:smallCaps/>
          <w:kern w:val="0"/>
        </w:rPr>
        <w:t>监事会</w:t>
      </w:r>
      <w:r>
        <w:rPr>
          <w:b/>
          <w:bCs/>
        </w:rPr>
        <w:tab/>
      </w:r>
      <w:r>
        <w:rPr>
          <w:b/>
          <w:bCs/>
        </w:rPr>
        <w:fldChar w:fldCharType="begin"/>
      </w:r>
      <w:r>
        <w:rPr>
          <w:b/>
          <w:bCs/>
        </w:rPr>
        <w:instrText xml:space="preserve"> PAGEREF _Toc13760 \h </w:instrText>
      </w:r>
      <w:r>
        <w:rPr>
          <w:b/>
          <w:bCs/>
        </w:rPr>
        <w:fldChar w:fldCharType="separate"/>
      </w:r>
      <w:r>
        <w:rPr>
          <w:b/>
          <w:bCs/>
        </w:rPr>
        <w:t>24</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"_Toc12874" </w:instrText>
      </w:r>
      <w:r>
        <w:fldChar w:fldCharType="separate"/>
      </w:r>
      <w:r>
        <w:rPr>
          <w:rFonts w:ascii="宋体" w:hAnsi="宋体" w:cs="宋体"/>
          <w:b/>
          <w:bCs/>
          <w:smallCaps/>
          <w:kern w:val="0"/>
        </w:rPr>
        <w:t>第一节　监事</w:t>
      </w:r>
      <w:r>
        <w:rPr>
          <w:b/>
          <w:bCs/>
        </w:rPr>
        <w:tab/>
      </w:r>
      <w:r>
        <w:rPr>
          <w:b/>
          <w:bCs/>
        </w:rPr>
        <w:fldChar w:fldCharType="begin"/>
      </w:r>
      <w:r>
        <w:rPr>
          <w:b/>
          <w:bCs/>
        </w:rPr>
        <w:instrText xml:space="preserve"> PAGEREF _Toc12874 \h </w:instrText>
      </w:r>
      <w:r>
        <w:rPr>
          <w:b/>
          <w:bCs/>
        </w:rPr>
        <w:fldChar w:fldCharType="separate"/>
      </w:r>
      <w:r>
        <w:rPr>
          <w:b/>
          <w:bCs/>
        </w:rPr>
        <w:t>24</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"_Toc14297" </w:instrText>
      </w:r>
      <w:r>
        <w:fldChar w:fldCharType="separate"/>
      </w:r>
      <w:r>
        <w:rPr>
          <w:rFonts w:ascii="宋体" w:hAnsi="宋体" w:cs="宋体"/>
          <w:b/>
          <w:bCs/>
          <w:smallCaps/>
          <w:kern w:val="0"/>
        </w:rPr>
        <w:t>第二节　监事会</w:t>
      </w:r>
      <w:r>
        <w:rPr>
          <w:b/>
          <w:bCs/>
        </w:rPr>
        <w:tab/>
      </w:r>
      <w:r>
        <w:rPr>
          <w:b/>
          <w:bCs/>
        </w:rPr>
        <w:fldChar w:fldCharType="begin"/>
      </w:r>
      <w:r>
        <w:rPr>
          <w:b/>
          <w:bCs/>
        </w:rPr>
        <w:instrText xml:space="preserve"> PAGEREF _Toc14297 \h </w:instrText>
      </w:r>
      <w:r>
        <w:rPr>
          <w:b/>
          <w:bCs/>
        </w:rPr>
        <w:fldChar w:fldCharType="separate"/>
      </w:r>
      <w:r>
        <w:rPr>
          <w:b/>
          <w:bCs/>
        </w:rPr>
        <w:t>25</w:t>
      </w:r>
      <w:r>
        <w:rPr>
          <w:b/>
          <w:bCs/>
        </w:rPr>
        <w:fldChar w:fldCharType="end"/>
      </w:r>
      <w:r>
        <w:rPr>
          <w:b/>
          <w:bCs/>
        </w:rPr>
        <w:fldChar w:fldCharType="end"/>
      </w:r>
    </w:p>
    <w:p>
      <w:pPr>
        <w:pStyle w:val="11"/>
        <w:tabs>
          <w:tab w:val="right" w:leader="dot" w:pos="8815"/>
        </w:tabs>
        <w:rPr>
          <w:b/>
          <w:bCs/>
        </w:rPr>
      </w:pPr>
      <w:r>
        <w:fldChar w:fldCharType="begin"/>
      </w:r>
      <w:r>
        <w:instrText xml:space="preserve"> HYPERLINK \l "_Toc13977" </w:instrText>
      </w:r>
      <w:r>
        <w:fldChar w:fldCharType="separate"/>
      </w:r>
      <w:r>
        <w:rPr>
          <w:rFonts w:hint="eastAsia" w:ascii="宋体" w:hAnsi="宋体" w:cs="宋体"/>
          <w:b/>
          <w:bCs/>
          <w:smallCaps/>
          <w:kern w:val="0"/>
        </w:rPr>
        <w:t>第七章 行长及其他高级管理层</w:t>
      </w:r>
      <w:r>
        <w:rPr>
          <w:b/>
          <w:bCs/>
        </w:rPr>
        <w:tab/>
      </w:r>
      <w:r>
        <w:rPr>
          <w:b/>
          <w:bCs/>
        </w:rPr>
        <w:fldChar w:fldCharType="begin"/>
      </w:r>
      <w:r>
        <w:rPr>
          <w:b/>
          <w:bCs/>
        </w:rPr>
        <w:instrText xml:space="preserve"> PAGEREF _Toc13977 \h </w:instrText>
      </w:r>
      <w:r>
        <w:rPr>
          <w:b/>
          <w:bCs/>
        </w:rPr>
        <w:fldChar w:fldCharType="separate"/>
      </w:r>
      <w:r>
        <w:rPr>
          <w:b/>
          <w:bCs/>
        </w:rPr>
        <w:t>27</w:t>
      </w:r>
      <w:r>
        <w:rPr>
          <w:b/>
          <w:bCs/>
        </w:rPr>
        <w:fldChar w:fldCharType="end"/>
      </w:r>
      <w:r>
        <w:rPr>
          <w:b/>
          <w:bCs/>
        </w:rPr>
        <w:fldChar w:fldCharType="end"/>
      </w:r>
    </w:p>
    <w:p>
      <w:pPr>
        <w:pStyle w:val="11"/>
        <w:tabs>
          <w:tab w:val="right" w:leader="dot" w:pos="8815"/>
        </w:tabs>
        <w:rPr>
          <w:b/>
          <w:bCs/>
        </w:rPr>
      </w:pPr>
      <w:r>
        <w:fldChar w:fldCharType="begin"/>
      </w:r>
      <w:r>
        <w:instrText xml:space="preserve"> HYPERLINK \l "_Toc18751" </w:instrText>
      </w:r>
      <w:r>
        <w:fldChar w:fldCharType="separate"/>
      </w:r>
      <w:r>
        <w:rPr>
          <w:rFonts w:hint="eastAsia" w:ascii="宋体" w:hAnsi="宋体" w:cs="宋体"/>
          <w:b/>
          <w:bCs/>
          <w:smallCaps/>
          <w:kern w:val="0"/>
        </w:rPr>
        <w:t xml:space="preserve">第八章 </w:t>
      </w:r>
      <w:r>
        <w:rPr>
          <w:rFonts w:ascii="宋体" w:hAnsi="宋体" w:cs="宋体"/>
          <w:b/>
          <w:bCs/>
          <w:smallCaps/>
          <w:kern w:val="0"/>
        </w:rPr>
        <w:t>财务会计制度、利润分配和审计</w:t>
      </w:r>
      <w:r>
        <w:rPr>
          <w:b/>
          <w:bCs/>
        </w:rPr>
        <w:tab/>
      </w:r>
      <w:r>
        <w:rPr>
          <w:b/>
          <w:bCs/>
        </w:rPr>
        <w:fldChar w:fldCharType="begin"/>
      </w:r>
      <w:r>
        <w:rPr>
          <w:b/>
          <w:bCs/>
        </w:rPr>
        <w:instrText xml:space="preserve"> PAGEREF _Toc18751 \h </w:instrText>
      </w:r>
      <w:r>
        <w:rPr>
          <w:b/>
          <w:bCs/>
        </w:rPr>
        <w:fldChar w:fldCharType="separate"/>
      </w:r>
      <w:r>
        <w:rPr>
          <w:b/>
          <w:bCs/>
        </w:rPr>
        <w:t>28</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"_Toc27911" </w:instrText>
      </w:r>
      <w:r>
        <w:fldChar w:fldCharType="separate"/>
      </w:r>
      <w:r>
        <w:rPr>
          <w:rFonts w:ascii="宋体" w:hAnsi="宋体" w:cs="宋体"/>
          <w:b/>
          <w:bCs/>
          <w:smallCaps/>
          <w:kern w:val="0"/>
        </w:rPr>
        <w:t>第一节　财务会计制度</w:t>
      </w:r>
      <w:r>
        <w:rPr>
          <w:rFonts w:hint="eastAsia" w:ascii="宋体" w:hAnsi="宋体" w:cs="宋体"/>
          <w:b/>
          <w:bCs/>
          <w:smallCaps/>
          <w:kern w:val="0"/>
        </w:rPr>
        <w:t>、利润分配</w:t>
      </w:r>
      <w:r>
        <w:rPr>
          <w:b/>
          <w:bCs/>
        </w:rPr>
        <w:tab/>
      </w:r>
      <w:r>
        <w:rPr>
          <w:b/>
          <w:bCs/>
        </w:rPr>
        <w:fldChar w:fldCharType="begin"/>
      </w:r>
      <w:r>
        <w:rPr>
          <w:b/>
          <w:bCs/>
        </w:rPr>
        <w:instrText xml:space="preserve"> PAGEREF _Toc27911 \h </w:instrText>
      </w:r>
      <w:r>
        <w:rPr>
          <w:b/>
          <w:bCs/>
        </w:rPr>
        <w:fldChar w:fldCharType="separate"/>
      </w:r>
      <w:r>
        <w:rPr>
          <w:b/>
          <w:bCs/>
        </w:rPr>
        <w:t>28</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"_Toc5425" </w:instrText>
      </w:r>
      <w:r>
        <w:fldChar w:fldCharType="separate"/>
      </w:r>
      <w:r>
        <w:rPr>
          <w:rFonts w:ascii="宋体" w:hAnsi="宋体" w:cs="宋体"/>
          <w:b/>
          <w:bCs/>
          <w:smallCaps/>
          <w:kern w:val="0"/>
        </w:rPr>
        <w:t>第二节　</w:t>
      </w:r>
      <w:r>
        <w:rPr>
          <w:rFonts w:hint="eastAsia" w:ascii="宋体" w:hAnsi="宋体" w:cs="宋体"/>
          <w:b/>
          <w:bCs/>
          <w:smallCaps/>
          <w:kern w:val="0"/>
        </w:rPr>
        <w:t>内部审计</w:t>
      </w:r>
      <w:r>
        <w:rPr>
          <w:b/>
          <w:bCs/>
        </w:rPr>
        <w:tab/>
      </w:r>
      <w:r>
        <w:rPr>
          <w:b/>
          <w:bCs/>
        </w:rPr>
        <w:fldChar w:fldCharType="begin"/>
      </w:r>
      <w:r>
        <w:rPr>
          <w:b/>
          <w:bCs/>
        </w:rPr>
        <w:instrText xml:space="preserve"> PAGEREF _Toc5425 \h </w:instrText>
      </w:r>
      <w:r>
        <w:rPr>
          <w:b/>
          <w:bCs/>
        </w:rPr>
        <w:fldChar w:fldCharType="separate"/>
      </w:r>
      <w:r>
        <w:rPr>
          <w:b/>
          <w:bCs/>
        </w:rPr>
        <w:t>29</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"_Toc11805" </w:instrText>
      </w:r>
      <w:r>
        <w:fldChar w:fldCharType="separate"/>
      </w:r>
      <w:r>
        <w:rPr>
          <w:rFonts w:hint="eastAsia" w:ascii="宋体" w:hAnsi="宋体" w:cs="宋体"/>
          <w:b/>
          <w:bCs/>
          <w:smallCaps/>
          <w:kern w:val="0"/>
        </w:rPr>
        <w:t xml:space="preserve">第三节  </w:t>
      </w:r>
      <w:r>
        <w:rPr>
          <w:rFonts w:ascii="宋体" w:hAnsi="宋体" w:cs="宋体"/>
          <w:b/>
          <w:bCs/>
          <w:smallCaps/>
          <w:kern w:val="0"/>
        </w:rPr>
        <w:t>会计师事务所的聘任</w:t>
      </w:r>
      <w:r>
        <w:rPr>
          <w:b/>
          <w:bCs/>
        </w:rPr>
        <w:tab/>
      </w:r>
      <w:r>
        <w:rPr>
          <w:b/>
          <w:bCs/>
        </w:rPr>
        <w:fldChar w:fldCharType="begin"/>
      </w:r>
      <w:r>
        <w:rPr>
          <w:b/>
          <w:bCs/>
        </w:rPr>
        <w:instrText xml:space="preserve"> PAGEREF _Toc11805 \h </w:instrText>
      </w:r>
      <w:r>
        <w:rPr>
          <w:b/>
          <w:bCs/>
        </w:rPr>
        <w:fldChar w:fldCharType="separate"/>
      </w:r>
      <w:r>
        <w:rPr>
          <w:b/>
          <w:bCs/>
        </w:rPr>
        <w:t>29</w:t>
      </w:r>
      <w:r>
        <w:rPr>
          <w:b/>
          <w:bCs/>
        </w:rPr>
        <w:fldChar w:fldCharType="end"/>
      </w:r>
      <w:r>
        <w:rPr>
          <w:b/>
          <w:bCs/>
        </w:rPr>
        <w:fldChar w:fldCharType="end"/>
      </w:r>
    </w:p>
    <w:p>
      <w:pPr>
        <w:pStyle w:val="11"/>
        <w:tabs>
          <w:tab w:val="right" w:leader="dot" w:pos="8815"/>
        </w:tabs>
        <w:rPr>
          <w:b/>
          <w:bCs/>
        </w:rPr>
      </w:pPr>
      <w:r>
        <w:fldChar w:fldCharType="begin"/>
      </w:r>
      <w:r>
        <w:instrText xml:space="preserve"> HYPERLINK \l "_Toc2894" </w:instrText>
      </w:r>
      <w:r>
        <w:fldChar w:fldCharType="separate"/>
      </w:r>
      <w:r>
        <w:rPr>
          <w:rFonts w:hint="eastAsia" w:ascii="宋体" w:hAnsi="宋体" w:cs="宋体"/>
          <w:b/>
          <w:bCs/>
          <w:smallCaps/>
          <w:kern w:val="0"/>
        </w:rPr>
        <w:t xml:space="preserve">第九章 </w:t>
      </w:r>
      <w:r>
        <w:rPr>
          <w:rFonts w:ascii="宋体" w:hAnsi="宋体" w:cs="宋体"/>
          <w:b/>
          <w:bCs/>
          <w:smallCaps/>
          <w:kern w:val="0"/>
        </w:rPr>
        <w:t>通知和公告</w:t>
      </w:r>
      <w:r>
        <w:rPr>
          <w:b/>
          <w:bCs/>
        </w:rPr>
        <w:tab/>
      </w:r>
      <w:r>
        <w:rPr>
          <w:b/>
          <w:bCs/>
        </w:rPr>
        <w:fldChar w:fldCharType="begin"/>
      </w:r>
      <w:r>
        <w:rPr>
          <w:b/>
          <w:bCs/>
        </w:rPr>
        <w:instrText xml:space="preserve"> PAGEREF _Toc2894 \h </w:instrText>
      </w:r>
      <w:r>
        <w:rPr>
          <w:b/>
          <w:bCs/>
        </w:rPr>
        <w:fldChar w:fldCharType="separate"/>
      </w:r>
      <w:r>
        <w:rPr>
          <w:b/>
          <w:bCs/>
        </w:rPr>
        <w:t>30</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"_Toc10064" </w:instrText>
      </w:r>
      <w:r>
        <w:fldChar w:fldCharType="separate"/>
      </w:r>
      <w:r>
        <w:rPr>
          <w:rFonts w:ascii="宋体" w:hAnsi="宋体" w:cs="宋体"/>
          <w:b/>
          <w:bCs/>
          <w:smallCaps/>
          <w:kern w:val="0"/>
        </w:rPr>
        <w:t>第一节　通知</w:t>
      </w:r>
      <w:r>
        <w:rPr>
          <w:b/>
          <w:bCs/>
        </w:rPr>
        <w:tab/>
      </w:r>
      <w:r>
        <w:rPr>
          <w:b/>
          <w:bCs/>
        </w:rPr>
        <w:fldChar w:fldCharType="begin"/>
      </w:r>
      <w:r>
        <w:rPr>
          <w:b/>
          <w:bCs/>
        </w:rPr>
        <w:instrText xml:space="preserve"> PAGEREF _Toc10064 \h </w:instrText>
      </w:r>
      <w:r>
        <w:rPr>
          <w:b/>
          <w:bCs/>
        </w:rPr>
        <w:fldChar w:fldCharType="separate"/>
      </w:r>
      <w:r>
        <w:rPr>
          <w:b/>
          <w:bCs/>
        </w:rPr>
        <w:t>30</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"_Toc30271" </w:instrText>
      </w:r>
      <w:r>
        <w:fldChar w:fldCharType="separate"/>
      </w:r>
      <w:r>
        <w:rPr>
          <w:rFonts w:ascii="宋体" w:hAnsi="宋体" w:cs="宋体"/>
          <w:b/>
          <w:bCs/>
          <w:smallCaps/>
          <w:kern w:val="0"/>
        </w:rPr>
        <w:t>第二节　公告</w:t>
      </w:r>
      <w:r>
        <w:rPr>
          <w:b/>
          <w:bCs/>
        </w:rPr>
        <w:tab/>
      </w:r>
      <w:r>
        <w:rPr>
          <w:b/>
          <w:bCs/>
        </w:rPr>
        <w:fldChar w:fldCharType="begin"/>
      </w:r>
      <w:r>
        <w:rPr>
          <w:b/>
          <w:bCs/>
        </w:rPr>
        <w:instrText xml:space="preserve"> PAGEREF _Toc30271 \h </w:instrText>
      </w:r>
      <w:r>
        <w:rPr>
          <w:b/>
          <w:bCs/>
        </w:rPr>
        <w:fldChar w:fldCharType="separate"/>
      </w:r>
      <w:r>
        <w:rPr>
          <w:b/>
          <w:bCs/>
        </w:rPr>
        <w:t>30</w:t>
      </w:r>
      <w:r>
        <w:rPr>
          <w:b/>
          <w:bCs/>
        </w:rPr>
        <w:fldChar w:fldCharType="end"/>
      </w:r>
      <w:r>
        <w:rPr>
          <w:b/>
          <w:bCs/>
        </w:rPr>
        <w:fldChar w:fldCharType="end"/>
      </w:r>
    </w:p>
    <w:p>
      <w:pPr>
        <w:pStyle w:val="11"/>
        <w:tabs>
          <w:tab w:val="right" w:leader="dot" w:pos="8815"/>
        </w:tabs>
        <w:rPr>
          <w:b/>
          <w:bCs/>
        </w:rPr>
      </w:pPr>
      <w:r>
        <w:fldChar w:fldCharType="begin"/>
      </w:r>
      <w:r>
        <w:instrText xml:space="preserve"> HYPERLINK \l "_Toc10114" </w:instrText>
      </w:r>
      <w:r>
        <w:fldChar w:fldCharType="separate"/>
      </w:r>
      <w:r>
        <w:rPr>
          <w:rFonts w:hint="eastAsia" w:ascii="宋体" w:hAnsi="宋体" w:cs="宋体"/>
          <w:b/>
          <w:bCs/>
          <w:smallCaps/>
          <w:kern w:val="0"/>
        </w:rPr>
        <w:t xml:space="preserve">第十章 </w:t>
      </w:r>
      <w:r>
        <w:rPr>
          <w:rFonts w:ascii="宋体" w:hAnsi="宋体" w:cs="宋体"/>
          <w:b/>
          <w:bCs/>
          <w:smallCaps/>
          <w:kern w:val="0"/>
        </w:rPr>
        <w:t>合并、分立、</w:t>
      </w:r>
      <w:r>
        <w:rPr>
          <w:rFonts w:hint="eastAsia" w:ascii="宋体" w:hAnsi="宋体" w:cs="宋体"/>
          <w:b/>
          <w:bCs/>
          <w:smallCaps/>
          <w:kern w:val="0"/>
        </w:rPr>
        <w:t>增资、减资、</w:t>
      </w:r>
      <w:r>
        <w:rPr>
          <w:rFonts w:ascii="宋体" w:hAnsi="宋体" w:cs="宋体"/>
          <w:b/>
          <w:bCs/>
          <w:smallCaps/>
          <w:kern w:val="0"/>
        </w:rPr>
        <w:t>解散和清算</w:t>
      </w:r>
      <w:r>
        <w:rPr>
          <w:b/>
          <w:bCs/>
        </w:rPr>
        <w:tab/>
      </w:r>
      <w:r>
        <w:rPr>
          <w:b/>
          <w:bCs/>
        </w:rPr>
        <w:fldChar w:fldCharType="begin"/>
      </w:r>
      <w:r>
        <w:rPr>
          <w:b/>
          <w:bCs/>
        </w:rPr>
        <w:instrText xml:space="preserve"> PAGEREF _Toc10114 \h </w:instrText>
      </w:r>
      <w:r>
        <w:rPr>
          <w:b/>
          <w:bCs/>
        </w:rPr>
        <w:fldChar w:fldCharType="separate"/>
      </w:r>
      <w:r>
        <w:rPr>
          <w:b/>
          <w:bCs/>
        </w:rPr>
        <w:t>30</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"_Toc25782" </w:instrText>
      </w:r>
      <w:r>
        <w:fldChar w:fldCharType="separate"/>
      </w:r>
      <w:r>
        <w:rPr>
          <w:rFonts w:ascii="宋体" w:hAnsi="宋体" w:cs="宋体"/>
          <w:b/>
          <w:bCs/>
          <w:smallCaps/>
          <w:kern w:val="0"/>
        </w:rPr>
        <w:t>第一节　合并</w:t>
      </w:r>
      <w:r>
        <w:rPr>
          <w:rFonts w:hint="eastAsia" w:ascii="宋体" w:hAnsi="宋体" w:cs="宋体"/>
          <w:b/>
          <w:bCs/>
          <w:smallCaps/>
          <w:kern w:val="0"/>
        </w:rPr>
        <w:t>、</w:t>
      </w:r>
      <w:r>
        <w:rPr>
          <w:rFonts w:ascii="宋体" w:hAnsi="宋体" w:cs="宋体"/>
          <w:b/>
          <w:bCs/>
          <w:smallCaps/>
          <w:kern w:val="0"/>
        </w:rPr>
        <w:t>分立</w:t>
      </w:r>
      <w:r>
        <w:rPr>
          <w:rFonts w:hint="eastAsia" w:ascii="宋体" w:hAnsi="宋体" w:cs="宋体"/>
          <w:b/>
          <w:bCs/>
          <w:smallCaps/>
          <w:kern w:val="0"/>
        </w:rPr>
        <w:t>、增资和减资</w:t>
      </w:r>
      <w:r>
        <w:rPr>
          <w:b/>
          <w:bCs/>
        </w:rPr>
        <w:tab/>
      </w:r>
      <w:r>
        <w:rPr>
          <w:b/>
          <w:bCs/>
        </w:rPr>
        <w:fldChar w:fldCharType="begin"/>
      </w:r>
      <w:r>
        <w:rPr>
          <w:b/>
          <w:bCs/>
        </w:rPr>
        <w:instrText xml:space="preserve"> PAGEREF _Toc25782 \h </w:instrText>
      </w:r>
      <w:r>
        <w:rPr>
          <w:b/>
          <w:bCs/>
        </w:rPr>
        <w:fldChar w:fldCharType="separate"/>
      </w:r>
      <w:r>
        <w:rPr>
          <w:b/>
          <w:bCs/>
        </w:rPr>
        <w:t>30</w:t>
      </w:r>
      <w:r>
        <w:rPr>
          <w:b/>
          <w:bCs/>
        </w:rPr>
        <w:fldChar w:fldCharType="end"/>
      </w:r>
      <w:r>
        <w:rPr>
          <w:b/>
          <w:bCs/>
        </w:rPr>
        <w:fldChar w:fldCharType="end"/>
      </w:r>
    </w:p>
    <w:p>
      <w:pPr>
        <w:pStyle w:val="12"/>
        <w:tabs>
          <w:tab w:val="right" w:leader="dot" w:pos="8815"/>
        </w:tabs>
        <w:rPr>
          <w:b/>
          <w:bCs/>
        </w:rPr>
      </w:pPr>
      <w:r>
        <w:fldChar w:fldCharType="begin"/>
      </w:r>
      <w:r>
        <w:instrText xml:space="preserve"> HYPERLINK \l "_Toc30868" </w:instrText>
      </w:r>
      <w:r>
        <w:fldChar w:fldCharType="separate"/>
      </w:r>
      <w:r>
        <w:rPr>
          <w:rFonts w:ascii="宋体" w:hAnsi="宋体" w:cs="宋体"/>
          <w:b/>
          <w:bCs/>
          <w:smallCaps/>
          <w:kern w:val="0"/>
        </w:rPr>
        <w:t>第二节　解散和清算</w:t>
      </w:r>
      <w:r>
        <w:rPr>
          <w:b/>
          <w:bCs/>
        </w:rPr>
        <w:tab/>
      </w:r>
      <w:r>
        <w:rPr>
          <w:b/>
          <w:bCs/>
        </w:rPr>
        <w:fldChar w:fldCharType="begin"/>
      </w:r>
      <w:r>
        <w:rPr>
          <w:b/>
          <w:bCs/>
        </w:rPr>
        <w:instrText xml:space="preserve"> PAGEREF _Toc30868 \h </w:instrText>
      </w:r>
      <w:r>
        <w:rPr>
          <w:b/>
          <w:bCs/>
        </w:rPr>
        <w:fldChar w:fldCharType="separate"/>
      </w:r>
      <w:r>
        <w:rPr>
          <w:b/>
          <w:bCs/>
        </w:rPr>
        <w:t>31</w:t>
      </w:r>
      <w:r>
        <w:rPr>
          <w:b/>
          <w:bCs/>
        </w:rPr>
        <w:fldChar w:fldCharType="end"/>
      </w:r>
      <w:r>
        <w:rPr>
          <w:b/>
          <w:bCs/>
        </w:rPr>
        <w:fldChar w:fldCharType="end"/>
      </w:r>
    </w:p>
    <w:p>
      <w:pPr>
        <w:pStyle w:val="11"/>
        <w:tabs>
          <w:tab w:val="right" w:leader="dot" w:pos="8815"/>
        </w:tabs>
        <w:rPr>
          <w:b/>
          <w:bCs/>
        </w:rPr>
      </w:pPr>
      <w:r>
        <w:fldChar w:fldCharType="begin"/>
      </w:r>
      <w:r>
        <w:instrText xml:space="preserve"> HYPERLINK \l "_Toc24382" </w:instrText>
      </w:r>
      <w:r>
        <w:fldChar w:fldCharType="separate"/>
      </w:r>
      <w:r>
        <w:rPr>
          <w:rFonts w:hint="eastAsia" w:ascii="宋体" w:hAnsi="宋体" w:cs="宋体"/>
          <w:b/>
          <w:bCs/>
          <w:smallCaps/>
          <w:kern w:val="0"/>
        </w:rPr>
        <w:t xml:space="preserve">第十一章 </w:t>
      </w:r>
      <w:r>
        <w:rPr>
          <w:rFonts w:ascii="宋体" w:hAnsi="宋体" w:cs="宋体"/>
          <w:b/>
          <w:bCs/>
          <w:smallCaps/>
          <w:kern w:val="0"/>
        </w:rPr>
        <w:t>修改章程</w:t>
      </w:r>
      <w:r>
        <w:rPr>
          <w:b/>
          <w:bCs/>
        </w:rPr>
        <w:tab/>
      </w:r>
      <w:r>
        <w:rPr>
          <w:b/>
          <w:bCs/>
        </w:rPr>
        <w:fldChar w:fldCharType="begin"/>
      </w:r>
      <w:r>
        <w:rPr>
          <w:b/>
          <w:bCs/>
        </w:rPr>
        <w:instrText xml:space="preserve"> PAGEREF _Toc24382 \h </w:instrText>
      </w:r>
      <w:r>
        <w:rPr>
          <w:b/>
          <w:bCs/>
        </w:rPr>
        <w:fldChar w:fldCharType="separate"/>
      </w:r>
      <w:r>
        <w:rPr>
          <w:b/>
          <w:bCs/>
        </w:rPr>
        <w:t>32</w:t>
      </w:r>
      <w:r>
        <w:rPr>
          <w:b/>
          <w:bCs/>
        </w:rPr>
        <w:fldChar w:fldCharType="end"/>
      </w:r>
      <w:r>
        <w:rPr>
          <w:b/>
          <w:bCs/>
        </w:rPr>
        <w:fldChar w:fldCharType="end"/>
      </w:r>
    </w:p>
    <w:p>
      <w:pPr>
        <w:pStyle w:val="11"/>
        <w:tabs>
          <w:tab w:val="right" w:leader="dot" w:pos="8815"/>
        </w:tabs>
        <w:rPr>
          <w:b/>
          <w:bCs/>
        </w:rPr>
      </w:pPr>
      <w:r>
        <w:fldChar w:fldCharType="begin"/>
      </w:r>
      <w:r>
        <w:instrText xml:space="preserve"> HYPERLINK \l "_Toc30308" </w:instrText>
      </w:r>
      <w:r>
        <w:fldChar w:fldCharType="separate"/>
      </w:r>
      <w:r>
        <w:rPr>
          <w:rFonts w:hint="eastAsia" w:ascii="宋体" w:hAnsi="宋体" w:cs="宋体"/>
          <w:b/>
          <w:bCs/>
          <w:smallCaps/>
          <w:kern w:val="0"/>
        </w:rPr>
        <w:t xml:space="preserve">第十二章 </w:t>
      </w:r>
      <w:r>
        <w:rPr>
          <w:rFonts w:ascii="宋体" w:hAnsi="宋体" w:cs="宋体"/>
          <w:b/>
          <w:bCs/>
          <w:smallCaps/>
          <w:kern w:val="0"/>
        </w:rPr>
        <w:t>附则</w:t>
      </w:r>
      <w:r>
        <w:rPr>
          <w:b/>
          <w:bCs/>
        </w:rPr>
        <w:tab/>
      </w:r>
      <w:r>
        <w:rPr>
          <w:b/>
          <w:bCs/>
        </w:rPr>
        <w:fldChar w:fldCharType="begin"/>
      </w:r>
      <w:r>
        <w:rPr>
          <w:b/>
          <w:bCs/>
        </w:rPr>
        <w:instrText xml:space="preserve"> PAGEREF _Toc30308 \h </w:instrText>
      </w:r>
      <w:r>
        <w:rPr>
          <w:b/>
          <w:bCs/>
        </w:rPr>
        <w:fldChar w:fldCharType="separate"/>
      </w:r>
      <w:r>
        <w:rPr>
          <w:b/>
          <w:bCs/>
        </w:rPr>
        <w:t>32</w:t>
      </w:r>
      <w:r>
        <w:rPr>
          <w:b/>
          <w:bCs/>
        </w:rPr>
        <w:fldChar w:fldCharType="end"/>
      </w:r>
      <w:r>
        <w:rPr>
          <w:b/>
          <w:bCs/>
        </w:rPr>
        <w:fldChar w:fldCharType="end"/>
      </w:r>
    </w:p>
    <w:p>
      <w:pPr>
        <w:widowControl/>
        <w:spacing w:after="240" w:line="320" w:lineRule="exact"/>
        <w:jc w:val="left"/>
        <w:rPr>
          <w:rFonts w:ascii="宋体" w:hAnsi="宋体" w:cs="宋体"/>
          <w:b/>
          <w:bCs/>
          <w:smallCaps/>
          <w:color w:val="000000"/>
          <w:kern w:val="0"/>
          <w:sz w:val="24"/>
        </w:rPr>
      </w:pPr>
      <w:r>
        <w:rPr>
          <w:rFonts w:ascii="宋体" w:hAnsi="宋体" w:cs="宋体"/>
          <w:b/>
          <w:bCs/>
          <w:smallCaps/>
          <w:color w:val="000000"/>
          <w:kern w:val="0"/>
          <w:sz w:val="24"/>
        </w:rPr>
        <w:fldChar w:fldCharType="end"/>
      </w:r>
    </w:p>
    <w:p>
      <w:pPr>
        <w:widowControl/>
        <w:numPr>
          <w:ilvl w:val="0"/>
          <w:numId w:val="1"/>
        </w:numPr>
        <w:spacing w:before="100" w:beforeAutospacing="1" w:after="100" w:afterAutospacing="1" w:line="320" w:lineRule="exact"/>
        <w:jc w:val="center"/>
        <w:outlineLvl w:val="0"/>
        <w:rPr>
          <w:rFonts w:ascii="宋体" w:hAnsi="宋体" w:cs="宋体"/>
          <w:b/>
          <w:bCs/>
          <w:smallCaps/>
          <w:color w:val="000000"/>
          <w:kern w:val="0"/>
          <w:sz w:val="24"/>
        </w:rPr>
      </w:pPr>
      <w:r>
        <w:rPr>
          <w:rFonts w:ascii="宋体" w:hAnsi="宋体" w:cs="宋体"/>
          <w:b/>
          <w:bCs/>
          <w:smallCaps/>
          <w:color w:val="000000"/>
          <w:kern w:val="0"/>
          <w:sz w:val="24"/>
        </w:rPr>
        <w:br w:type="page"/>
      </w:r>
      <w:bookmarkStart w:id="0" w:name="_Toc14488"/>
      <w:bookmarkStart w:id="1" w:name="_Toc41895443"/>
      <w:bookmarkStart w:id="2" w:name="_Toc30817"/>
      <w:r>
        <w:rPr>
          <w:rFonts w:ascii="宋体" w:hAnsi="宋体" w:cs="宋体"/>
          <w:b/>
          <w:bCs/>
          <w:smallCaps/>
          <w:color w:val="000000"/>
          <w:kern w:val="0"/>
          <w:sz w:val="24"/>
        </w:rPr>
        <w:t>总则</w:t>
      </w:r>
      <w:bookmarkEnd w:id="0"/>
      <w:bookmarkEnd w:id="1"/>
      <w:bookmarkEnd w:id="2"/>
    </w:p>
    <w:p>
      <w:pPr>
        <w:numPr>
          <w:ilvl w:val="0"/>
          <w:numId w:val="2"/>
        </w:numPr>
        <w:tabs>
          <w:tab w:val="left" w:pos="1560"/>
        </w:tabs>
        <w:spacing w:line="320" w:lineRule="exact"/>
        <w:rPr>
          <w:rFonts w:ascii="宋体" w:hAnsi="宋体" w:cs="宋体"/>
          <w:bCs/>
          <w:smallCaps/>
          <w:color w:val="000000"/>
          <w:kern w:val="0"/>
          <w:sz w:val="24"/>
          <w:szCs w:val="20"/>
        </w:rPr>
      </w:pPr>
      <w:r>
        <w:rPr>
          <w:rFonts w:ascii="宋体" w:hAnsi="宋体" w:cs="宋体"/>
          <w:bCs/>
          <w:smallCaps/>
          <w:color w:val="000000"/>
          <w:kern w:val="0"/>
          <w:sz w:val="24"/>
          <w:szCs w:val="20"/>
        </w:rPr>
        <w:t>为维护</w:t>
      </w:r>
      <w:r>
        <w:rPr>
          <w:rFonts w:hint="eastAsia" w:ascii="宋体" w:hAnsi="宋体" w:cs="宋体"/>
          <w:bCs/>
          <w:smallCaps/>
          <w:color w:val="000000"/>
          <w:kern w:val="0"/>
          <w:sz w:val="24"/>
          <w:szCs w:val="20"/>
        </w:rPr>
        <w:t>厦门银行股份有限公司（以下简称“本行”）</w:t>
      </w:r>
      <w:r>
        <w:rPr>
          <w:rFonts w:ascii="宋体" w:hAnsi="宋体" w:cs="宋体"/>
          <w:bCs/>
          <w:smallCaps/>
          <w:color w:val="000000"/>
          <w:kern w:val="0"/>
          <w:sz w:val="24"/>
          <w:szCs w:val="20"/>
        </w:rPr>
        <w:t>、股东和债权人的合法权益，规范</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的组织和行为，根据</w:t>
      </w:r>
      <w:r>
        <w:rPr>
          <w:rFonts w:hint="eastAsia" w:ascii="宋体" w:hAnsi="宋体" w:cs="宋体"/>
          <w:bCs/>
          <w:smallCaps/>
          <w:color w:val="000000"/>
          <w:kern w:val="0"/>
          <w:sz w:val="24"/>
          <w:szCs w:val="20"/>
        </w:rPr>
        <w:t>《中华人民共和国公司法》（以下简称《公司法》）、《中华人民共和国证券法》、《中华人民共和国商业银行法》（以下简称《商业银行法》）、《银行保险机构公司治理准则》、《上市公司章程指引》</w:t>
      </w:r>
      <w:r>
        <w:rPr>
          <w:rFonts w:ascii="宋体" w:hAnsi="宋体" w:cs="宋体"/>
          <w:bCs/>
          <w:smallCaps/>
          <w:color w:val="000000"/>
          <w:kern w:val="0"/>
          <w:sz w:val="24"/>
          <w:szCs w:val="20"/>
        </w:rPr>
        <w:t>和其他有关规定，制订本章程。</w:t>
      </w:r>
    </w:p>
    <w:p>
      <w:pPr>
        <w:numPr>
          <w:ilvl w:val="0"/>
          <w:numId w:val="2"/>
        </w:numPr>
        <w:tabs>
          <w:tab w:val="left" w:pos="1560"/>
        </w:tabs>
        <w:spacing w:line="320" w:lineRule="exac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系依照</w:t>
      </w:r>
      <w:r>
        <w:rPr>
          <w:rFonts w:hint="eastAsia" w:ascii="宋体" w:hAnsi="宋体" w:cs="宋体"/>
          <w:bCs/>
          <w:smallCaps/>
          <w:color w:val="000000"/>
          <w:kern w:val="0"/>
          <w:sz w:val="24"/>
          <w:szCs w:val="20"/>
        </w:rPr>
        <w:t>《公司法》、《商业银行法》和其他</w:t>
      </w:r>
      <w:r>
        <w:rPr>
          <w:rFonts w:ascii="宋体" w:hAnsi="宋体" w:cs="宋体"/>
          <w:bCs/>
          <w:smallCaps/>
          <w:color w:val="000000"/>
          <w:kern w:val="0"/>
          <w:sz w:val="24"/>
          <w:szCs w:val="20"/>
        </w:rPr>
        <w:t>有关规定成立的股份有限公司。</w:t>
      </w:r>
    </w:p>
    <w:p>
      <w:pPr>
        <w:widowControl/>
        <w:tabs>
          <w:tab w:val="left" w:pos="1560"/>
        </w:tabs>
        <w:spacing w:line="320" w:lineRule="exact"/>
        <w:ind w:firstLine="480"/>
        <w:jc w:val="left"/>
        <w:rPr>
          <w:rFonts w:ascii="宋体" w:hAnsi="宋体" w:cs="宋体"/>
          <w:color w:val="000000"/>
          <w:kern w:val="0"/>
          <w:sz w:val="24"/>
        </w:rPr>
      </w:pPr>
      <w:r>
        <w:rPr>
          <w:rFonts w:hint="eastAsia" w:ascii="宋体" w:hAnsi="宋体" w:cs="宋体"/>
          <w:color w:val="000000"/>
          <w:kern w:val="0"/>
          <w:sz w:val="24"/>
        </w:rPr>
        <w:t>本行</w:t>
      </w:r>
      <w:r>
        <w:rPr>
          <w:rFonts w:ascii="宋体" w:hAnsi="宋体" w:cs="宋体"/>
          <w:color w:val="000000"/>
          <w:kern w:val="0"/>
          <w:sz w:val="24"/>
        </w:rPr>
        <w:t>经</w:t>
      </w:r>
      <w:r>
        <w:rPr>
          <w:rFonts w:hint="eastAsia" w:ascii="宋体" w:hAnsi="宋体" w:cs="宋体"/>
          <w:color w:val="000000"/>
          <w:kern w:val="0"/>
          <w:sz w:val="24"/>
        </w:rPr>
        <w:t>中国人民银行《</w:t>
      </w:r>
      <w:r>
        <w:rPr>
          <w:sz w:val="24"/>
        </w:rPr>
        <w:t>关于厦门城市合作银行开业的批复</w:t>
      </w:r>
      <w:r>
        <w:rPr>
          <w:rFonts w:hint="eastAsia" w:ascii="宋体" w:hAnsi="宋体" w:cs="宋体"/>
          <w:color w:val="000000"/>
          <w:kern w:val="0"/>
          <w:sz w:val="24"/>
        </w:rPr>
        <w:t>》银复[</w:t>
      </w:r>
      <w:r>
        <w:rPr>
          <w:rFonts w:ascii="宋体" w:hAnsi="宋体" w:cs="宋体"/>
          <w:color w:val="000000"/>
          <w:kern w:val="0"/>
          <w:sz w:val="24"/>
        </w:rPr>
        <w:t>1996]387</w:t>
      </w:r>
      <w:r>
        <w:rPr>
          <w:rFonts w:hint="eastAsia" w:ascii="宋体" w:hAnsi="宋体" w:cs="宋体"/>
          <w:color w:val="000000"/>
          <w:kern w:val="0"/>
          <w:sz w:val="24"/>
        </w:rPr>
        <w:t>号文批准</w:t>
      </w:r>
      <w:r>
        <w:rPr>
          <w:rFonts w:ascii="宋体" w:hAnsi="宋体" w:cs="宋体"/>
          <w:color w:val="000000"/>
          <w:kern w:val="0"/>
          <w:sz w:val="24"/>
        </w:rPr>
        <w:t>，以</w:t>
      </w:r>
      <w:r>
        <w:rPr>
          <w:rFonts w:hint="eastAsia" w:ascii="宋体" w:hAnsi="宋体" w:cs="宋体"/>
          <w:color w:val="000000"/>
          <w:kern w:val="0"/>
          <w:sz w:val="24"/>
        </w:rPr>
        <w:t>发起方式</w:t>
      </w:r>
      <w:r>
        <w:rPr>
          <w:rFonts w:ascii="宋体" w:hAnsi="宋体" w:cs="宋体"/>
          <w:color w:val="000000"/>
          <w:kern w:val="0"/>
          <w:sz w:val="24"/>
        </w:rPr>
        <w:t>设立；在</w:t>
      </w:r>
      <w:r>
        <w:rPr>
          <w:rFonts w:hint="eastAsia" w:ascii="宋体" w:hAnsi="宋体" w:cs="宋体"/>
          <w:color w:val="000000"/>
          <w:kern w:val="0"/>
          <w:sz w:val="24"/>
        </w:rPr>
        <w:t>厦门市市场监督管理局</w:t>
      </w:r>
      <w:r>
        <w:rPr>
          <w:rFonts w:ascii="宋体" w:hAnsi="宋体" w:cs="宋体"/>
          <w:color w:val="000000"/>
          <w:kern w:val="0"/>
          <w:sz w:val="24"/>
        </w:rPr>
        <w:t>注册登记，取得营业执照</w:t>
      </w:r>
      <w:r>
        <w:rPr>
          <w:rFonts w:hint="eastAsia" w:ascii="宋体" w:hAnsi="宋体" w:cs="宋体"/>
          <w:color w:val="000000"/>
          <w:kern w:val="0"/>
          <w:sz w:val="24"/>
        </w:rPr>
        <w:t>。本行营业执照统一社会信用代码为</w:t>
      </w:r>
      <w:r>
        <w:rPr>
          <w:rFonts w:ascii="宋体" w:hAnsi="宋体" w:cs="宋体"/>
          <w:color w:val="000000"/>
          <w:kern w:val="0"/>
          <w:sz w:val="24"/>
        </w:rPr>
        <w:t>9135020026013710XM。</w:t>
      </w:r>
    </w:p>
    <w:p>
      <w:pPr>
        <w:numPr>
          <w:ilvl w:val="0"/>
          <w:numId w:val="2"/>
        </w:numPr>
        <w:tabs>
          <w:tab w:val="left" w:pos="1560"/>
        </w:tabs>
        <w:spacing w:line="320" w:lineRule="exac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本行于2020年9月4日经中国证券监督管理委员会（以下简称“中国证监会”）批准，首次向社会公众发行人民币普通股263,912,789股，于2020年10月27日在上海证券交易所上市。</w:t>
      </w:r>
    </w:p>
    <w:p>
      <w:pPr>
        <w:numPr>
          <w:ilvl w:val="0"/>
          <w:numId w:val="2"/>
        </w:numPr>
        <w:tabs>
          <w:tab w:val="left" w:pos="1560"/>
        </w:tabs>
        <w:spacing w:line="320" w:lineRule="exac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本行注册名称：</w:t>
      </w:r>
    </w:p>
    <w:p>
      <w:pPr>
        <w:tabs>
          <w:tab w:val="left" w:pos="1560"/>
        </w:tabs>
        <w:spacing w:line="320" w:lineRule="exact"/>
        <w:ind w:firstLine="480" w:firstLineChars="200"/>
        <w:rPr>
          <w:rFonts w:ascii="宋体" w:hAnsi="宋体"/>
          <w:sz w:val="24"/>
        </w:rPr>
      </w:pPr>
      <w:r>
        <w:rPr>
          <w:rFonts w:hint="eastAsia" w:ascii="宋体" w:hAnsi="宋体" w:cs="宋体"/>
          <w:color w:val="000000"/>
          <w:kern w:val="0"/>
          <w:sz w:val="24"/>
        </w:rPr>
        <w:t>中文名称</w:t>
      </w:r>
      <w:r>
        <w:rPr>
          <w:rFonts w:hint="eastAsia" w:ascii="宋体" w:hAnsi="宋体"/>
          <w:sz w:val="24"/>
        </w:rPr>
        <w:t>全称为：厦门银行股份有限公司，简称为：厦门银行。</w:t>
      </w:r>
    </w:p>
    <w:p>
      <w:pPr>
        <w:tabs>
          <w:tab w:val="left" w:pos="1560"/>
        </w:tabs>
        <w:spacing w:line="320" w:lineRule="exact"/>
        <w:ind w:firstLine="480" w:firstLineChars="200"/>
        <w:rPr>
          <w:rFonts w:ascii="宋体" w:hAnsi="宋体"/>
          <w:sz w:val="24"/>
        </w:rPr>
      </w:pPr>
      <w:r>
        <w:rPr>
          <w:rFonts w:hint="eastAsia" w:ascii="宋体" w:hAnsi="宋体"/>
          <w:sz w:val="24"/>
        </w:rPr>
        <w:t>英文名称全称为：XIAMEN BANK CO.，LTD，简称为：XIAMEN  BANK</w:t>
      </w:r>
    </w:p>
    <w:p>
      <w:pPr>
        <w:numPr>
          <w:ilvl w:val="0"/>
          <w:numId w:val="2"/>
        </w:numPr>
        <w:tabs>
          <w:tab w:val="left" w:pos="1560"/>
        </w:tabs>
        <w:spacing w:line="320" w:lineRule="exact"/>
        <w:rPr>
          <w:rFonts w:ascii="宋体" w:hAnsi="宋体"/>
          <w:sz w:val="24"/>
        </w:rPr>
      </w:pPr>
      <w:r>
        <w:rPr>
          <w:rFonts w:hint="eastAsia" w:ascii="宋体" w:hAnsi="宋体"/>
          <w:sz w:val="24"/>
        </w:rPr>
        <w:t>本行住所为福建省厦门市</w:t>
      </w:r>
      <w:r>
        <w:rPr>
          <w:rFonts w:hint="eastAsia" w:ascii="宋体" w:hAnsi="宋体" w:cs="宋体"/>
          <w:color w:val="000000"/>
          <w:kern w:val="0"/>
          <w:sz w:val="24"/>
        </w:rPr>
        <w:t>湖滨北路101号商业银行大厦</w:t>
      </w:r>
      <w:r>
        <w:rPr>
          <w:rFonts w:hint="eastAsia" w:ascii="宋体" w:hAnsi="宋体"/>
          <w:sz w:val="24"/>
        </w:rPr>
        <w:t>，邮政编码：361012。</w:t>
      </w:r>
    </w:p>
    <w:p>
      <w:pPr>
        <w:numPr>
          <w:ilvl w:val="0"/>
          <w:numId w:val="2"/>
        </w:numPr>
        <w:tabs>
          <w:tab w:val="left" w:pos="1560"/>
        </w:tabs>
        <w:spacing w:line="320" w:lineRule="exact"/>
        <w:rPr>
          <w:rFonts w:ascii="宋体" w:hAnsi="宋体"/>
          <w:sz w:val="24"/>
        </w:rPr>
      </w:pPr>
      <w:r>
        <w:rPr>
          <w:rFonts w:hint="eastAsia" w:ascii="宋体" w:hAnsi="宋体" w:cs="宋体"/>
          <w:color w:val="000000"/>
          <w:kern w:val="0"/>
          <w:sz w:val="24"/>
        </w:rPr>
        <w:t>本行</w:t>
      </w:r>
      <w:r>
        <w:rPr>
          <w:rFonts w:ascii="宋体" w:hAnsi="宋体" w:cs="宋体"/>
          <w:color w:val="000000"/>
          <w:kern w:val="0"/>
          <w:sz w:val="24"/>
        </w:rPr>
        <w:t>注册资本为</w:t>
      </w:r>
      <w:r>
        <w:rPr>
          <w:rFonts w:hint="eastAsia" w:ascii="宋体" w:hAnsi="宋体" w:cs="宋体"/>
          <w:color w:val="000000"/>
          <w:kern w:val="0"/>
          <w:sz w:val="24"/>
        </w:rPr>
        <w:t>人民币2,639,127,888</w:t>
      </w:r>
      <w:r>
        <w:rPr>
          <w:rFonts w:hint="eastAsia" w:ascii="宋体" w:hAnsi="宋体"/>
          <w:sz w:val="24"/>
        </w:rPr>
        <w:t>元。</w:t>
      </w:r>
    </w:p>
    <w:p>
      <w:pPr>
        <w:widowControl/>
        <w:numPr>
          <w:ilvl w:val="0"/>
          <w:numId w:val="2"/>
        </w:numPr>
        <w:tabs>
          <w:tab w:val="left" w:pos="1560"/>
        </w:tabs>
        <w:spacing w:line="320" w:lineRule="exact"/>
        <w:jc w:val="left"/>
        <w:rPr>
          <w:rFonts w:ascii="宋体" w:hAnsi="宋体" w:cs="宋体"/>
          <w:color w:val="000000"/>
          <w:kern w:val="0"/>
          <w:sz w:val="24"/>
        </w:rPr>
      </w:pPr>
      <w:r>
        <w:rPr>
          <w:rFonts w:hint="eastAsia" w:ascii="宋体" w:hAnsi="宋体" w:cs="宋体"/>
          <w:color w:val="000000"/>
          <w:kern w:val="0"/>
          <w:sz w:val="24"/>
        </w:rPr>
        <w:t>本行</w:t>
      </w:r>
      <w:r>
        <w:rPr>
          <w:rFonts w:ascii="宋体" w:hAnsi="宋体" w:cs="宋体"/>
          <w:color w:val="000000"/>
          <w:kern w:val="0"/>
          <w:sz w:val="24"/>
        </w:rPr>
        <w:t>为</w:t>
      </w:r>
      <w:r>
        <w:rPr>
          <w:rFonts w:hint="eastAsia" w:ascii="宋体" w:hAnsi="宋体" w:cs="宋体"/>
          <w:color w:val="000000"/>
          <w:kern w:val="0"/>
          <w:sz w:val="24"/>
        </w:rPr>
        <w:t>永久存续的股份有限公司</w:t>
      </w:r>
      <w:r>
        <w:rPr>
          <w:rFonts w:ascii="宋体" w:hAnsi="宋体" w:cs="宋体"/>
          <w:color w:val="000000"/>
          <w:kern w:val="0"/>
          <w:sz w:val="24"/>
        </w:rPr>
        <w:t>。</w:t>
      </w:r>
    </w:p>
    <w:p>
      <w:pPr>
        <w:widowControl/>
        <w:numPr>
          <w:ilvl w:val="0"/>
          <w:numId w:val="2"/>
        </w:numPr>
        <w:tabs>
          <w:tab w:val="left" w:pos="1560"/>
        </w:tabs>
        <w:spacing w:line="320" w:lineRule="exact"/>
        <w:jc w:val="left"/>
        <w:rPr>
          <w:rFonts w:ascii="宋体" w:hAnsi="宋体" w:cs="宋体"/>
          <w:color w:val="000000"/>
          <w:kern w:val="0"/>
          <w:sz w:val="24"/>
        </w:rPr>
      </w:pPr>
      <w:r>
        <w:rPr>
          <w:rFonts w:ascii="宋体" w:hAnsi="宋体" w:cs="宋体"/>
          <w:color w:val="000000"/>
          <w:kern w:val="0"/>
          <w:sz w:val="24"/>
        </w:rPr>
        <w:t>董事长为</w:t>
      </w:r>
      <w:r>
        <w:rPr>
          <w:rFonts w:hint="eastAsia" w:ascii="宋体" w:hAnsi="宋体" w:cs="宋体"/>
          <w:color w:val="000000"/>
          <w:kern w:val="0"/>
          <w:sz w:val="24"/>
        </w:rPr>
        <w:t>本行</w:t>
      </w:r>
      <w:r>
        <w:rPr>
          <w:rFonts w:ascii="宋体" w:hAnsi="宋体" w:cs="宋体"/>
          <w:color w:val="000000"/>
          <w:kern w:val="0"/>
          <w:sz w:val="24"/>
        </w:rPr>
        <w:t>的法定代表人。</w:t>
      </w:r>
    </w:p>
    <w:p>
      <w:pPr>
        <w:widowControl/>
        <w:numPr>
          <w:ilvl w:val="0"/>
          <w:numId w:val="2"/>
        </w:numPr>
        <w:tabs>
          <w:tab w:val="left" w:pos="1560"/>
        </w:tabs>
        <w:spacing w:line="320" w:lineRule="exact"/>
        <w:jc w:val="left"/>
        <w:rPr>
          <w:rFonts w:ascii="宋体" w:hAnsi="宋体" w:cs="宋体"/>
          <w:color w:val="000000"/>
          <w:kern w:val="0"/>
          <w:sz w:val="24"/>
        </w:rPr>
      </w:pPr>
      <w:r>
        <w:rPr>
          <w:rFonts w:hint="eastAsia" w:ascii="宋体" w:hAnsi="宋体" w:cs="宋体"/>
          <w:color w:val="000000"/>
          <w:kern w:val="0"/>
          <w:sz w:val="24"/>
        </w:rPr>
        <w:t>本行</w:t>
      </w:r>
      <w:r>
        <w:rPr>
          <w:rFonts w:ascii="宋体" w:hAnsi="宋体" w:cs="宋体"/>
          <w:color w:val="000000"/>
          <w:kern w:val="0"/>
          <w:sz w:val="24"/>
        </w:rPr>
        <w:t>全部资</w:t>
      </w:r>
      <w:r>
        <w:rPr>
          <w:rFonts w:hint="eastAsia" w:ascii="宋体" w:hAnsi="宋体" w:cs="宋体"/>
          <w:color w:val="000000"/>
          <w:kern w:val="0"/>
          <w:sz w:val="24"/>
        </w:rPr>
        <w:t>本</w:t>
      </w:r>
      <w:r>
        <w:rPr>
          <w:rFonts w:ascii="宋体" w:hAnsi="宋体" w:cs="宋体"/>
          <w:color w:val="000000"/>
          <w:kern w:val="0"/>
          <w:sz w:val="24"/>
        </w:rPr>
        <w:t>分为等额股份，股东以其所持股份为限对</w:t>
      </w:r>
      <w:r>
        <w:rPr>
          <w:rFonts w:hint="eastAsia" w:ascii="宋体" w:hAnsi="宋体" w:cs="宋体"/>
          <w:color w:val="000000"/>
          <w:kern w:val="0"/>
          <w:sz w:val="24"/>
        </w:rPr>
        <w:t>本行</w:t>
      </w:r>
      <w:r>
        <w:rPr>
          <w:rFonts w:ascii="宋体" w:hAnsi="宋体" w:cs="宋体"/>
          <w:color w:val="000000"/>
          <w:kern w:val="0"/>
          <w:sz w:val="24"/>
        </w:rPr>
        <w:t>承担责任，</w:t>
      </w:r>
      <w:r>
        <w:rPr>
          <w:rFonts w:hint="eastAsia" w:ascii="宋体" w:hAnsi="宋体" w:cs="宋体"/>
          <w:color w:val="000000"/>
          <w:kern w:val="0"/>
          <w:sz w:val="24"/>
        </w:rPr>
        <w:t>本行</w:t>
      </w:r>
      <w:r>
        <w:rPr>
          <w:rFonts w:ascii="宋体" w:hAnsi="宋体" w:cs="宋体"/>
          <w:color w:val="000000"/>
          <w:kern w:val="0"/>
          <w:sz w:val="24"/>
        </w:rPr>
        <w:t>以其全部资产对</w:t>
      </w:r>
      <w:r>
        <w:rPr>
          <w:rFonts w:hint="eastAsia" w:ascii="宋体" w:hAnsi="宋体" w:cs="宋体"/>
          <w:color w:val="000000"/>
          <w:kern w:val="0"/>
          <w:sz w:val="24"/>
        </w:rPr>
        <w:t>本行</w:t>
      </w:r>
      <w:r>
        <w:rPr>
          <w:rFonts w:ascii="宋体" w:hAnsi="宋体" w:cs="宋体"/>
          <w:color w:val="000000"/>
          <w:kern w:val="0"/>
          <w:sz w:val="24"/>
        </w:rPr>
        <w:t>的债务承担责任。</w:t>
      </w:r>
    </w:p>
    <w:p>
      <w:pPr>
        <w:widowControl/>
        <w:numPr>
          <w:ilvl w:val="0"/>
          <w:numId w:val="2"/>
        </w:numPr>
        <w:tabs>
          <w:tab w:val="left" w:pos="1560"/>
        </w:tabs>
        <w:spacing w:line="320" w:lineRule="exact"/>
        <w:jc w:val="left"/>
        <w:rPr>
          <w:rFonts w:ascii="宋体" w:hAnsi="宋体" w:cs="宋体"/>
          <w:color w:val="000000"/>
          <w:kern w:val="0"/>
          <w:sz w:val="24"/>
        </w:rPr>
      </w:pPr>
      <w:r>
        <w:rPr>
          <w:rFonts w:ascii="宋体" w:hAnsi="宋体" w:cs="宋体"/>
          <w:color w:val="000000"/>
          <w:kern w:val="0"/>
          <w:sz w:val="24"/>
        </w:rPr>
        <w:t>本章程自生效之日起，即成为规范</w:t>
      </w:r>
      <w:r>
        <w:rPr>
          <w:rFonts w:hint="eastAsia" w:ascii="宋体" w:hAnsi="宋体" w:cs="宋体"/>
          <w:color w:val="000000"/>
          <w:kern w:val="0"/>
          <w:sz w:val="24"/>
        </w:rPr>
        <w:t>本行的</w:t>
      </w:r>
      <w:r>
        <w:rPr>
          <w:rFonts w:ascii="宋体" w:hAnsi="宋体" w:cs="宋体"/>
          <w:color w:val="000000"/>
          <w:kern w:val="0"/>
          <w:sz w:val="24"/>
        </w:rPr>
        <w:t>组织与行为、</w:t>
      </w:r>
      <w:r>
        <w:rPr>
          <w:rFonts w:hint="eastAsia" w:ascii="宋体" w:hAnsi="宋体" w:cs="宋体"/>
          <w:color w:val="000000"/>
          <w:kern w:val="0"/>
          <w:sz w:val="24"/>
        </w:rPr>
        <w:t>本行</w:t>
      </w:r>
      <w:r>
        <w:rPr>
          <w:rFonts w:ascii="宋体" w:hAnsi="宋体" w:cs="宋体"/>
          <w:color w:val="000000"/>
          <w:kern w:val="0"/>
          <w:sz w:val="24"/>
        </w:rPr>
        <w:t>与股东、股东与股东之间权利义务关系的</w:t>
      </w:r>
      <w:r>
        <w:rPr>
          <w:rFonts w:hint="eastAsia" w:ascii="宋体" w:hAnsi="宋体" w:cs="宋体"/>
          <w:color w:val="000000"/>
          <w:kern w:val="0"/>
          <w:sz w:val="24"/>
        </w:rPr>
        <w:t>，规范董事、监事、高级管理人员行为的，</w:t>
      </w:r>
      <w:r>
        <w:rPr>
          <w:rFonts w:ascii="宋体" w:hAnsi="宋体" w:cs="宋体"/>
          <w:color w:val="000000"/>
          <w:kern w:val="0"/>
          <w:sz w:val="24"/>
        </w:rPr>
        <w:t>具有法律约束力的文件。</w:t>
      </w:r>
      <w:r>
        <w:rPr>
          <w:rFonts w:hint="eastAsia" w:ascii="宋体" w:hAnsi="宋体" w:cs="宋体"/>
          <w:color w:val="000000"/>
          <w:kern w:val="0"/>
          <w:sz w:val="24"/>
        </w:rPr>
        <w:t>依据本章程，股东可以起诉股东，股东可以起诉本行董事、监事、高级管理人员，股东可以起诉本行，本行可以起诉股东、董事、监事、高级管理人员。</w:t>
      </w:r>
    </w:p>
    <w:p>
      <w:pPr>
        <w:widowControl/>
        <w:numPr>
          <w:ilvl w:val="0"/>
          <w:numId w:val="2"/>
        </w:numPr>
        <w:tabs>
          <w:tab w:val="left" w:pos="1440"/>
          <w:tab w:val="left" w:pos="1843"/>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本行为自主经营、自担风险、自负盈亏、自我约束的公司法人，依法开展各项商业银行业务，不受任何单位和个人的干涉。</w:t>
      </w:r>
    </w:p>
    <w:p>
      <w:pPr>
        <w:widowControl/>
        <w:spacing w:line="320" w:lineRule="exact"/>
        <w:jc w:val="left"/>
        <w:rPr>
          <w:rFonts w:ascii="宋体" w:hAnsi="宋体" w:cs="宋体"/>
          <w:color w:val="000000"/>
          <w:kern w:val="0"/>
          <w:sz w:val="24"/>
        </w:rPr>
      </w:pPr>
      <w:r>
        <w:rPr>
          <w:rFonts w:hint="eastAsia" w:ascii="宋体" w:hAnsi="宋体" w:cs="宋体"/>
          <w:color w:val="000000"/>
          <w:kern w:val="0"/>
          <w:sz w:val="24"/>
        </w:rPr>
        <w:t xml:space="preserve">    本行依法接受银行业监督管理机构的监管。</w:t>
      </w:r>
    </w:p>
    <w:p>
      <w:pPr>
        <w:widowControl/>
        <w:numPr>
          <w:ilvl w:val="0"/>
          <w:numId w:val="2"/>
        </w:numPr>
        <w:tabs>
          <w:tab w:val="left" w:pos="1440"/>
          <w:tab w:val="left" w:pos="1843"/>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本行可根据业务发展需要，经银行业监督管理机构审查批准后设立分支机构，分支机构不具备独立法人资格。</w:t>
      </w:r>
      <w:r>
        <w:rPr>
          <w:rFonts w:hint="eastAsia" w:ascii="宋体" w:hAnsi="宋体" w:cs="宋体"/>
          <w:smallCaps/>
          <w:color w:val="000000"/>
          <w:kern w:val="0"/>
          <w:sz w:val="24"/>
          <w:szCs w:val="20"/>
        </w:rPr>
        <w:t>分支机构在总行授权的范围内开展经营活动。</w:t>
      </w:r>
    </w:p>
    <w:p>
      <w:pPr>
        <w:widowControl/>
        <w:numPr>
          <w:ilvl w:val="0"/>
          <w:numId w:val="2"/>
        </w:numPr>
        <w:tabs>
          <w:tab w:val="left" w:pos="1440"/>
          <w:tab w:val="left" w:pos="1843"/>
          <w:tab w:val="clear" w:pos="1920"/>
        </w:tabs>
        <w:spacing w:line="320" w:lineRule="exact"/>
        <w:ind w:firstLineChars="200"/>
        <w:jc w:val="left"/>
        <w:rPr>
          <w:rFonts w:ascii="宋体" w:hAnsi="宋体" w:cs="宋体"/>
          <w:color w:val="000000"/>
          <w:kern w:val="0"/>
          <w:sz w:val="24"/>
        </w:rPr>
      </w:pPr>
      <w:r>
        <w:rPr>
          <w:rFonts w:hint="eastAsia" w:ascii="宋体" w:hAnsi="宋体" w:cs="宋体"/>
          <w:color w:val="000000"/>
          <w:kern w:val="0"/>
          <w:sz w:val="24"/>
        </w:rPr>
        <w:t>根据《中国共产党章程》规定，设立中国共产党的组织，引导和监督本行遵守国家的法律法规，领导工会、共青团等群团组织，团结凝聚职工群众，维护各方的合法权益，促进本行健康发展。本行公司治理坚持党的政治核心地位，把党的领导和公司治理有机统一起来，贯彻落实党中央所制定的一系列经济金融大政方针。</w:t>
      </w:r>
    </w:p>
    <w:p>
      <w:pPr>
        <w:widowControl/>
        <w:tabs>
          <w:tab w:val="left" w:pos="1440"/>
        </w:tabs>
        <w:spacing w:line="3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本行建立党的工作机构并配备足够数量的党务工作人员，保障党组织的工作经费。</w:t>
      </w:r>
    </w:p>
    <w:p>
      <w:pPr>
        <w:widowControl/>
        <w:spacing w:line="320" w:lineRule="exact"/>
        <w:ind w:firstLine="480" w:firstLineChars="200"/>
        <w:jc w:val="left"/>
        <w:rPr>
          <w:rFonts w:ascii="宋体" w:hAnsi="宋体" w:cs="宋体"/>
          <w:color w:val="000000"/>
          <w:kern w:val="0"/>
          <w:sz w:val="24"/>
        </w:rPr>
      </w:pPr>
    </w:p>
    <w:p>
      <w:pPr>
        <w:widowControl/>
        <w:numPr>
          <w:ilvl w:val="0"/>
          <w:numId w:val="1"/>
        </w:numPr>
        <w:spacing w:before="100" w:beforeAutospacing="1" w:after="100" w:afterAutospacing="1" w:line="320" w:lineRule="exact"/>
        <w:jc w:val="center"/>
        <w:outlineLvl w:val="0"/>
        <w:rPr>
          <w:rFonts w:ascii="宋体" w:hAnsi="宋体" w:cs="宋体"/>
          <w:b/>
          <w:bCs/>
          <w:smallCaps/>
          <w:color w:val="000000"/>
          <w:kern w:val="0"/>
          <w:sz w:val="24"/>
        </w:rPr>
      </w:pPr>
      <w:bookmarkStart w:id="3" w:name="_Toc19084"/>
      <w:bookmarkStart w:id="4" w:name="_Toc29553"/>
      <w:bookmarkStart w:id="5" w:name="_Toc41895444"/>
      <w:r>
        <w:rPr>
          <w:rFonts w:ascii="宋体" w:hAnsi="宋体" w:cs="宋体"/>
          <w:b/>
          <w:bCs/>
          <w:smallCaps/>
          <w:color w:val="000000"/>
          <w:kern w:val="0"/>
          <w:sz w:val="24"/>
        </w:rPr>
        <w:t>经营宗旨和范围</w:t>
      </w:r>
      <w:bookmarkEnd w:id="3"/>
      <w:bookmarkEnd w:id="4"/>
      <w:bookmarkEnd w:id="5"/>
    </w:p>
    <w:p>
      <w:pPr>
        <w:widowControl/>
        <w:numPr>
          <w:ilvl w:val="0"/>
          <w:numId w:val="2"/>
        </w:numPr>
        <w:tabs>
          <w:tab w:val="left" w:pos="1440"/>
          <w:tab w:val="left" w:pos="1843"/>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本行</w:t>
      </w:r>
      <w:r>
        <w:rPr>
          <w:rFonts w:ascii="宋体" w:hAnsi="宋体" w:cs="宋体"/>
          <w:color w:val="000000"/>
          <w:kern w:val="0"/>
          <w:sz w:val="24"/>
        </w:rPr>
        <w:t>的经营宗旨：</w:t>
      </w:r>
      <w:bookmarkStart w:id="6" w:name="13"/>
      <w:r>
        <w:rPr>
          <w:rFonts w:hint="eastAsia" w:ascii="宋体" w:hAnsi="宋体" w:cs="宋体"/>
          <w:color w:val="000000"/>
          <w:kern w:val="0"/>
          <w:sz w:val="24"/>
        </w:rPr>
        <w:t>存款立行、客户至上、经营稳健、信誉为本，遵照国家法律、法规和金融政策，依据银行业基本惯例和法则，提供全方位优质金融服务，不断拓展经营空间，实现自身可持续发展。</w:t>
      </w:r>
    </w:p>
    <w:p>
      <w:pPr>
        <w:widowControl/>
        <w:numPr>
          <w:ilvl w:val="0"/>
          <w:numId w:val="2"/>
        </w:numPr>
        <w:tabs>
          <w:tab w:val="left" w:pos="1440"/>
          <w:tab w:val="left" w:pos="1843"/>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经银行业监督管理机构等监管机构批准，并</w:t>
      </w:r>
      <w:r>
        <w:rPr>
          <w:rFonts w:ascii="宋体" w:hAnsi="宋体" w:cs="宋体"/>
          <w:color w:val="000000"/>
          <w:kern w:val="0"/>
          <w:sz w:val="24"/>
        </w:rPr>
        <w:t>经登记机关核准，</w:t>
      </w:r>
      <w:r>
        <w:rPr>
          <w:rFonts w:hint="eastAsia" w:ascii="宋体" w:hAnsi="宋体" w:cs="宋体"/>
          <w:color w:val="000000"/>
          <w:kern w:val="0"/>
          <w:sz w:val="24"/>
        </w:rPr>
        <w:t>本行</w:t>
      </w:r>
      <w:r>
        <w:rPr>
          <w:rFonts w:ascii="宋体" w:hAnsi="宋体" w:cs="宋体"/>
          <w:color w:val="000000"/>
          <w:kern w:val="0"/>
          <w:sz w:val="24"/>
        </w:rPr>
        <w:t>经营范围</w:t>
      </w:r>
      <w:r>
        <w:rPr>
          <w:rFonts w:hint="eastAsia" w:ascii="宋体" w:hAnsi="宋体" w:cs="宋体"/>
          <w:color w:val="000000"/>
          <w:kern w:val="0"/>
          <w:sz w:val="24"/>
        </w:rPr>
        <w:t>为：</w:t>
      </w:r>
    </w:p>
    <w:p>
      <w:pPr>
        <w:numPr>
          <w:ilvl w:val="0"/>
          <w:numId w:val="3"/>
        </w:numPr>
        <w:spacing w:line="320" w:lineRule="exact"/>
        <w:rPr>
          <w:rFonts w:ascii="宋体" w:hAnsi="宋体"/>
          <w:sz w:val="24"/>
        </w:rPr>
      </w:pPr>
      <w:r>
        <w:rPr>
          <w:rFonts w:hint="eastAsia" w:ascii="宋体" w:hAnsi="宋体"/>
          <w:sz w:val="24"/>
        </w:rPr>
        <w:t>吸收公众存款；</w:t>
      </w:r>
    </w:p>
    <w:p>
      <w:pPr>
        <w:numPr>
          <w:ilvl w:val="0"/>
          <w:numId w:val="3"/>
        </w:numPr>
        <w:spacing w:line="320" w:lineRule="exact"/>
        <w:rPr>
          <w:rFonts w:ascii="宋体" w:hAnsi="宋体"/>
          <w:sz w:val="24"/>
        </w:rPr>
      </w:pPr>
      <w:r>
        <w:rPr>
          <w:rFonts w:hint="eastAsia" w:ascii="宋体" w:hAnsi="宋体"/>
          <w:sz w:val="24"/>
        </w:rPr>
        <w:t>发放短期、中期和长期贷款；</w:t>
      </w:r>
    </w:p>
    <w:p>
      <w:pPr>
        <w:numPr>
          <w:ilvl w:val="0"/>
          <w:numId w:val="3"/>
        </w:numPr>
        <w:spacing w:line="320" w:lineRule="exact"/>
        <w:rPr>
          <w:rFonts w:ascii="宋体" w:hAnsi="宋体"/>
          <w:sz w:val="24"/>
        </w:rPr>
      </w:pPr>
      <w:r>
        <w:rPr>
          <w:rFonts w:hint="eastAsia" w:ascii="宋体" w:hAnsi="宋体"/>
          <w:sz w:val="24"/>
        </w:rPr>
        <w:t>办理国内结算；</w:t>
      </w:r>
    </w:p>
    <w:p>
      <w:pPr>
        <w:numPr>
          <w:ilvl w:val="0"/>
          <w:numId w:val="3"/>
        </w:numPr>
        <w:spacing w:line="320" w:lineRule="exact"/>
        <w:rPr>
          <w:rFonts w:ascii="宋体" w:hAnsi="宋体"/>
          <w:sz w:val="24"/>
        </w:rPr>
      </w:pPr>
      <w:r>
        <w:rPr>
          <w:rFonts w:hint="eastAsia" w:ascii="宋体" w:hAnsi="宋体"/>
          <w:sz w:val="24"/>
        </w:rPr>
        <w:t>办理票据贴现；</w:t>
      </w:r>
    </w:p>
    <w:p>
      <w:pPr>
        <w:numPr>
          <w:ilvl w:val="0"/>
          <w:numId w:val="3"/>
        </w:numPr>
        <w:spacing w:line="320" w:lineRule="exact"/>
        <w:rPr>
          <w:rFonts w:ascii="宋体" w:hAnsi="宋体"/>
          <w:sz w:val="24"/>
        </w:rPr>
      </w:pPr>
      <w:r>
        <w:rPr>
          <w:rFonts w:hint="eastAsia" w:ascii="宋体" w:hAnsi="宋体"/>
          <w:sz w:val="24"/>
        </w:rPr>
        <w:t>发行金融债券；</w:t>
      </w:r>
    </w:p>
    <w:p>
      <w:pPr>
        <w:numPr>
          <w:ilvl w:val="0"/>
          <w:numId w:val="3"/>
        </w:numPr>
        <w:spacing w:line="320" w:lineRule="exact"/>
        <w:rPr>
          <w:rFonts w:ascii="宋体" w:hAnsi="宋体"/>
          <w:sz w:val="24"/>
        </w:rPr>
      </w:pPr>
      <w:r>
        <w:rPr>
          <w:rFonts w:hint="eastAsia" w:ascii="宋体" w:hAnsi="宋体"/>
          <w:sz w:val="24"/>
        </w:rPr>
        <w:t>代理发行、代理兑付、承销政府债券；</w:t>
      </w:r>
    </w:p>
    <w:p>
      <w:pPr>
        <w:numPr>
          <w:ilvl w:val="0"/>
          <w:numId w:val="3"/>
        </w:numPr>
        <w:spacing w:line="320" w:lineRule="exact"/>
        <w:rPr>
          <w:rFonts w:ascii="宋体" w:hAnsi="宋体"/>
          <w:sz w:val="24"/>
        </w:rPr>
      </w:pPr>
      <w:r>
        <w:rPr>
          <w:rFonts w:hint="eastAsia" w:ascii="宋体" w:hAnsi="宋体"/>
          <w:sz w:val="24"/>
        </w:rPr>
        <w:t>买卖政府债券；</w:t>
      </w:r>
    </w:p>
    <w:p>
      <w:pPr>
        <w:numPr>
          <w:ilvl w:val="0"/>
          <w:numId w:val="3"/>
        </w:numPr>
        <w:spacing w:line="320" w:lineRule="exact"/>
        <w:rPr>
          <w:rFonts w:ascii="宋体" w:hAnsi="宋体"/>
          <w:sz w:val="24"/>
        </w:rPr>
      </w:pPr>
      <w:r>
        <w:rPr>
          <w:rFonts w:hint="eastAsia" w:ascii="宋体" w:hAnsi="宋体"/>
          <w:sz w:val="24"/>
        </w:rPr>
        <w:t>从事同业拆借；</w:t>
      </w:r>
    </w:p>
    <w:p>
      <w:pPr>
        <w:numPr>
          <w:ilvl w:val="0"/>
          <w:numId w:val="3"/>
        </w:numPr>
        <w:spacing w:line="320" w:lineRule="exact"/>
        <w:rPr>
          <w:rFonts w:ascii="宋体" w:hAnsi="宋体"/>
          <w:sz w:val="24"/>
        </w:rPr>
      </w:pPr>
      <w:r>
        <w:rPr>
          <w:rFonts w:hint="eastAsia" w:ascii="宋体" w:hAnsi="宋体"/>
          <w:sz w:val="24"/>
        </w:rPr>
        <w:t>提供担保及服务；</w:t>
      </w:r>
    </w:p>
    <w:p>
      <w:pPr>
        <w:numPr>
          <w:ilvl w:val="0"/>
          <w:numId w:val="3"/>
        </w:numPr>
        <w:spacing w:line="320" w:lineRule="exact"/>
        <w:rPr>
          <w:rFonts w:ascii="宋体" w:hAnsi="宋体"/>
          <w:sz w:val="24"/>
        </w:rPr>
      </w:pPr>
      <w:r>
        <w:rPr>
          <w:rFonts w:hint="eastAsia" w:ascii="宋体" w:hAnsi="宋体"/>
          <w:sz w:val="24"/>
        </w:rPr>
        <w:t>代理收付款项及代理保险业务；</w:t>
      </w:r>
    </w:p>
    <w:p>
      <w:pPr>
        <w:tabs>
          <w:tab w:val="left" w:pos="1276"/>
          <w:tab w:val="left" w:pos="1560"/>
        </w:tabs>
        <w:spacing w:line="320" w:lineRule="exact"/>
        <w:ind w:left="480"/>
        <w:rPr>
          <w:rFonts w:ascii="宋体" w:hAnsi="宋体"/>
          <w:sz w:val="24"/>
        </w:rPr>
      </w:pPr>
      <w:r>
        <w:rPr>
          <w:rFonts w:hint="eastAsia" w:ascii="宋体" w:hAnsi="宋体"/>
          <w:sz w:val="24"/>
        </w:rPr>
        <w:t>（十一）提供保管箱服务；</w:t>
      </w:r>
    </w:p>
    <w:p>
      <w:pPr>
        <w:tabs>
          <w:tab w:val="left" w:pos="1276"/>
          <w:tab w:val="left" w:pos="1560"/>
        </w:tabs>
        <w:spacing w:line="320" w:lineRule="exact"/>
        <w:ind w:firstLine="480" w:firstLineChars="200"/>
        <w:rPr>
          <w:rFonts w:ascii="宋体" w:hAnsi="宋体"/>
          <w:sz w:val="24"/>
        </w:rPr>
      </w:pPr>
      <w:r>
        <w:rPr>
          <w:rFonts w:hint="eastAsia" w:ascii="宋体" w:hAnsi="宋体"/>
          <w:sz w:val="24"/>
        </w:rPr>
        <w:t>（十二）办理地方财政信用周转使用资金的委托贷款业务；</w:t>
      </w:r>
    </w:p>
    <w:p>
      <w:pPr>
        <w:tabs>
          <w:tab w:val="left" w:pos="1276"/>
          <w:tab w:val="left" w:pos="1560"/>
        </w:tabs>
        <w:spacing w:line="320" w:lineRule="exact"/>
        <w:ind w:firstLine="480" w:firstLineChars="200"/>
        <w:rPr>
          <w:rFonts w:ascii="宋体" w:hAnsi="宋体"/>
          <w:sz w:val="24"/>
        </w:rPr>
      </w:pPr>
      <w:r>
        <w:rPr>
          <w:rFonts w:hint="eastAsia" w:ascii="宋体" w:hAnsi="宋体"/>
          <w:sz w:val="24"/>
        </w:rPr>
        <w:t>（十三）外汇存款、外汇贷款、外汇汇款、外币兑换、外汇同业拆借、国际结算、结汇、售汇、外汇票据的承兑和贴现、资信调查、咨询、见证业务；</w:t>
      </w:r>
    </w:p>
    <w:p>
      <w:pPr>
        <w:tabs>
          <w:tab w:val="left" w:pos="1276"/>
          <w:tab w:val="left" w:pos="1560"/>
        </w:tabs>
        <w:spacing w:line="320" w:lineRule="exact"/>
        <w:ind w:firstLine="480" w:firstLineChars="200"/>
        <w:rPr>
          <w:rFonts w:ascii="宋体" w:hAnsi="宋体"/>
          <w:sz w:val="24"/>
        </w:rPr>
      </w:pPr>
      <w:r>
        <w:rPr>
          <w:rFonts w:hint="eastAsia" w:ascii="宋体" w:hAnsi="宋体"/>
          <w:sz w:val="24"/>
        </w:rPr>
        <w:t>（十四）</w:t>
      </w:r>
      <w:r>
        <w:rPr>
          <w:rFonts w:ascii="宋体" w:hAnsi="宋体"/>
          <w:sz w:val="24"/>
        </w:rPr>
        <w:t>经银行业监督管理机构</w:t>
      </w:r>
      <w:r>
        <w:rPr>
          <w:rFonts w:hint="eastAsia" w:ascii="宋体" w:hAnsi="宋体"/>
          <w:sz w:val="24"/>
        </w:rPr>
        <w:t>等监管机构</w:t>
      </w:r>
      <w:r>
        <w:rPr>
          <w:rFonts w:ascii="宋体" w:hAnsi="宋体"/>
          <w:sz w:val="24"/>
        </w:rPr>
        <w:t>批准的</w:t>
      </w:r>
      <w:r>
        <w:rPr>
          <w:rFonts w:hint="eastAsia" w:ascii="宋体" w:hAnsi="宋体"/>
          <w:sz w:val="24"/>
        </w:rPr>
        <w:t>其他业务。　</w:t>
      </w:r>
      <w:bookmarkEnd w:id="6"/>
    </w:p>
    <w:p>
      <w:pPr>
        <w:widowControl/>
        <w:numPr>
          <w:ilvl w:val="0"/>
          <w:numId w:val="1"/>
        </w:numPr>
        <w:tabs>
          <w:tab w:val="left" w:pos="0"/>
          <w:tab w:val="clear" w:pos="1440"/>
        </w:tabs>
        <w:spacing w:before="100" w:beforeAutospacing="1" w:after="100" w:afterAutospacing="1" w:line="320" w:lineRule="exact"/>
        <w:ind w:left="0" w:firstLine="0"/>
        <w:jc w:val="center"/>
        <w:outlineLvl w:val="0"/>
        <w:rPr>
          <w:rFonts w:ascii="宋体" w:hAnsi="宋体" w:cs="宋体"/>
          <w:b/>
          <w:bCs/>
          <w:smallCaps/>
          <w:color w:val="000000"/>
          <w:kern w:val="0"/>
          <w:sz w:val="24"/>
        </w:rPr>
      </w:pPr>
      <w:bookmarkStart w:id="7" w:name="_Toc18287"/>
      <w:bookmarkStart w:id="8" w:name="_Toc41895445"/>
      <w:bookmarkStart w:id="9" w:name="_Toc32247"/>
      <w:r>
        <w:rPr>
          <w:rFonts w:ascii="宋体" w:hAnsi="宋体" w:cs="宋体"/>
          <w:b/>
          <w:bCs/>
          <w:smallCaps/>
          <w:color w:val="000000"/>
          <w:kern w:val="0"/>
          <w:sz w:val="24"/>
        </w:rPr>
        <w:t>股份</w:t>
      </w:r>
      <w:bookmarkEnd w:id="7"/>
      <w:bookmarkEnd w:id="8"/>
      <w:bookmarkEnd w:id="9"/>
    </w:p>
    <w:p>
      <w:pPr>
        <w:widowControl/>
        <w:spacing w:before="100" w:beforeAutospacing="1" w:after="100" w:afterAutospacing="1" w:line="320" w:lineRule="exact"/>
        <w:jc w:val="center"/>
        <w:outlineLvl w:val="1"/>
        <w:rPr>
          <w:rFonts w:ascii="宋体" w:hAnsi="宋体" w:cs="宋体"/>
          <w:b/>
          <w:bCs/>
          <w:smallCaps/>
          <w:color w:val="000000"/>
          <w:kern w:val="0"/>
          <w:sz w:val="24"/>
        </w:rPr>
      </w:pPr>
      <w:bookmarkStart w:id="10" w:name="_Toc41895446"/>
      <w:bookmarkStart w:id="11" w:name="_Toc27039"/>
      <w:bookmarkStart w:id="12" w:name="_Toc16011"/>
      <w:r>
        <w:rPr>
          <w:rFonts w:ascii="宋体" w:hAnsi="宋体" w:cs="宋体"/>
          <w:b/>
          <w:bCs/>
          <w:smallCaps/>
          <w:color w:val="000000"/>
          <w:kern w:val="0"/>
          <w:sz w:val="24"/>
        </w:rPr>
        <w:t>第一节　股份发行</w:t>
      </w:r>
      <w:bookmarkEnd w:id="10"/>
      <w:bookmarkEnd w:id="11"/>
      <w:bookmarkEnd w:id="12"/>
    </w:p>
    <w:p>
      <w:pPr>
        <w:widowControl/>
        <w:numPr>
          <w:ilvl w:val="0"/>
          <w:numId w:val="2"/>
        </w:numPr>
        <w:tabs>
          <w:tab w:val="left" w:pos="1440"/>
          <w:tab w:val="left" w:pos="1843"/>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本行</w:t>
      </w:r>
      <w:r>
        <w:rPr>
          <w:rFonts w:ascii="宋体" w:hAnsi="宋体" w:cs="宋体"/>
          <w:color w:val="000000"/>
          <w:kern w:val="0"/>
          <w:sz w:val="24"/>
        </w:rPr>
        <w:t>的股份采取</w:t>
      </w:r>
      <w:r>
        <w:rPr>
          <w:rFonts w:hint="eastAsia" w:ascii="宋体" w:hAnsi="宋体" w:cs="宋体"/>
          <w:color w:val="000000"/>
          <w:kern w:val="0"/>
          <w:sz w:val="24"/>
        </w:rPr>
        <w:t>股票</w:t>
      </w:r>
      <w:r>
        <w:rPr>
          <w:rFonts w:ascii="宋体" w:hAnsi="宋体" w:cs="宋体"/>
          <w:color w:val="000000"/>
          <w:kern w:val="0"/>
          <w:sz w:val="24"/>
        </w:rPr>
        <w:t>的形式</w:t>
      </w:r>
      <w:r>
        <w:rPr>
          <w:rFonts w:hint="eastAsia" w:ascii="宋体" w:hAnsi="宋体" w:cs="宋体"/>
          <w:color w:val="000000"/>
          <w:kern w:val="0"/>
          <w:sz w:val="24"/>
        </w:rPr>
        <w:t>，</w:t>
      </w:r>
      <w:r>
        <w:rPr>
          <w:rFonts w:ascii="宋体" w:hAnsi="宋体" w:cs="宋体"/>
          <w:color w:val="000000"/>
          <w:kern w:val="0"/>
          <w:sz w:val="24"/>
        </w:rPr>
        <w:t>以人民币标明面值</w:t>
      </w:r>
      <w:r>
        <w:rPr>
          <w:rFonts w:hint="eastAsia" w:ascii="宋体" w:hAnsi="宋体" w:cs="宋体"/>
          <w:color w:val="000000"/>
          <w:kern w:val="0"/>
          <w:sz w:val="24"/>
        </w:rPr>
        <w:t>，每股面值人民币一元</w:t>
      </w:r>
      <w:r>
        <w:rPr>
          <w:rFonts w:ascii="宋体" w:hAnsi="宋体" w:cs="宋体"/>
          <w:color w:val="000000"/>
          <w:kern w:val="0"/>
          <w:sz w:val="24"/>
        </w:rPr>
        <w:t>。</w:t>
      </w:r>
    </w:p>
    <w:p>
      <w:pPr>
        <w:widowControl/>
        <w:numPr>
          <w:ilvl w:val="0"/>
          <w:numId w:val="2"/>
        </w:numPr>
        <w:tabs>
          <w:tab w:val="left" w:pos="1440"/>
          <w:tab w:val="left" w:pos="1843"/>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任何单位和个人拟持有本行股份时，须按照法律法规或监管机构的规定，符合相关资质要求，履行相应的程序。</w:t>
      </w:r>
    </w:p>
    <w:p>
      <w:pPr>
        <w:widowControl/>
        <w:numPr>
          <w:ilvl w:val="255"/>
          <w:numId w:val="0"/>
        </w:numPr>
        <w:tabs>
          <w:tab w:val="left" w:pos="1440"/>
          <w:tab w:val="left" w:pos="1843"/>
        </w:tabs>
        <w:spacing w:line="3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本行发行的股份，在中国证券登记结算有限责任公司上海分公司集中存管。</w:t>
      </w:r>
    </w:p>
    <w:p>
      <w:pPr>
        <w:widowControl/>
        <w:numPr>
          <w:ilvl w:val="0"/>
          <w:numId w:val="2"/>
        </w:numPr>
        <w:tabs>
          <w:tab w:val="left" w:pos="1843"/>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本行</w:t>
      </w:r>
      <w:r>
        <w:rPr>
          <w:rFonts w:ascii="宋体" w:hAnsi="宋体" w:cs="宋体"/>
          <w:color w:val="000000"/>
          <w:kern w:val="0"/>
          <w:sz w:val="24"/>
        </w:rPr>
        <w:t>股份的发行，实行公开、公平、公正的原则</w:t>
      </w:r>
      <w:r>
        <w:rPr>
          <w:rFonts w:hint="eastAsia" w:ascii="宋体" w:hAnsi="宋体" w:cs="宋体"/>
          <w:color w:val="000000"/>
          <w:kern w:val="0"/>
          <w:sz w:val="24"/>
        </w:rPr>
        <w:t>，</w:t>
      </w:r>
      <w:r>
        <w:rPr>
          <w:rFonts w:ascii="宋体" w:hAnsi="宋体" w:cs="宋体"/>
          <w:color w:val="000000"/>
          <w:kern w:val="0"/>
          <w:sz w:val="24"/>
        </w:rPr>
        <w:t>同种类的每一股份应当具有同等权利。</w:t>
      </w:r>
    </w:p>
    <w:p>
      <w:pPr>
        <w:widowControl/>
        <w:tabs>
          <w:tab w:val="left" w:pos="1843"/>
        </w:tabs>
        <w:spacing w:line="320" w:lineRule="exact"/>
        <w:jc w:val="left"/>
        <w:rPr>
          <w:rFonts w:ascii="宋体" w:hAnsi="宋体" w:cs="宋体"/>
          <w:color w:val="000000"/>
          <w:kern w:val="0"/>
          <w:sz w:val="24"/>
        </w:rPr>
      </w:pPr>
      <w:r>
        <w:rPr>
          <w:rFonts w:hint="eastAsia" w:ascii="宋体" w:hAnsi="宋体" w:cs="宋体"/>
          <w:color w:val="000000"/>
          <w:kern w:val="0"/>
          <w:sz w:val="24"/>
        </w:rPr>
        <w:t xml:space="preserve">    同次发行的同种类股份，每股的发行条件和价格应当相同；任何单位或者个人所认购的股份，每股应当支付相同的价额。</w:t>
      </w:r>
    </w:p>
    <w:p>
      <w:pPr>
        <w:widowControl/>
        <w:numPr>
          <w:ilvl w:val="0"/>
          <w:numId w:val="2"/>
        </w:numPr>
        <w:tabs>
          <w:tab w:val="left" w:pos="1843"/>
          <w:tab w:val="clear" w:pos="1920"/>
        </w:tabs>
        <w:spacing w:line="320" w:lineRule="exact"/>
        <w:jc w:val="left"/>
        <w:rPr>
          <w:rFonts w:ascii="宋体" w:hAnsi="宋体"/>
          <w:sz w:val="24"/>
        </w:rPr>
      </w:pPr>
      <w:r>
        <w:rPr>
          <w:rFonts w:hint="eastAsia" w:ascii="宋体" w:hAnsi="宋体" w:cs="宋体"/>
          <w:color w:val="000000"/>
          <w:kern w:val="0"/>
          <w:sz w:val="24"/>
        </w:rPr>
        <w:t>本行发起人为原厦门市14家城市信用合作社和厦门市城市信用合作社联合社的股东和以发起人身份加入的新股东，认购的股份数为257，878，400股股份，出资方式为净资产和现金。</w:t>
      </w:r>
    </w:p>
    <w:p>
      <w:pPr>
        <w:widowControl/>
        <w:numPr>
          <w:ilvl w:val="0"/>
          <w:numId w:val="2"/>
        </w:numPr>
        <w:tabs>
          <w:tab w:val="left" w:pos="1843"/>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本行的股份总数为2,639,127,888股，均为普通股。</w:t>
      </w:r>
    </w:p>
    <w:p>
      <w:pPr>
        <w:widowControl/>
        <w:spacing w:line="320" w:lineRule="exact"/>
        <w:jc w:val="left"/>
        <w:rPr>
          <w:rFonts w:ascii="宋体" w:hAnsi="宋体" w:cs="宋体"/>
          <w:color w:val="000000"/>
          <w:kern w:val="0"/>
          <w:sz w:val="24"/>
        </w:rPr>
      </w:pPr>
      <w:r>
        <w:rPr>
          <w:rFonts w:hint="eastAsia" w:ascii="宋体" w:hAnsi="宋体" w:cs="宋体"/>
          <w:color w:val="000000"/>
          <w:kern w:val="0"/>
          <w:sz w:val="24"/>
        </w:rPr>
        <w:t xml:space="preserve">    本行根据需要，经国务院授权的审批部门批准，可以设置其他种类的股份。</w:t>
      </w:r>
    </w:p>
    <w:p>
      <w:pPr>
        <w:numPr>
          <w:ilvl w:val="0"/>
          <w:numId w:val="2"/>
        </w:numPr>
        <w:tabs>
          <w:tab w:val="left" w:pos="2127"/>
          <w:tab w:val="clear" w:pos="1920"/>
        </w:tabs>
        <w:spacing w:line="320" w:lineRule="exact"/>
        <w:rPr>
          <w:rFonts w:ascii="宋体" w:hAnsi="宋体"/>
          <w:sz w:val="24"/>
        </w:rPr>
      </w:pPr>
      <w:r>
        <w:rPr>
          <w:rFonts w:hint="eastAsia" w:ascii="宋体" w:hAnsi="宋体"/>
          <w:sz w:val="24"/>
        </w:rPr>
        <w:t>本行或本行的分支机构、子公司不以赠与、垫资、担保、补偿或贷款等形式，对购买或拟购买本行股份的行为提供任何资助。</w:t>
      </w:r>
    </w:p>
    <w:p>
      <w:pPr>
        <w:widowControl/>
        <w:spacing w:before="100" w:beforeAutospacing="1" w:after="100" w:afterAutospacing="1" w:line="320" w:lineRule="exact"/>
        <w:jc w:val="center"/>
        <w:outlineLvl w:val="1"/>
        <w:rPr>
          <w:rFonts w:ascii="宋体" w:hAnsi="宋体" w:cs="宋体"/>
          <w:b/>
          <w:bCs/>
          <w:smallCaps/>
          <w:color w:val="000000"/>
          <w:kern w:val="0"/>
          <w:sz w:val="24"/>
        </w:rPr>
      </w:pPr>
      <w:bookmarkStart w:id="13" w:name="_Toc15841"/>
      <w:bookmarkStart w:id="14" w:name="_Toc18911"/>
      <w:bookmarkStart w:id="15" w:name="_Toc41895447"/>
      <w:r>
        <w:rPr>
          <w:rFonts w:ascii="宋体" w:hAnsi="宋体" w:cs="宋体"/>
          <w:b/>
          <w:bCs/>
          <w:smallCaps/>
          <w:color w:val="000000"/>
          <w:kern w:val="0"/>
          <w:sz w:val="24"/>
        </w:rPr>
        <w:t>第二节　股份增减和回购</w:t>
      </w:r>
      <w:bookmarkEnd w:id="13"/>
      <w:bookmarkEnd w:id="14"/>
      <w:bookmarkEnd w:id="15"/>
    </w:p>
    <w:p>
      <w:pPr>
        <w:numPr>
          <w:ilvl w:val="0"/>
          <w:numId w:val="2"/>
        </w:numPr>
        <w:tabs>
          <w:tab w:val="left" w:pos="2127"/>
          <w:tab w:val="clear" w:pos="1920"/>
        </w:tabs>
        <w:spacing w:line="320" w:lineRule="exact"/>
        <w:rPr>
          <w:rFonts w:ascii="宋体" w:hAnsi="宋体"/>
          <w:sz w:val="24"/>
        </w:rPr>
      </w:pPr>
      <w:r>
        <w:rPr>
          <w:rFonts w:hint="eastAsia" w:ascii="宋体" w:hAnsi="宋体"/>
          <w:sz w:val="24"/>
        </w:rPr>
        <w:t>本行</w:t>
      </w:r>
      <w:r>
        <w:rPr>
          <w:rFonts w:ascii="宋体" w:hAnsi="宋体"/>
          <w:sz w:val="24"/>
        </w:rPr>
        <w:t>根据经营和发展的需要</w:t>
      </w:r>
      <w:r>
        <w:rPr>
          <w:rFonts w:hint="eastAsia" w:ascii="宋体" w:hAnsi="宋体"/>
          <w:sz w:val="24"/>
        </w:rPr>
        <w:t>，</w:t>
      </w:r>
      <w:r>
        <w:rPr>
          <w:rFonts w:ascii="宋体" w:hAnsi="宋体"/>
          <w:sz w:val="24"/>
        </w:rPr>
        <w:t>依照法律、法规的规定，经股东大会分别作出决议</w:t>
      </w:r>
      <w:r>
        <w:rPr>
          <w:rFonts w:hint="eastAsia" w:ascii="宋体" w:hAnsi="宋体"/>
          <w:sz w:val="24"/>
        </w:rPr>
        <w:t>并经有关部门批准后</w:t>
      </w:r>
      <w:r>
        <w:rPr>
          <w:rFonts w:ascii="宋体" w:hAnsi="宋体"/>
          <w:sz w:val="24"/>
        </w:rPr>
        <w:t>，可以采用下列方式增加资本：</w:t>
      </w:r>
    </w:p>
    <w:p>
      <w:pPr>
        <w:numPr>
          <w:ilvl w:val="0"/>
          <w:numId w:val="4"/>
        </w:numPr>
        <w:tabs>
          <w:tab w:val="left" w:pos="2127"/>
        </w:tabs>
        <w:spacing w:line="320" w:lineRule="exact"/>
        <w:rPr>
          <w:rFonts w:ascii="宋体" w:hAnsi="宋体"/>
          <w:sz w:val="24"/>
        </w:rPr>
      </w:pPr>
      <w:r>
        <w:rPr>
          <w:rFonts w:hint="eastAsia" w:ascii="宋体" w:hAnsi="宋体"/>
          <w:sz w:val="24"/>
        </w:rPr>
        <w:t>公开</w:t>
      </w:r>
      <w:r>
        <w:rPr>
          <w:rFonts w:ascii="宋体" w:hAnsi="宋体"/>
          <w:sz w:val="24"/>
        </w:rPr>
        <w:t>发行股份；</w:t>
      </w:r>
    </w:p>
    <w:p>
      <w:pPr>
        <w:numPr>
          <w:ilvl w:val="0"/>
          <w:numId w:val="4"/>
        </w:numPr>
        <w:tabs>
          <w:tab w:val="left" w:pos="2127"/>
        </w:tabs>
        <w:spacing w:line="320" w:lineRule="exact"/>
        <w:rPr>
          <w:rFonts w:ascii="宋体" w:hAnsi="宋体"/>
          <w:sz w:val="24"/>
        </w:rPr>
      </w:pPr>
      <w:r>
        <w:rPr>
          <w:rFonts w:hint="eastAsia" w:ascii="宋体" w:hAnsi="宋体"/>
          <w:sz w:val="24"/>
        </w:rPr>
        <w:t>非公开发行股份；</w:t>
      </w:r>
    </w:p>
    <w:p>
      <w:pPr>
        <w:numPr>
          <w:ilvl w:val="0"/>
          <w:numId w:val="4"/>
        </w:numPr>
        <w:tabs>
          <w:tab w:val="left" w:pos="1260"/>
          <w:tab w:val="left" w:pos="2127"/>
        </w:tabs>
        <w:spacing w:line="320" w:lineRule="exact"/>
        <w:rPr>
          <w:rFonts w:ascii="宋体" w:hAnsi="宋体"/>
          <w:sz w:val="24"/>
        </w:rPr>
      </w:pPr>
      <w:r>
        <w:rPr>
          <w:rFonts w:ascii="宋体" w:hAnsi="宋体"/>
          <w:sz w:val="24"/>
        </w:rPr>
        <w:t>向现有股东派送红股；</w:t>
      </w:r>
    </w:p>
    <w:p>
      <w:pPr>
        <w:numPr>
          <w:ilvl w:val="0"/>
          <w:numId w:val="4"/>
        </w:numPr>
        <w:tabs>
          <w:tab w:val="left" w:pos="1260"/>
          <w:tab w:val="left" w:pos="2127"/>
        </w:tabs>
        <w:spacing w:line="320" w:lineRule="exact"/>
        <w:rPr>
          <w:rFonts w:ascii="宋体" w:hAnsi="宋体"/>
          <w:sz w:val="24"/>
        </w:rPr>
      </w:pPr>
      <w:r>
        <w:rPr>
          <w:rFonts w:ascii="宋体" w:hAnsi="宋体"/>
          <w:sz w:val="24"/>
        </w:rPr>
        <w:t>以公积金转增股本；</w:t>
      </w:r>
    </w:p>
    <w:p>
      <w:pPr>
        <w:numPr>
          <w:ilvl w:val="0"/>
          <w:numId w:val="4"/>
        </w:numPr>
        <w:tabs>
          <w:tab w:val="left" w:pos="1260"/>
          <w:tab w:val="left" w:pos="2127"/>
        </w:tabs>
        <w:spacing w:line="320" w:lineRule="exact"/>
        <w:rPr>
          <w:rFonts w:ascii="宋体" w:hAnsi="宋体"/>
          <w:sz w:val="24"/>
        </w:rPr>
      </w:pPr>
      <w:r>
        <w:rPr>
          <w:rFonts w:hint="eastAsia" w:ascii="宋体" w:hAnsi="宋体"/>
          <w:sz w:val="24"/>
        </w:rPr>
        <w:t>监管</w:t>
      </w:r>
      <w:r>
        <w:rPr>
          <w:rFonts w:ascii="宋体" w:hAnsi="宋体"/>
          <w:sz w:val="24"/>
        </w:rPr>
        <w:t>部门批准的其他方式。</w:t>
      </w:r>
      <w:bookmarkStart w:id="16" w:name="23"/>
      <w:bookmarkEnd w:id="16"/>
    </w:p>
    <w:p>
      <w:pPr>
        <w:numPr>
          <w:ilvl w:val="0"/>
          <w:numId w:val="2"/>
        </w:numPr>
        <w:tabs>
          <w:tab w:val="left" w:pos="2127"/>
          <w:tab w:val="clear" w:pos="1920"/>
        </w:tabs>
        <w:spacing w:line="320" w:lineRule="exact"/>
        <w:rPr>
          <w:rFonts w:ascii="宋体" w:hAnsi="宋体"/>
          <w:sz w:val="24"/>
        </w:rPr>
      </w:pPr>
      <w:r>
        <w:rPr>
          <w:rFonts w:ascii="宋体" w:hAnsi="宋体"/>
          <w:sz w:val="24"/>
        </w:rPr>
        <w:t>根据</w:t>
      </w:r>
      <w:r>
        <w:rPr>
          <w:rFonts w:hint="eastAsia" w:ascii="宋体" w:hAnsi="宋体"/>
          <w:sz w:val="24"/>
        </w:rPr>
        <w:t>本章程</w:t>
      </w:r>
      <w:r>
        <w:rPr>
          <w:rFonts w:ascii="宋体" w:hAnsi="宋体"/>
          <w:sz w:val="24"/>
        </w:rPr>
        <w:t>的规定，</w:t>
      </w:r>
      <w:r>
        <w:rPr>
          <w:rFonts w:hint="eastAsia" w:ascii="宋体" w:hAnsi="宋体"/>
          <w:sz w:val="24"/>
        </w:rPr>
        <w:t>本行</w:t>
      </w:r>
      <w:r>
        <w:rPr>
          <w:rFonts w:ascii="宋体" w:hAnsi="宋体"/>
          <w:sz w:val="24"/>
        </w:rPr>
        <w:t>可以减少注册资本。</w:t>
      </w:r>
      <w:r>
        <w:rPr>
          <w:rFonts w:hint="eastAsia" w:ascii="宋体" w:hAnsi="宋体"/>
          <w:sz w:val="24"/>
        </w:rPr>
        <w:t>本行</w:t>
      </w:r>
      <w:r>
        <w:rPr>
          <w:rFonts w:ascii="宋体" w:hAnsi="宋体"/>
          <w:sz w:val="24"/>
        </w:rPr>
        <w:t>减少注册资本</w:t>
      </w:r>
      <w:r>
        <w:rPr>
          <w:rFonts w:hint="eastAsia" w:ascii="宋体" w:hAnsi="宋体"/>
          <w:sz w:val="24"/>
        </w:rPr>
        <w:t>，</w:t>
      </w:r>
      <w:r>
        <w:rPr>
          <w:rFonts w:ascii="宋体" w:hAnsi="宋体"/>
          <w:sz w:val="24"/>
        </w:rPr>
        <w:t>按照</w:t>
      </w:r>
      <w:r>
        <w:rPr>
          <w:rFonts w:hint="eastAsia" w:ascii="宋体" w:hAnsi="宋体"/>
          <w:sz w:val="24"/>
        </w:rPr>
        <w:t>《公司法》</w:t>
      </w:r>
      <w:r>
        <w:rPr>
          <w:rFonts w:ascii="宋体" w:hAnsi="宋体"/>
          <w:sz w:val="24"/>
        </w:rPr>
        <w:t>以及其他有关规定和</w:t>
      </w:r>
      <w:r>
        <w:rPr>
          <w:rFonts w:hint="eastAsia" w:ascii="宋体" w:hAnsi="宋体"/>
          <w:sz w:val="24"/>
        </w:rPr>
        <w:t>本章程</w:t>
      </w:r>
      <w:r>
        <w:rPr>
          <w:rFonts w:ascii="宋体" w:hAnsi="宋体"/>
          <w:sz w:val="24"/>
        </w:rPr>
        <w:t>规定的程序办理。</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本行不得收购本行的股份，但有</w:t>
      </w:r>
      <w:r>
        <w:rPr>
          <w:rFonts w:ascii="宋体" w:hAnsi="宋体" w:cs="宋体"/>
          <w:color w:val="000000"/>
          <w:kern w:val="0"/>
          <w:sz w:val="24"/>
        </w:rPr>
        <w:t>下列情</w:t>
      </w:r>
      <w:r>
        <w:rPr>
          <w:rFonts w:hint="eastAsia" w:ascii="宋体" w:hAnsi="宋体" w:cs="宋体"/>
          <w:color w:val="000000"/>
          <w:kern w:val="0"/>
          <w:sz w:val="24"/>
        </w:rPr>
        <w:t>形之一的除外</w:t>
      </w:r>
      <w:r>
        <w:rPr>
          <w:rFonts w:ascii="宋体" w:hAnsi="宋体" w:cs="宋体"/>
          <w:color w:val="000000"/>
          <w:kern w:val="0"/>
          <w:sz w:val="24"/>
        </w:rPr>
        <w:t>：</w:t>
      </w:r>
    </w:p>
    <w:p>
      <w:pPr>
        <w:numPr>
          <w:ilvl w:val="0"/>
          <w:numId w:val="5"/>
        </w:numPr>
        <w:spacing w:line="320" w:lineRule="exact"/>
        <w:rPr>
          <w:rFonts w:ascii="宋体" w:hAnsi="宋体"/>
          <w:sz w:val="24"/>
        </w:rPr>
      </w:pPr>
      <w:r>
        <w:rPr>
          <w:rFonts w:ascii="宋体" w:hAnsi="宋体"/>
          <w:sz w:val="24"/>
        </w:rPr>
        <w:t>减少</w:t>
      </w:r>
      <w:r>
        <w:rPr>
          <w:rFonts w:hint="eastAsia" w:ascii="宋体" w:hAnsi="宋体"/>
          <w:sz w:val="24"/>
        </w:rPr>
        <w:t>本行注册</w:t>
      </w:r>
      <w:r>
        <w:rPr>
          <w:rFonts w:ascii="宋体" w:hAnsi="宋体"/>
          <w:sz w:val="24"/>
        </w:rPr>
        <w:t>资本；</w:t>
      </w:r>
    </w:p>
    <w:p>
      <w:pPr>
        <w:numPr>
          <w:ilvl w:val="0"/>
          <w:numId w:val="5"/>
        </w:numPr>
        <w:tabs>
          <w:tab w:val="left" w:pos="1260"/>
        </w:tabs>
        <w:spacing w:line="320" w:lineRule="exact"/>
        <w:rPr>
          <w:rFonts w:ascii="宋体" w:hAnsi="宋体"/>
          <w:sz w:val="24"/>
        </w:rPr>
      </w:pPr>
      <w:r>
        <w:rPr>
          <w:rFonts w:ascii="宋体" w:hAnsi="宋体"/>
          <w:sz w:val="24"/>
        </w:rPr>
        <w:t>与持有本</w:t>
      </w:r>
      <w:r>
        <w:rPr>
          <w:rFonts w:hint="eastAsia" w:ascii="宋体" w:hAnsi="宋体"/>
          <w:sz w:val="24"/>
        </w:rPr>
        <w:t>行</w:t>
      </w:r>
      <w:r>
        <w:rPr>
          <w:rFonts w:ascii="宋体" w:hAnsi="宋体"/>
          <w:sz w:val="24"/>
        </w:rPr>
        <w:t>股</w:t>
      </w:r>
      <w:r>
        <w:rPr>
          <w:rFonts w:hint="eastAsia" w:ascii="宋体" w:hAnsi="宋体"/>
          <w:sz w:val="24"/>
        </w:rPr>
        <w:t>份</w:t>
      </w:r>
      <w:r>
        <w:rPr>
          <w:rFonts w:ascii="宋体" w:hAnsi="宋体"/>
          <w:sz w:val="24"/>
        </w:rPr>
        <w:t>的其他公司合并</w:t>
      </w:r>
      <w:r>
        <w:rPr>
          <w:rFonts w:hint="eastAsia" w:ascii="宋体" w:hAnsi="宋体"/>
          <w:sz w:val="24"/>
        </w:rPr>
        <w:t>；</w:t>
      </w:r>
    </w:p>
    <w:p>
      <w:pPr>
        <w:numPr>
          <w:ilvl w:val="0"/>
          <w:numId w:val="5"/>
        </w:numPr>
        <w:tabs>
          <w:tab w:val="left" w:pos="1260"/>
          <w:tab w:val="clear" w:pos="1200"/>
        </w:tabs>
        <w:spacing w:line="320" w:lineRule="exact"/>
        <w:rPr>
          <w:rFonts w:ascii="宋体" w:hAnsi="宋体"/>
          <w:sz w:val="24"/>
        </w:rPr>
      </w:pPr>
      <w:r>
        <w:rPr>
          <w:rFonts w:hint="eastAsia" w:ascii="宋体" w:hAnsi="宋体"/>
          <w:sz w:val="24"/>
        </w:rPr>
        <w:t>将本行股份用于员工持股计划或者股权激励；</w:t>
      </w:r>
    </w:p>
    <w:p>
      <w:pPr>
        <w:numPr>
          <w:ilvl w:val="0"/>
          <w:numId w:val="5"/>
        </w:numPr>
        <w:tabs>
          <w:tab w:val="left" w:pos="1260"/>
          <w:tab w:val="clear" w:pos="1200"/>
        </w:tabs>
        <w:spacing w:line="320" w:lineRule="exact"/>
        <w:rPr>
          <w:rFonts w:ascii="宋体" w:hAnsi="宋体"/>
          <w:sz w:val="24"/>
        </w:rPr>
      </w:pPr>
      <w:r>
        <w:rPr>
          <w:rFonts w:hint="eastAsia" w:ascii="宋体" w:hAnsi="宋体"/>
          <w:sz w:val="24"/>
        </w:rPr>
        <w:t>股东因对股东大会作出的本行合并、分立决议持异议，要求本行收购其股份的</w:t>
      </w:r>
      <w:r>
        <w:rPr>
          <w:rFonts w:hint="eastAsia" w:ascii="宋体" w:hAnsi="宋体"/>
          <w:sz w:val="24"/>
          <w:lang w:eastAsia="zh-CN"/>
        </w:rPr>
        <w:t>；</w:t>
      </w:r>
    </w:p>
    <w:p>
      <w:pPr>
        <w:numPr>
          <w:ilvl w:val="0"/>
          <w:numId w:val="5"/>
        </w:numPr>
        <w:tabs>
          <w:tab w:val="left" w:pos="1260"/>
          <w:tab w:val="clear" w:pos="1200"/>
        </w:tabs>
        <w:spacing w:line="320" w:lineRule="exact"/>
        <w:rPr>
          <w:rFonts w:ascii="宋体" w:hAnsi="宋体"/>
          <w:sz w:val="24"/>
        </w:rPr>
      </w:pPr>
      <w:r>
        <w:rPr>
          <w:rFonts w:hint="eastAsia" w:ascii="宋体" w:hAnsi="宋体"/>
          <w:sz w:val="24"/>
        </w:rPr>
        <w:t>将股份用于转换本行发行的可转换为股票的本行债券；</w:t>
      </w:r>
    </w:p>
    <w:p>
      <w:pPr>
        <w:numPr>
          <w:ilvl w:val="0"/>
          <w:numId w:val="5"/>
        </w:numPr>
        <w:tabs>
          <w:tab w:val="left" w:pos="1260"/>
          <w:tab w:val="clear" w:pos="1200"/>
        </w:tabs>
        <w:spacing w:line="320" w:lineRule="exact"/>
        <w:rPr>
          <w:rFonts w:ascii="宋体" w:hAnsi="宋体"/>
          <w:sz w:val="24"/>
        </w:rPr>
      </w:pPr>
      <w:r>
        <w:rPr>
          <w:rFonts w:hint="eastAsia" w:ascii="宋体" w:hAnsi="宋体"/>
          <w:sz w:val="24"/>
        </w:rPr>
        <w:t>为维护本行价值及股东权益所必需。</w:t>
      </w:r>
    </w:p>
    <w:p>
      <w:pPr>
        <w:widowControl/>
        <w:numPr>
          <w:ilvl w:val="0"/>
          <w:numId w:val="2"/>
        </w:numPr>
        <w:spacing w:line="320" w:lineRule="exact"/>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本行收购本行股份，可以通过公开的集中交易方式，或者法律法规和监管机构认可的其他方式进行。</w:t>
      </w:r>
    </w:p>
    <w:p>
      <w:pPr>
        <w:widowControl/>
        <w:spacing w:line="320" w:lineRule="exact"/>
        <w:ind w:firstLine="480" w:firstLineChars="200"/>
        <w:jc w:val="left"/>
        <w:rPr>
          <w:rFonts w:ascii="宋体" w:hAnsi="宋体" w:cs="宋体"/>
          <w:color w:val="000000"/>
          <w:kern w:val="0"/>
          <w:sz w:val="24"/>
        </w:rPr>
      </w:pPr>
      <w:r>
        <w:rPr>
          <w:rFonts w:ascii="宋体" w:hAnsi="宋体" w:cs="宋体"/>
          <w:color w:val="000000"/>
          <w:kern w:val="0"/>
          <w:sz w:val="24"/>
        </w:rPr>
        <w:t>本行因本章程第二十</w:t>
      </w:r>
      <w:r>
        <w:rPr>
          <w:rFonts w:hint="eastAsia" w:ascii="宋体" w:hAnsi="宋体" w:cs="宋体"/>
          <w:color w:val="000000"/>
          <w:kern w:val="0"/>
          <w:sz w:val="24"/>
        </w:rPr>
        <w:t>四</w:t>
      </w:r>
      <w:r>
        <w:rPr>
          <w:rFonts w:ascii="宋体" w:hAnsi="宋体" w:cs="宋体"/>
          <w:color w:val="000000"/>
          <w:kern w:val="0"/>
          <w:sz w:val="24"/>
        </w:rPr>
        <w:t>条第</w:t>
      </w:r>
      <w:r>
        <w:rPr>
          <w:rFonts w:hint="eastAsia" w:ascii="宋体" w:hAnsi="宋体" w:cs="宋体"/>
          <w:color w:val="000000"/>
          <w:kern w:val="0"/>
          <w:sz w:val="24"/>
        </w:rPr>
        <w:t>（三）项、第（五）项、第（六）项规定的情形收购本行股份的，应当通过公开的集中交易方式进行。</w:t>
      </w:r>
    </w:p>
    <w:p>
      <w:pPr>
        <w:widowControl/>
        <w:numPr>
          <w:ilvl w:val="0"/>
          <w:numId w:val="2"/>
        </w:numPr>
        <w:spacing w:line="320" w:lineRule="exact"/>
        <w:jc w:val="left"/>
        <w:rPr>
          <w:rFonts w:ascii="宋体" w:hAnsi="宋体" w:cs="宋体"/>
          <w:color w:val="000000"/>
          <w:kern w:val="0"/>
          <w:sz w:val="24"/>
        </w:rPr>
      </w:pPr>
      <w:r>
        <w:rPr>
          <w:rFonts w:hint="eastAsia" w:ascii="宋体" w:hAnsi="宋体" w:cs="宋体"/>
          <w:color w:val="000000"/>
          <w:kern w:val="0"/>
          <w:sz w:val="24"/>
        </w:rPr>
        <w:t>本行因本章程第二十四条第（一）项、第（二）项规定的情形收购本行股份的，应当经股东大会决议；本行因本章程第二十四条第（三）项、第（五）项、第（六）项规定的情形收购本行股份的，可以依照本章程的规定或者股东大会的授权，经三分之二以上董事出席的董事会会议决议。</w:t>
      </w:r>
    </w:p>
    <w:p>
      <w:pPr>
        <w:widowControl/>
        <w:ind w:firstLine="480"/>
        <w:jc w:val="left"/>
        <w:rPr>
          <w:rFonts w:ascii="宋体" w:hAnsi="宋体" w:cs="宋体"/>
          <w:color w:val="000000"/>
          <w:kern w:val="0"/>
          <w:sz w:val="24"/>
        </w:rPr>
      </w:pPr>
      <w:r>
        <w:rPr>
          <w:rFonts w:hint="eastAsia" w:ascii="宋体" w:hAnsi="宋体" w:cs="宋体"/>
          <w:color w:val="000000"/>
          <w:kern w:val="0"/>
          <w:sz w:val="24"/>
        </w:rPr>
        <w:t>本行依照本章程第二十四条规定收购本行股份后，属于第（一）项情形的，应当自收购之日起10日内注销；属于第（二）项、第（四）项情形的，应当在6个月内转让或者注销；属于第（三）项、第（五）项、第（六）项情形的，本行合计持有的本行股份数不得超过本行已发行股份总额的10%，并应当在3年内转让或者注销。</w:t>
      </w:r>
    </w:p>
    <w:p>
      <w:pPr>
        <w:widowControl/>
        <w:spacing w:before="100" w:beforeAutospacing="1" w:after="100" w:afterAutospacing="1" w:line="320" w:lineRule="exact"/>
        <w:jc w:val="center"/>
        <w:outlineLvl w:val="1"/>
        <w:rPr>
          <w:rFonts w:ascii="宋体" w:hAnsi="宋体" w:cs="宋体"/>
          <w:b/>
          <w:bCs/>
          <w:smallCaps/>
          <w:color w:val="000000"/>
          <w:kern w:val="0"/>
          <w:sz w:val="24"/>
        </w:rPr>
      </w:pPr>
      <w:bookmarkStart w:id="17" w:name="_Toc41895448"/>
      <w:bookmarkStart w:id="18" w:name="_Toc24746"/>
      <w:bookmarkStart w:id="19" w:name="_Toc6157"/>
      <w:r>
        <w:rPr>
          <w:rFonts w:ascii="宋体" w:hAnsi="宋体" w:cs="宋体"/>
          <w:b/>
          <w:bCs/>
          <w:smallCaps/>
          <w:color w:val="000000"/>
          <w:kern w:val="0"/>
          <w:sz w:val="24"/>
        </w:rPr>
        <w:t>第三节　股份转让</w:t>
      </w:r>
      <w:bookmarkEnd w:id="17"/>
      <w:bookmarkEnd w:id="18"/>
      <w:bookmarkEnd w:id="19"/>
    </w:p>
    <w:p>
      <w:pPr>
        <w:widowControl/>
        <w:numPr>
          <w:ilvl w:val="0"/>
          <w:numId w:val="2"/>
        </w:numPr>
        <w:spacing w:line="320" w:lineRule="exact"/>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本行的股份</w:t>
      </w:r>
      <w:r>
        <w:rPr>
          <w:rFonts w:ascii="宋体" w:hAnsi="宋体" w:cs="宋体"/>
          <w:color w:val="000000"/>
          <w:kern w:val="0"/>
          <w:sz w:val="24"/>
        </w:rPr>
        <w:t>可以依法转让</w:t>
      </w:r>
      <w:r>
        <w:rPr>
          <w:rFonts w:hint="eastAsia" w:ascii="宋体" w:hAnsi="宋体" w:cs="宋体"/>
          <w:color w:val="000000"/>
          <w:kern w:val="0"/>
          <w:sz w:val="24"/>
        </w:rPr>
        <w:t>、继承和赠与。</w:t>
      </w:r>
    </w:p>
    <w:p>
      <w:pPr>
        <w:widowControl/>
        <w:numPr>
          <w:ilvl w:val="0"/>
          <w:numId w:val="2"/>
        </w:numPr>
        <w:spacing w:line="320" w:lineRule="exact"/>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本行</w:t>
      </w:r>
      <w:r>
        <w:rPr>
          <w:rFonts w:ascii="宋体" w:hAnsi="宋体" w:cs="宋体"/>
          <w:color w:val="000000"/>
          <w:kern w:val="0"/>
          <w:sz w:val="24"/>
        </w:rPr>
        <w:t>不接受本</w:t>
      </w:r>
      <w:r>
        <w:rPr>
          <w:rFonts w:hint="eastAsia" w:ascii="宋体" w:hAnsi="宋体" w:cs="宋体"/>
          <w:color w:val="000000"/>
          <w:kern w:val="0"/>
          <w:sz w:val="24"/>
        </w:rPr>
        <w:t>行</w:t>
      </w:r>
      <w:r>
        <w:rPr>
          <w:rFonts w:ascii="宋体" w:hAnsi="宋体" w:cs="宋体"/>
          <w:color w:val="000000"/>
          <w:kern w:val="0"/>
          <w:sz w:val="24"/>
        </w:rPr>
        <w:t>的股票作为质押权的标的。</w:t>
      </w:r>
    </w:p>
    <w:p>
      <w:pPr>
        <w:widowControl/>
        <w:spacing w:line="3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股东以本行股票出质为自己或他人担保的，应当严格遵守法律法规、监管部门、本章程及董事会制定的股权管理办法的要求，并事前告知本行董事会；董事会办公室或董事会指定的其他部门，负责承担本行股权质押信息的收集、整理和报送等日常工作。</w:t>
      </w:r>
    </w:p>
    <w:p>
      <w:pPr>
        <w:widowControl/>
        <w:spacing w:line="3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持有本行董事、监事席位的股东，或直接、间接、共同持有或控制本行2%以上股份或表决权的股东出质本行股份，事前需向董事会申请备案，说明出质的原因、股权数额、质押期限、质押权人等基本情况。董事会认定对本行股权稳定、公司治理、风险与关联交易控制等存在重大不利影响的，应不予备案。董事会不予备案的，前述股东不得出质其所持本行股份。</w:t>
      </w:r>
    </w:p>
    <w:p>
      <w:pPr>
        <w:widowControl/>
        <w:spacing w:line="3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股东完成股权质押登记后，应配合本行风险管理和信息披露需要，及时向本行提供涉及质押股权的相关信息。</w:t>
      </w:r>
    </w:p>
    <w:p>
      <w:pPr>
        <w:widowControl/>
        <w:spacing w:line="3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股东在本行借款余额超过其持有经审计的上一年度股权净值，不得将本行股票进行质押。</w:t>
      </w:r>
    </w:p>
    <w:p>
      <w:pPr>
        <w:widowControl/>
        <w:spacing w:line="3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股东质押本行股权数量达到或超过其持有本行股权的50%期间，其在本行股东大会上暂停行使表决权，其提名的董事在本行董事会上暂停行使表决权。</w:t>
      </w:r>
    </w:p>
    <w:p>
      <w:pPr>
        <w:widowControl/>
        <w:numPr>
          <w:ilvl w:val="0"/>
          <w:numId w:val="2"/>
        </w:numPr>
        <w:spacing w:line="320" w:lineRule="exact"/>
        <w:jc w:val="left"/>
        <w:rPr>
          <w:rFonts w:ascii="宋体" w:hAnsi="宋体" w:cs="宋体"/>
          <w:color w:val="000000"/>
          <w:kern w:val="0"/>
          <w:sz w:val="24"/>
        </w:rPr>
      </w:pPr>
      <w:r>
        <w:rPr>
          <w:rFonts w:ascii="宋体" w:hAnsi="宋体" w:cs="宋体"/>
          <w:color w:val="000000"/>
          <w:kern w:val="0"/>
          <w:sz w:val="24"/>
        </w:rPr>
        <w:t>发起人持有的</w:t>
      </w:r>
      <w:r>
        <w:rPr>
          <w:rFonts w:hint="eastAsia" w:ascii="宋体" w:hAnsi="宋体" w:cs="宋体"/>
          <w:color w:val="000000"/>
          <w:kern w:val="0"/>
          <w:sz w:val="24"/>
        </w:rPr>
        <w:t>本行</w:t>
      </w:r>
      <w:r>
        <w:rPr>
          <w:rFonts w:ascii="宋体" w:hAnsi="宋体" w:cs="宋体"/>
          <w:color w:val="000000"/>
          <w:kern w:val="0"/>
          <w:sz w:val="24"/>
        </w:rPr>
        <w:t>股票，自</w:t>
      </w:r>
      <w:r>
        <w:rPr>
          <w:rFonts w:hint="eastAsia" w:ascii="宋体" w:hAnsi="宋体" w:cs="宋体"/>
          <w:color w:val="000000"/>
          <w:kern w:val="0"/>
          <w:sz w:val="24"/>
        </w:rPr>
        <w:t>本行</w:t>
      </w:r>
      <w:r>
        <w:rPr>
          <w:rFonts w:ascii="宋体" w:hAnsi="宋体" w:cs="宋体"/>
          <w:color w:val="000000"/>
          <w:kern w:val="0"/>
          <w:sz w:val="24"/>
        </w:rPr>
        <w:t>成立之日起</w:t>
      </w:r>
      <w:r>
        <w:rPr>
          <w:rFonts w:hint="eastAsia" w:ascii="宋体" w:hAnsi="宋体" w:cs="宋体"/>
          <w:color w:val="000000"/>
          <w:kern w:val="0"/>
          <w:sz w:val="24"/>
        </w:rPr>
        <w:t>一</w:t>
      </w:r>
      <w:r>
        <w:rPr>
          <w:rFonts w:ascii="宋体" w:hAnsi="宋体" w:cs="宋体"/>
          <w:color w:val="000000"/>
          <w:kern w:val="0"/>
          <w:sz w:val="24"/>
        </w:rPr>
        <w:t>年以内不得转让。</w:t>
      </w:r>
      <w:r>
        <w:rPr>
          <w:rFonts w:hint="eastAsia" w:ascii="宋体" w:hAnsi="宋体" w:cs="宋体"/>
          <w:color w:val="000000"/>
          <w:kern w:val="0"/>
          <w:sz w:val="24"/>
        </w:rPr>
        <w:t>本行公开发行股份前已发行的股份，自本行股票在证券交易所上市交易之日起1年内不得转让。</w:t>
      </w:r>
      <w:r>
        <w:rPr>
          <w:rFonts w:ascii="宋体" w:hAnsi="宋体" w:cs="宋体"/>
          <w:color w:val="000000"/>
          <w:kern w:val="0"/>
          <w:sz w:val="24"/>
        </w:rPr>
        <w:t>　　</w:t>
      </w:r>
    </w:p>
    <w:p>
      <w:pPr>
        <w:widowControl/>
        <w:spacing w:line="320" w:lineRule="exact"/>
        <w:ind w:firstLine="540"/>
        <w:jc w:val="left"/>
        <w:rPr>
          <w:rFonts w:ascii="宋体" w:hAnsi="宋体" w:cs="宋体"/>
          <w:color w:val="000000"/>
          <w:kern w:val="0"/>
          <w:sz w:val="24"/>
        </w:rPr>
      </w:pPr>
      <w:r>
        <w:rPr>
          <w:rFonts w:hint="eastAsia" w:ascii="宋体" w:hAnsi="宋体" w:cs="宋体"/>
          <w:color w:val="000000"/>
          <w:kern w:val="0"/>
          <w:sz w:val="24"/>
        </w:rPr>
        <w:t>本行董事、监事、高级管理人员应当向本行申报所持有的本行的股份及其变动情况，在任职期间每年转让的股份不得超过其所持有本行股份总数的百分之二十五；所持本行股份自本行股票上市交易之日起一年内不得转让。上述人员离职后半年内，不得转让其所持有的本行股份。</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本行董事、监事、高级管理人员、持有本行百分之五以上股份的股东，将其持有的本行股票或其他具有股权性质的证券在买入后六个月内卖出，或者在卖出后六个月内又买入，由此所得收益归本行所有，本行董事会将收回其所得收益。但是，证券公司因购入包销售后剩余股票而持有百分之五以上股份的，</w:t>
      </w:r>
      <w:r>
        <w:rPr>
          <w:rFonts w:hint="eastAsia" w:ascii=".." w:hAnsi=".." w:cs="宋体"/>
          <w:color w:val="000000"/>
          <w:kern w:val="0"/>
          <w:sz w:val="24"/>
        </w:rPr>
        <w:t>以及监管机构规定的其他情形的除外。</w:t>
      </w:r>
    </w:p>
    <w:p>
      <w:pPr>
        <w:widowControl/>
        <w:tabs>
          <w:tab w:val="left" w:pos="2268"/>
        </w:tabs>
        <w:spacing w:line="320" w:lineRule="exact"/>
        <w:ind w:firstLine="480" w:firstLineChars="200"/>
        <w:jc w:val="left"/>
        <w:rPr>
          <w:rFonts w:ascii="宋体" w:hAnsi="宋体" w:cs="宋体"/>
          <w:color w:val="000000"/>
          <w:kern w:val="0"/>
          <w:sz w:val="24"/>
        </w:rPr>
      </w:pPr>
      <w:r>
        <w:rPr>
          <w:rFonts w:ascii="宋体" w:hAnsi="宋体" w:cs="宋体"/>
          <w:color w:val="000000"/>
          <w:kern w:val="0"/>
          <w:sz w:val="24"/>
        </w:rPr>
        <w:t>前款所称董事</w:t>
      </w:r>
      <w:r>
        <w:rPr>
          <w:rFonts w:hint="eastAsia" w:ascii="宋体" w:hAnsi="宋体" w:cs="宋体"/>
          <w:color w:val="000000"/>
          <w:kern w:val="0"/>
          <w:sz w:val="24"/>
        </w:rPr>
        <w:t>、</w:t>
      </w:r>
      <w:r>
        <w:rPr>
          <w:rFonts w:ascii="宋体" w:hAnsi="宋体" w:cs="宋体"/>
          <w:color w:val="000000"/>
          <w:kern w:val="0"/>
          <w:sz w:val="24"/>
        </w:rPr>
        <w:t>监事</w:t>
      </w:r>
      <w:r>
        <w:rPr>
          <w:rFonts w:hint="eastAsia" w:ascii="宋体" w:hAnsi="宋体" w:cs="宋体"/>
          <w:color w:val="000000"/>
          <w:kern w:val="0"/>
          <w:sz w:val="24"/>
        </w:rPr>
        <w:t>、</w:t>
      </w:r>
      <w:r>
        <w:rPr>
          <w:rFonts w:ascii="宋体" w:hAnsi="宋体" w:cs="宋体"/>
          <w:color w:val="000000"/>
          <w:kern w:val="0"/>
          <w:sz w:val="24"/>
        </w:rPr>
        <w:t>高级管理人员</w:t>
      </w:r>
      <w:r>
        <w:rPr>
          <w:rFonts w:hint="eastAsia" w:ascii="宋体" w:hAnsi="宋体" w:cs="宋体"/>
          <w:color w:val="000000"/>
          <w:kern w:val="0"/>
          <w:sz w:val="24"/>
        </w:rPr>
        <w:t>、</w:t>
      </w:r>
      <w:r>
        <w:rPr>
          <w:rFonts w:ascii="宋体" w:hAnsi="宋体" w:cs="宋体"/>
          <w:color w:val="000000"/>
          <w:kern w:val="0"/>
          <w:sz w:val="24"/>
        </w:rPr>
        <w:t>自然人股东持有的股票或者其他具有股权性质的证券</w:t>
      </w:r>
      <w:r>
        <w:rPr>
          <w:rFonts w:hint="eastAsia" w:ascii="宋体" w:hAnsi="宋体" w:cs="宋体"/>
          <w:color w:val="000000"/>
          <w:kern w:val="0"/>
          <w:sz w:val="24"/>
        </w:rPr>
        <w:t>，</w:t>
      </w:r>
      <w:r>
        <w:rPr>
          <w:rFonts w:ascii="宋体" w:hAnsi="宋体" w:cs="宋体"/>
          <w:color w:val="000000"/>
          <w:kern w:val="0"/>
          <w:sz w:val="24"/>
        </w:rPr>
        <w:t>包括其配偶</w:t>
      </w:r>
      <w:r>
        <w:rPr>
          <w:rFonts w:hint="eastAsia" w:ascii="宋体" w:hAnsi="宋体" w:cs="宋体"/>
          <w:color w:val="000000"/>
          <w:kern w:val="0"/>
          <w:sz w:val="24"/>
        </w:rPr>
        <w:t>、</w:t>
      </w:r>
      <w:r>
        <w:rPr>
          <w:rFonts w:ascii="宋体" w:hAnsi="宋体" w:cs="宋体"/>
          <w:color w:val="000000"/>
          <w:kern w:val="0"/>
          <w:sz w:val="24"/>
        </w:rPr>
        <w:t>父母</w:t>
      </w:r>
      <w:r>
        <w:rPr>
          <w:rFonts w:hint="eastAsia" w:ascii="宋体" w:hAnsi="宋体" w:cs="宋体"/>
          <w:color w:val="000000"/>
          <w:kern w:val="0"/>
          <w:sz w:val="24"/>
        </w:rPr>
        <w:t>、</w:t>
      </w:r>
      <w:r>
        <w:rPr>
          <w:rFonts w:ascii="宋体" w:hAnsi="宋体" w:cs="宋体"/>
          <w:color w:val="000000"/>
          <w:kern w:val="0"/>
          <w:sz w:val="24"/>
        </w:rPr>
        <w:t>子女持有的及利用他人账户持有的股票或者其他具有股权性质的证券</w:t>
      </w:r>
      <w:r>
        <w:rPr>
          <w:rFonts w:hint="eastAsia" w:ascii="宋体" w:hAnsi="宋体" w:cs="宋体"/>
          <w:color w:val="000000"/>
          <w:kern w:val="0"/>
          <w:sz w:val="24"/>
        </w:rPr>
        <w:t>。</w:t>
      </w:r>
    </w:p>
    <w:p>
      <w:pPr>
        <w:widowControl/>
        <w:tabs>
          <w:tab w:val="left" w:pos="2268"/>
        </w:tabs>
        <w:spacing w:line="3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 xml:space="preserve">本行董事会不按照第一款规定执行的，股东有权要求董事会在三十日内执行。本行董事会未在上述期限内执行的，股东有权为了本行的利益以自己的名义直接向人民法院提起诉讼。  </w:t>
      </w:r>
    </w:p>
    <w:p>
      <w:pPr>
        <w:widowControl/>
        <w:spacing w:line="3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本行董事会不按第一款的规定执行的，负有责任的董事依法承担连带责任。</w:t>
      </w:r>
      <w:r>
        <w:rPr>
          <w:rFonts w:ascii="宋体" w:hAnsi="宋体" w:cs="宋体"/>
          <w:color w:val="000000"/>
          <w:kern w:val="0"/>
          <w:sz w:val="24"/>
        </w:rPr>
        <w:t>　</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ascii="宋体" w:hAnsi="宋体" w:cs="宋体"/>
          <w:color w:val="000000"/>
          <w:kern w:val="0"/>
          <w:sz w:val="24"/>
        </w:rPr>
        <w:t>主要股东转让本行股份的</w:t>
      </w:r>
      <w:r>
        <w:rPr>
          <w:rFonts w:hint="eastAsia" w:ascii="宋体" w:hAnsi="宋体" w:cs="宋体"/>
          <w:color w:val="000000"/>
          <w:kern w:val="0"/>
          <w:sz w:val="24"/>
        </w:rPr>
        <w:t>，应当事前告知本行董事会，且转让期限限制应当符合我国法律法规和银行业监督管理机构的监管规定和要求</w:t>
      </w:r>
      <w:r>
        <w:rPr>
          <w:rFonts w:ascii="宋体" w:hAnsi="宋体" w:cs="宋体"/>
          <w:color w:val="000000"/>
          <w:kern w:val="0"/>
          <w:sz w:val="24"/>
        </w:rPr>
        <w:t>。</w:t>
      </w:r>
    </w:p>
    <w:p>
      <w:pPr>
        <w:widowControl/>
        <w:spacing w:line="320" w:lineRule="exact"/>
        <w:jc w:val="left"/>
        <w:rPr>
          <w:rFonts w:ascii="宋体" w:hAnsi="宋体" w:cs="宋体"/>
          <w:color w:val="000000"/>
          <w:kern w:val="0"/>
          <w:sz w:val="24"/>
        </w:rPr>
      </w:pPr>
      <w:r>
        <w:rPr>
          <w:rFonts w:hint="eastAsia" w:ascii="宋体" w:hAnsi="宋体" w:cs="宋体"/>
          <w:color w:val="000000"/>
          <w:kern w:val="0"/>
          <w:sz w:val="24"/>
        </w:rPr>
        <w:t xml:space="preserve">    主要股东应当真实、准确、完整地向董事会披露关联方或一致行动人的情况，并承诺当关联关系或一致行动关系发生变化时及时向董事会报告。</w:t>
      </w:r>
    </w:p>
    <w:p>
      <w:pPr>
        <w:widowControl/>
        <w:numPr>
          <w:ilvl w:val="0"/>
          <w:numId w:val="1"/>
        </w:numPr>
        <w:tabs>
          <w:tab w:val="left" w:pos="0"/>
          <w:tab w:val="clear" w:pos="1440"/>
        </w:tabs>
        <w:spacing w:before="100" w:beforeAutospacing="1" w:after="100" w:afterAutospacing="1" w:line="320" w:lineRule="exact"/>
        <w:ind w:left="0" w:firstLine="0"/>
        <w:jc w:val="center"/>
        <w:outlineLvl w:val="0"/>
        <w:rPr>
          <w:rFonts w:ascii="宋体" w:hAnsi="宋体" w:cs="宋体"/>
          <w:b/>
          <w:bCs/>
          <w:smallCaps/>
          <w:color w:val="000000"/>
          <w:kern w:val="0"/>
          <w:sz w:val="24"/>
        </w:rPr>
      </w:pPr>
      <w:bookmarkStart w:id="20" w:name="_Toc11891"/>
      <w:bookmarkStart w:id="21" w:name="_Toc21011"/>
      <w:bookmarkStart w:id="22" w:name="_Toc41895449"/>
      <w:r>
        <w:rPr>
          <w:rFonts w:ascii="宋体" w:hAnsi="宋体" w:cs="宋体"/>
          <w:b/>
          <w:bCs/>
          <w:smallCaps/>
          <w:color w:val="000000"/>
          <w:kern w:val="0"/>
          <w:sz w:val="24"/>
        </w:rPr>
        <w:t>股东和股东大会</w:t>
      </w:r>
      <w:bookmarkEnd w:id="20"/>
      <w:bookmarkEnd w:id="21"/>
      <w:bookmarkEnd w:id="22"/>
    </w:p>
    <w:p>
      <w:pPr>
        <w:widowControl/>
        <w:numPr>
          <w:ilvl w:val="0"/>
          <w:numId w:val="6"/>
        </w:numPr>
        <w:tabs>
          <w:tab w:val="left" w:pos="0"/>
          <w:tab w:val="clear" w:pos="3600"/>
        </w:tabs>
        <w:spacing w:before="100" w:beforeAutospacing="1" w:after="100" w:afterAutospacing="1" w:line="320" w:lineRule="exact"/>
        <w:ind w:left="0" w:firstLine="0"/>
        <w:jc w:val="center"/>
        <w:outlineLvl w:val="1"/>
        <w:rPr>
          <w:rFonts w:ascii="宋体" w:hAnsi="宋体" w:cs="宋体"/>
          <w:b/>
          <w:bCs/>
          <w:smallCaps/>
          <w:color w:val="000000"/>
          <w:kern w:val="0"/>
          <w:sz w:val="24"/>
        </w:rPr>
      </w:pPr>
      <w:bookmarkStart w:id="23" w:name="_Toc1831"/>
      <w:bookmarkStart w:id="24" w:name="_Toc41895450"/>
      <w:bookmarkStart w:id="25" w:name="_Toc13362"/>
      <w:r>
        <w:rPr>
          <w:rFonts w:ascii="宋体" w:hAnsi="宋体" w:cs="宋体"/>
          <w:b/>
          <w:bCs/>
          <w:smallCaps/>
          <w:color w:val="000000"/>
          <w:kern w:val="0"/>
          <w:sz w:val="24"/>
        </w:rPr>
        <w:t>股东</w:t>
      </w:r>
      <w:bookmarkEnd w:id="23"/>
      <w:bookmarkEnd w:id="24"/>
      <w:bookmarkEnd w:id="25"/>
    </w:p>
    <w:p>
      <w:pPr>
        <w:widowControl/>
        <w:numPr>
          <w:ilvl w:val="0"/>
          <w:numId w:val="2"/>
        </w:numPr>
        <w:spacing w:line="320" w:lineRule="exact"/>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本行</w:t>
      </w:r>
      <w:r>
        <w:rPr>
          <w:rFonts w:ascii="宋体" w:hAnsi="宋体" w:cs="宋体"/>
          <w:color w:val="000000"/>
          <w:kern w:val="0"/>
          <w:sz w:val="24"/>
        </w:rPr>
        <w:t>股东为依法持有</w:t>
      </w:r>
      <w:r>
        <w:rPr>
          <w:rFonts w:hint="eastAsia" w:ascii="宋体" w:hAnsi="宋体" w:cs="宋体"/>
          <w:color w:val="000000"/>
          <w:kern w:val="0"/>
          <w:sz w:val="24"/>
        </w:rPr>
        <w:t>本行</w:t>
      </w:r>
      <w:r>
        <w:rPr>
          <w:rFonts w:ascii="宋体" w:hAnsi="宋体" w:cs="宋体"/>
          <w:color w:val="000000"/>
          <w:kern w:val="0"/>
          <w:sz w:val="24"/>
        </w:rPr>
        <w:t>股份的</w:t>
      </w:r>
      <w:r>
        <w:rPr>
          <w:rFonts w:hint="eastAsia" w:ascii="宋体" w:hAnsi="宋体" w:cs="宋体"/>
          <w:color w:val="000000"/>
          <w:kern w:val="0"/>
          <w:sz w:val="24"/>
        </w:rPr>
        <w:t>法人、其他组织或自然人。</w:t>
      </w:r>
    </w:p>
    <w:p>
      <w:pPr>
        <w:widowControl/>
        <w:spacing w:line="320" w:lineRule="exact"/>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公司依据证券登记机构提供的凭证建立股东名册，股东名册是证明股东持有公司股份的充分证据。股东按其持有股份的种类享有权利，承担义务</w:t>
      </w:r>
      <w:r>
        <w:rPr>
          <w:rFonts w:ascii="宋体" w:hAnsi="宋体" w:cs="宋体"/>
          <w:color w:val="000000"/>
          <w:kern w:val="0"/>
          <w:sz w:val="24"/>
        </w:rPr>
        <w:t>；</w:t>
      </w:r>
      <w:r>
        <w:rPr>
          <w:rFonts w:hint="eastAsia" w:ascii="宋体" w:hAnsi="宋体" w:cs="宋体"/>
          <w:color w:val="000000"/>
          <w:kern w:val="0"/>
          <w:sz w:val="24"/>
        </w:rPr>
        <w:t>持有同一种类股份的股东，</w:t>
      </w:r>
      <w:r>
        <w:rPr>
          <w:rFonts w:ascii="宋体" w:hAnsi="宋体" w:cs="宋体"/>
          <w:color w:val="000000"/>
          <w:kern w:val="0"/>
          <w:sz w:val="24"/>
        </w:rPr>
        <w:t>享有同等权利，承担同种义务。</w:t>
      </w:r>
    </w:p>
    <w:p>
      <w:pPr>
        <w:widowControl/>
        <w:numPr>
          <w:ilvl w:val="0"/>
          <w:numId w:val="2"/>
        </w:numPr>
        <w:spacing w:line="320" w:lineRule="exact"/>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本行</w:t>
      </w:r>
      <w:r>
        <w:rPr>
          <w:rFonts w:ascii="宋体" w:hAnsi="宋体" w:cs="宋体"/>
          <w:color w:val="000000"/>
          <w:kern w:val="0"/>
          <w:sz w:val="24"/>
        </w:rPr>
        <w:t>召开股东大会、分配股利、清算及从事其他需要确认股</w:t>
      </w:r>
      <w:r>
        <w:rPr>
          <w:rFonts w:hint="eastAsia" w:ascii="宋体" w:hAnsi="宋体" w:cs="宋体"/>
          <w:color w:val="000000"/>
          <w:kern w:val="0"/>
          <w:sz w:val="24"/>
        </w:rPr>
        <w:t>东身份</w:t>
      </w:r>
      <w:r>
        <w:rPr>
          <w:rFonts w:ascii="宋体" w:hAnsi="宋体" w:cs="宋体"/>
          <w:color w:val="000000"/>
          <w:kern w:val="0"/>
          <w:sz w:val="24"/>
        </w:rPr>
        <w:t>的行为时，由董事会</w:t>
      </w:r>
      <w:r>
        <w:rPr>
          <w:rFonts w:hint="eastAsia" w:ascii="宋体" w:hAnsi="宋体" w:cs="宋体"/>
          <w:color w:val="000000"/>
          <w:kern w:val="0"/>
          <w:sz w:val="24"/>
        </w:rPr>
        <w:t>或股东大会召集人</w:t>
      </w:r>
      <w:r>
        <w:rPr>
          <w:rFonts w:ascii="宋体" w:hAnsi="宋体" w:cs="宋体"/>
          <w:color w:val="000000"/>
          <w:kern w:val="0"/>
          <w:sz w:val="24"/>
        </w:rPr>
        <w:t>决定股权登记日，股权登记日</w:t>
      </w:r>
      <w:r>
        <w:rPr>
          <w:rFonts w:hint="eastAsia" w:ascii="宋体" w:hAnsi="宋体" w:cs="宋体"/>
          <w:color w:val="000000"/>
          <w:kern w:val="0"/>
          <w:sz w:val="24"/>
        </w:rPr>
        <w:t>收市后登记</w:t>
      </w:r>
      <w:r>
        <w:rPr>
          <w:rFonts w:ascii="宋体" w:hAnsi="宋体" w:cs="宋体"/>
          <w:color w:val="000000"/>
          <w:kern w:val="0"/>
          <w:sz w:val="24"/>
        </w:rPr>
        <w:t>在</w:t>
      </w:r>
      <w:r>
        <w:rPr>
          <w:rFonts w:hint="eastAsia" w:ascii="宋体" w:hAnsi="宋体" w:cs="宋体"/>
          <w:color w:val="000000"/>
          <w:kern w:val="0"/>
          <w:sz w:val="24"/>
        </w:rPr>
        <w:t>股东名</w:t>
      </w:r>
      <w:r>
        <w:rPr>
          <w:rFonts w:ascii="宋体" w:hAnsi="宋体" w:cs="宋体"/>
          <w:color w:val="000000"/>
          <w:kern w:val="0"/>
          <w:sz w:val="24"/>
        </w:rPr>
        <w:t>册</w:t>
      </w:r>
      <w:r>
        <w:rPr>
          <w:rFonts w:hint="eastAsia" w:ascii="宋体" w:hAnsi="宋体" w:cs="宋体"/>
          <w:color w:val="000000"/>
          <w:kern w:val="0"/>
          <w:sz w:val="24"/>
        </w:rPr>
        <w:t>的</w:t>
      </w:r>
      <w:r>
        <w:rPr>
          <w:rFonts w:ascii="宋体" w:hAnsi="宋体" w:cs="宋体"/>
          <w:color w:val="000000"/>
          <w:kern w:val="0"/>
          <w:sz w:val="24"/>
        </w:rPr>
        <w:t>股东为</w:t>
      </w:r>
      <w:r>
        <w:rPr>
          <w:rFonts w:hint="eastAsia" w:ascii="宋体" w:hAnsi="宋体" w:cs="宋体"/>
          <w:color w:val="000000"/>
          <w:kern w:val="0"/>
          <w:sz w:val="24"/>
        </w:rPr>
        <w:t>享有相关权益的</w:t>
      </w:r>
      <w:r>
        <w:rPr>
          <w:rFonts w:ascii="宋体" w:hAnsi="宋体" w:cs="宋体"/>
          <w:color w:val="000000"/>
          <w:kern w:val="0"/>
          <w:sz w:val="24"/>
        </w:rPr>
        <w:t>股东。</w:t>
      </w:r>
    </w:p>
    <w:p>
      <w:pPr>
        <w:widowControl/>
        <w:numPr>
          <w:ilvl w:val="0"/>
          <w:numId w:val="2"/>
        </w:numPr>
        <w:spacing w:line="320" w:lineRule="exact"/>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本行</w:t>
      </w:r>
      <w:r>
        <w:rPr>
          <w:rFonts w:ascii="宋体" w:hAnsi="宋体" w:cs="宋体"/>
          <w:color w:val="000000"/>
          <w:kern w:val="0"/>
          <w:sz w:val="24"/>
        </w:rPr>
        <w:t>股东享有下列权利：</w:t>
      </w:r>
    </w:p>
    <w:p>
      <w:pPr>
        <w:numPr>
          <w:ilvl w:val="0"/>
          <w:numId w:val="7"/>
        </w:numPr>
        <w:spacing w:line="320" w:lineRule="exact"/>
        <w:rPr>
          <w:rFonts w:ascii="宋体" w:hAnsi="宋体"/>
          <w:sz w:val="24"/>
        </w:rPr>
      </w:pPr>
      <w:r>
        <w:rPr>
          <w:rFonts w:ascii="宋体" w:hAnsi="宋体"/>
          <w:sz w:val="24"/>
        </w:rPr>
        <w:t>依照其所持有的股份份额获得股利和其他形式的利益分配；</w:t>
      </w:r>
    </w:p>
    <w:p>
      <w:pPr>
        <w:numPr>
          <w:ilvl w:val="0"/>
          <w:numId w:val="7"/>
        </w:numPr>
        <w:spacing w:line="320" w:lineRule="exact"/>
        <w:rPr>
          <w:rFonts w:ascii="宋体" w:hAnsi="宋体"/>
          <w:sz w:val="24"/>
        </w:rPr>
      </w:pPr>
      <w:r>
        <w:rPr>
          <w:rFonts w:hint="eastAsia" w:ascii="宋体" w:hAnsi="宋体"/>
          <w:sz w:val="24"/>
        </w:rPr>
        <w:t>依法请求召开、召集、主持、</w:t>
      </w:r>
      <w:r>
        <w:rPr>
          <w:rFonts w:ascii="宋体" w:hAnsi="宋体"/>
          <w:sz w:val="24"/>
        </w:rPr>
        <w:t>参加或者委派股东代理人参加股东</w:t>
      </w:r>
      <w:r>
        <w:rPr>
          <w:rFonts w:hint="eastAsia" w:ascii="宋体" w:hAnsi="宋体"/>
          <w:sz w:val="24"/>
        </w:rPr>
        <w:t>大会</w:t>
      </w:r>
      <w:r>
        <w:rPr>
          <w:rFonts w:ascii="宋体" w:hAnsi="宋体"/>
          <w:sz w:val="24"/>
        </w:rPr>
        <w:t>；</w:t>
      </w:r>
    </w:p>
    <w:p>
      <w:pPr>
        <w:numPr>
          <w:ilvl w:val="0"/>
          <w:numId w:val="7"/>
        </w:numPr>
        <w:spacing w:line="320" w:lineRule="exact"/>
        <w:rPr>
          <w:rFonts w:ascii="宋体" w:hAnsi="宋体"/>
          <w:sz w:val="24"/>
        </w:rPr>
      </w:pPr>
      <w:r>
        <w:rPr>
          <w:rFonts w:ascii="宋体" w:hAnsi="宋体"/>
          <w:sz w:val="24"/>
        </w:rPr>
        <w:t>依照其所持有的股份份额行使表决权；</w:t>
      </w:r>
    </w:p>
    <w:p>
      <w:pPr>
        <w:numPr>
          <w:ilvl w:val="0"/>
          <w:numId w:val="7"/>
        </w:numPr>
        <w:spacing w:line="320" w:lineRule="exact"/>
        <w:rPr>
          <w:rFonts w:ascii="宋体" w:hAnsi="宋体"/>
          <w:sz w:val="24"/>
        </w:rPr>
      </w:pPr>
      <w:r>
        <w:rPr>
          <w:rFonts w:ascii="宋体" w:hAnsi="宋体"/>
          <w:sz w:val="24"/>
        </w:rPr>
        <w:t>对</w:t>
      </w:r>
      <w:r>
        <w:rPr>
          <w:rFonts w:hint="eastAsia" w:ascii="宋体" w:hAnsi="宋体"/>
          <w:sz w:val="24"/>
        </w:rPr>
        <w:t>本行</w:t>
      </w:r>
      <w:r>
        <w:rPr>
          <w:rFonts w:ascii="宋体" w:hAnsi="宋体"/>
          <w:sz w:val="24"/>
        </w:rPr>
        <w:t>的经营行为进行监督，提出建议或者质询；</w:t>
      </w:r>
    </w:p>
    <w:p>
      <w:pPr>
        <w:numPr>
          <w:ilvl w:val="0"/>
          <w:numId w:val="7"/>
        </w:numPr>
        <w:tabs>
          <w:tab w:val="left" w:pos="0"/>
          <w:tab w:val="clear" w:pos="1200"/>
        </w:tabs>
        <w:spacing w:line="320" w:lineRule="exact"/>
        <w:ind w:left="0" w:firstLine="480"/>
        <w:rPr>
          <w:rFonts w:ascii="宋体" w:hAnsi="宋体"/>
          <w:sz w:val="24"/>
        </w:rPr>
      </w:pPr>
      <w:r>
        <w:rPr>
          <w:rFonts w:ascii="宋体" w:hAnsi="宋体"/>
          <w:sz w:val="24"/>
        </w:rPr>
        <w:t>依照法律、行政法规及</w:t>
      </w:r>
      <w:r>
        <w:rPr>
          <w:rFonts w:hint="eastAsia" w:ascii="宋体" w:hAnsi="宋体"/>
          <w:sz w:val="24"/>
        </w:rPr>
        <w:t>本章程</w:t>
      </w:r>
      <w:r>
        <w:rPr>
          <w:rFonts w:ascii="宋体" w:hAnsi="宋体"/>
          <w:sz w:val="24"/>
        </w:rPr>
        <w:t>的规定转让、赠与或质押其所持有的股份；</w:t>
      </w:r>
    </w:p>
    <w:p>
      <w:pPr>
        <w:numPr>
          <w:ilvl w:val="0"/>
          <w:numId w:val="7"/>
        </w:numPr>
        <w:tabs>
          <w:tab w:val="left" w:pos="0"/>
          <w:tab w:val="clear" w:pos="1200"/>
        </w:tabs>
        <w:spacing w:line="320" w:lineRule="exact"/>
        <w:ind w:left="0" w:firstLine="480"/>
        <w:rPr>
          <w:rFonts w:ascii="宋体" w:hAnsi="宋体"/>
          <w:sz w:val="24"/>
        </w:rPr>
      </w:pPr>
      <w:r>
        <w:rPr>
          <w:rFonts w:hint="eastAsia" w:ascii="宋体" w:hAnsi="宋体"/>
          <w:sz w:val="24"/>
        </w:rPr>
        <w:t>查阅本章程、股东名册、债券存根、股东大会会议记录、董事会会议决议、监事会会议决议、经审计的年度财务会计报告；</w:t>
      </w:r>
    </w:p>
    <w:p>
      <w:pPr>
        <w:numPr>
          <w:ilvl w:val="0"/>
          <w:numId w:val="7"/>
        </w:numPr>
        <w:tabs>
          <w:tab w:val="left" w:pos="0"/>
          <w:tab w:val="clear" w:pos="1200"/>
        </w:tabs>
        <w:spacing w:line="320" w:lineRule="exact"/>
        <w:ind w:left="0" w:firstLine="480"/>
        <w:rPr>
          <w:rFonts w:ascii="宋体" w:hAnsi="宋体"/>
          <w:sz w:val="24"/>
        </w:rPr>
      </w:pPr>
      <w:r>
        <w:rPr>
          <w:rFonts w:hint="eastAsia" w:ascii="宋体" w:hAnsi="宋体"/>
          <w:sz w:val="24"/>
        </w:rPr>
        <w:t>本行</w:t>
      </w:r>
      <w:r>
        <w:rPr>
          <w:rFonts w:ascii="宋体" w:hAnsi="宋体"/>
          <w:sz w:val="24"/>
        </w:rPr>
        <w:t>终止或者清算时，按其所持有的股份份额参加</w:t>
      </w:r>
      <w:r>
        <w:rPr>
          <w:rFonts w:hint="eastAsia" w:ascii="宋体" w:hAnsi="宋体"/>
          <w:sz w:val="24"/>
        </w:rPr>
        <w:t>本行</w:t>
      </w:r>
      <w:r>
        <w:rPr>
          <w:rFonts w:ascii="宋体" w:hAnsi="宋体"/>
          <w:sz w:val="24"/>
        </w:rPr>
        <w:t>剩余财产的分配；</w:t>
      </w:r>
    </w:p>
    <w:p>
      <w:pPr>
        <w:numPr>
          <w:ilvl w:val="0"/>
          <w:numId w:val="7"/>
        </w:numPr>
        <w:tabs>
          <w:tab w:val="left" w:pos="0"/>
          <w:tab w:val="clear" w:pos="1200"/>
        </w:tabs>
        <w:spacing w:line="320" w:lineRule="exact"/>
        <w:ind w:left="0" w:firstLine="480"/>
        <w:rPr>
          <w:rFonts w:ascii="宋体" w:hAnsi="宋体"/>
          <w:sz w:val="24"/>
        </w:rPr>
      </w:pPr>
      <w:r>
        <w:rPr>
          <w:rFonts w:hint="eastAsia" w:ascii="宋体" w:hAnsi="宋体"/>
          <w:sz w:val="24"/>
        </w:rPr>
        <w:t>对股东大会作出的本行合并、分立决议持异议的股东，要求本行收购其股份；</w:t>
      </w:r>
    </w:p>
    <w:p>
      <w:pPr>
        <w:numPr>
          <w:ilvl w:val="0"/>
          <w:numId w:val="7"/>
        </w:numPr>
        <w:tabs>
          <w:tab w:val="left" w:pos="0"/>
          <w:tab w:val="clear" w:pos="1200"/>
        </w:tabs>
        <w:spacing w:line="320" w:lineRule="exact"/>
        <w:ind w:left="0" w:firstLine="480"/>
        <w:rPr>
          <w:rFonts w:ascii="宋体" w:hAnsi="宋体"/>
          <w:sz w:val="24"/>
        </w:rPr>
      </w:pPr>
      <w:r>
        <w:rPr>
          <w:rFonts w:ascii="宋体" w:hAnsi="宋体"/>
          <w:sz w:val="24"/>
        </w:rPr>
        <w:t>法律、行政法规及</w:t>
      </w:r>
      <w:r>
        <w:rPr>
          <w:rFonts w:hint="eastAsia" w:ascii="宋体" w:hAnsi="宋体"/>
          <w:sz w:val="24"/>
        </w:rPr>
        <w:t>本章程</w:t>
      </w:r>
      <w:r>
        <w:rPr>
          <w:rFonts w:ascii="宋体" w:hAnsi="宋体"/>
          <w:sz w:val="24"/>
        </w:rPr>
        <w:t>所赋予的其他权利。</w:t>
      </w:r>
    </w:p>
    <w:p>
      <w:pPr>
        <w:widowControl/>
        <w:numPr>
          <w:ilvl w:val="0"/>
          <w:numId w:val="2"/>
        </w:numPr>
        <w:spacing w:line="320" w:lineRule="exact"/>
        <w:jc w:val="left"/>
        <w:rPr>
          <w:rFonts w:ascii="宋体" w:hAnsi="宋体" w:cs="宋体"/>
          <w:color w:val="000000"/>
          <w:kern w:val="0"/>
          <w:sz w:val="24"/>
        </w:rPr>
      </w:pPr>
      <w:r>
        <w:rPr>
          <w:rFonts w:ascii="宋体" w:hAnsi="宋体" w:cs="宋体"/>
          <w:color w:val="000000"/>
          <w:kern w:val="0"/>
          <w:sz w:val="24"/>
        </w:rPr>
        <w:t>股东提出查阅前条所述有关信息的，</w:t>
      </w:r>
      <w:r>
        <w:rPr>
          <w:rFonts w:hint="eastAsia" w:ascii="宋体" w:hAnsi="宋体" w:cs="宋体"/>
          <w:color w:val="000000"/>
          <w:kern w:val="0"/>
          <w:sz w:val="24"/>
        </w:rPr>
        <w:t>应当向本行提供证明其持有本行股份的种类以及持股数量的书面文件，本行</w:t>
      </w:r>
      <w:r>
        <w:rPr>
          <w:rFonts w:ascii="宋体" w:hAnsi="宋体" w:cs="宋体"/>
          <w:color w:val="000000"/>
          <w:kern w:val="0"/>
          <w:sz w:val="24"/>
        </w:rPr>
        <w:t>经核实股东身份后按照</w:t>
      </w:r>
      <w:r>
        <w:rPr>
          <w:rFonts w:hint="eastAsia" w:ascii="宋体" w:hAnsi="宋体" w:cs="宋体"/>
          <w:color w:val="000000"/>
          <w:kern w:val="0"/>
          <w:sz w:val="24"/>
        </w:rPr>
        <w:t>股东的要求</w:t>
      </w:r>
      <w:r>
        <w:rPr>
          <w:rFonts w:ascii="宋体" w:hAnsi="宋体" w:cs="宋体"/>
          <w:color w:val="000000"/>
          <w:kern w:val="0"/>
          <w:sz w:val="24"/>
        </w:rPr>
        <w:t>予以</w:t>
      </w:r>
      <w:r>
        <w:rPr>
          <w:rFonts w:hint="eastAsia" w:ascii="宋体" w:hAnsi="宋体" w:cs="宋体"/>
          <w:color w:val="000000"/>
          <w:kern w:val="0"/>
          <w:sz w:val="24"/>
        </w:rPr>
        <w:t>查阅</w:t>
      </w:r>
      <w:r>
        <w:rPr>
          <w:rFonts w:ascii="宋体" w:hAnsi="宋体" w:cs="宋体"/>
          <w:color w:val="000000"/>
          <w:kern w:val="0"/>
          <w:sz w:val="24"/>
        </w:rPr>
        <w:t>。</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本行</w:t>
      </w:r>
      <w:r>
        <w:rPr>
          <w:rFonts w:ascii="宋体" w:hAnsi="宋体" w:cs="宋体"/>
          <w:color w:val="000000"/>
          <w:kern w:val="0"/>
          <w:sz w:val="24"/>
        </w:rPr>
        <w:t>股东承担下列义务：</w:t>
      </w:r>
    </w:p>
    <w:p>
      <w:pPr>
        <w:numPr>
          <w:ilvl w:val="0"/>
          <w:numId w:val="8"/>
        </w:numPr>
        <w:tabs>
          <w:tab w:val="left" w:pos="0"/>
          <w:tab w:val="clear" w:pos="1200"/>
        </w:tabs>
        <w:spacing w:line="320" w:lineRule="exact"/>
        <w:ind w:left="0" w:firstLine="480"/>
        <w:rPr>
          <w:rFonts w:hint="eastAsia" w:ascii="宋体" w:hAnsi="宋体"/>
          <w:sz w:val="24"/>
        </w:rPr>
      </w:pPr>
      <w:r>
        <w:rPr>
          <w:rFonts w:hint="eastAsia" w:ascii="宋体" w:hAnsi="宋体"/>
          <w:sz w:val="24"/>
        </w:rPr>
        <w:t>使用来源合法的自有资金入股</w:t>
      </w:r>
      <w:r>
        <w:rPr>
          <w:rFonts w:hint="eastAsia" w:ascii="宋体" w:hAnsi="宋体"/>
          <w:sz w:val="24"/>
          <w:lang w:val="en-US" w:eastAsia="zh-CN"/>
        </w:rPr>
        <w:t>本行</w:t>
      </w:r>
      <w:r>
        <w:rPr>
          <w:rFonts w:hint="eastAsia" w:ascii="宋体" w:hAnsi="宋体"/>
          <w:sz w:val="24"/>
        </w:rPr>
        <w:t>，不得以委托资金、债务资金等非自有资金入股，法律法规或者监管制度另有规定的除外；</w:t>
      </w:r>
    </w:p>
    <w:p>
      <w:pPr>
        <w:numPr>
          <w:ilvl w:val="0"/>
          <w:numId w:val="8"/>
        </w:numPr>
        <w:tabs>
          <w:tab w:val="left" w:pos="0"/>
          <w:tab w:val="clear" w:pos="1200"/>
        </w:tabs>
        <w:spacing w:line="320" w:lineRule="exact"/>
        <w:ind w:left="0" w:firstLine="480"/>
        <w:rPr>
          <w:rFonts w:hint="eastAsia" w:ascii="宋体" w:hAnsi="宋体"/>
          <w:sz w:val="24"/>
        </w:rPr>
      </w:pPr>
      <w:r>
        <w:rPr>
          <w:rFonts w:hint="eastAsia" w:ascii="宋体" w:hAnsi="宋体"/>
          <w:sz w:val="24"/>
        </w:rPr>
        <w:t>持股比例和持股机构数量符合监管规定，不得委托他人或者接受他人委托持有</w:t>
      </w:r>
      <w:r>
        <w:rPr>
          <w:rFonts w:hint="eastAsia" w:ascii="宋体" w:hAnsi="宋体"/>
          <w:sz w:val="24"/>
          <w:lang w:val="en-US" w:eastAsia="zh-CN"/>
        </w:rPr>
        <w:t>本行</w:t>
      </w:r>
      <w:r>
        <w:rPr>
          <w:rFonts w:hint="eastAsia" w:ascii="宋体" w:hAnsi="宋体"/>
          <w:sz w:val="24"/>
        </w:rPr>
        <w:t>股份；</w:t>
      </w:r>
    </w:p>
    <w:p>
      <w:pPr>
        <w:numPr>
          <w:ilvl w:val="0"/>
          <w:numId w:val="8"/>
        </w:numPr>
        <w:tabs>
          <w:tab w:val="left" w:pos="0"/>
          <w:tab w:val="clear" w:pos="1200"/>
        </w:tabs>
        <w:spacing w:line="320" w:lineRule="exact"/>
        <w:ind w:left="0" w:firstLine="480"/>
        <w:rPr>
          <w:rFonts w:hint="eastAsia" w:ascii="宋体" w:hAnsi="宋体"/>
          <w:sz w:val="24"/>
        </w:rPr>
      </w:pPr>
      <w:r>
        <w:rPr>
          <w:rFonts w:hint="eastAsia" w:ascii="宋体" w:hAnsi="宋体"/>
          <w:sz w:val="24"/>
        </w:rPr>
        <w:t>如实向</w:t>
      </w:r>
      <w:r>
        <w:rPr>
          <w:rFonts w:hint="eastAsia" w:ascii="宋体" w:hAnsi="宋体"/>
          <w:sz w:val="24"/>
          <w:lang w:val="en-US" w:eastAsia="zh-CN"/>
        </w:rPr>
        <w:t>本行</w:t>
      </w:r>
      <w:r>
        <w:rPr>
          <w:rFonts w:hint="eastAsia" w:ascii="宋体" w:hAnsi="宋体"/>
          <w:sz w:val="24"/>
        </w:rPr>
        <w:t xml:space="preserve">告知财务信息、股权结构、入股资金来源、控股股东、实际控制人、关联方、一致行动人、最终受益人、投资其他金融机构情况等信息； </w:t>
      </w:r>
    </w:p>
    <w:p>
      <w:pPr>
        <w:numPr>
          <w:ilvl w:val="0"/>
          <w:numId w:val="8"/>
        </w:numPr>
        <w:tabs>
          <w:tab w:val="left" w:pos="0"/>
          <w:tab w:val="clear" w:pos="1200"/>
        </w:tabs>
        <w:spacing w:line="320" w:lineRule="exact"/>
        <w:ind w:left="0" w:firstLine="480"/>
        <w:rPr>
          <w:rFonts w:hint="eastAsia" w:ascii="宋体" w:hAnsi="宋体"/>
          <w:sz w:val="24"/>
        </w:rPr>
      </w:pPr>
      <w:r>
        <w:rPr>
          <w:rFonts w:hint="eastAsia" w:ascii="宋体" w:hAnsi="宋体"/>
          <w:sz w:val="24"/>
        </w:rPr>
        <w:t>股东的控股股东、实际控制人、关联方、一致行动人、最终受益人发生变化的，相关股东应当及时将变更情况书面告知</w:t>
      </w:r>
      <w:r>
        <w:rPr>
          <w:rFonts w:hint="eastAsia" w:ascii="宋体" w:hAnsi="宋体"/>
          <w:sz w:val="24"/>
          <w:lang w:val="en-US" w:eastAsia="zh-CN"/>
        </w:rPr>
        <w:t>本行</w:t>
      </w:r>
      <w:r>
        <w:rPr>
          <w:rFonts w:hint="eastAsia" w:ascii="宋体" w:hAnsi="宋体"/>
          <w:sz w:val="24"/>
        </w:rPr>
        <w:t>；</w:t>
      </w:r>
    </w:p>
    <w:p>
      <w:pPr>
        <w:numPr>
          <w:ilvl w:val="0"/>
          <w:numId w:val="8"/>
        </w:numPr>
        <w:tabs>
          <w:tab w:val="left" w:pos="0"/>
          <w:tab w:val="clear" w:pos="1200"/>
        </w:tabs>
        <w:spacing w:line="320" w:lineRule="exact"/>
        <w:ind w:left="0" w:firstLine="480"/>
        <w:rPr>
          <w:rFonts w:hint="eastAsia" w:ascii="宋体" w:hAnsi="宋体"/>
          <w:sz w:val="24"/>
        </w:rPr>
      </w:pPr>
      <w:r>
        <w:rPr>
          <w:rFonts w:hint="eastAsia" w:ascii="宋体" w:hAnsi="宋体"/>
          <w:sz w:val="24"/>
        </w:rPr>
        <w:t>股东发生合并、分立，被采取责令停业整顿、指定托管、接管、撤销等措施，或者进入解散、清算、破产程序，或者其法定代表人、公司名称、经营场所、经营范围及其他重大事项发生变化的，应当及时将相关情况书面告知</w:t>
      </w:r>
      <w:r>
        <w:rPr>
          <w:rFonts w:hint="eastAsia" w:ascii="宋体" w:hAnsi="宋体"/>
          <w:sz w:val="24"/>
          <w:lang w:val="en-US" w:eastAsia="zh-CN"/>
        </w:rPr>
        <w:t>本行</w:t>
      </w:r>
      <w:r>
        <w:rPr>
          <w:rFonts w:hint="eastAsia" w:ascii="宋体" w:hAnsi="宋体"/>
          <w:sz w:val="24"/>
        </w:rPr>
        <w:t xml:space="preserve">； </w:t>
      </w:r>
    </w:p>
    <w:p>
      <w:pPr>
        <w:numPr>
          <w:ilvl w:val="0"/>
          <w:numId w:val="8"/>
        </w:numPr>
        <w:tabs>
          <w:tab w:val="left" w:pos="0"/>
          <w:tab w:val="clear" w:pos="1200"/>
        </w:tabs>
        <w:spacing w:line="320" w:lineRule="exact"/>
        <w:ind w:left="0" w:firstLine="480"/>
        <w:rPr>
          <w:rFonts w:hint="eastAsia" w:ascii="宋体" w:hAnsi="宋体"/>
          <w:sz w:val="24"/>
        </w:rPr>
      </w:pPr>
      <w:r>
        <w:rPr>
          <w:rFonts w:hint="eastAsia" w:ascii="宋体" w:hAnsi="宋体"/>
          <w:sz w:val="24"/>
        </w:rPr>
        <w:t>股东所持</w:t>
      </w:r>
      <w:r>
        <w:rPr>
          <w:rFonts w:hint="eastAsia" w:ascii="宋体" w:hAnsi="宋体"/>
          <w:sz w:val="24"/>
          <w:lang w:val="en-US" w:eastAsia="zh-CN"/>
        </w:rPr>
        <w:t>本行</w:t>
      </w:r>
      <w:r>
        <w:rPr>
          <w:rFonts w:hint="eastAsia" w:ascii="宋体" w:hAnsi="宋体"/>
          <w:sz w:val="24"/>
        </w:rPr>
        <w:t>股份涉及诉讼、仲裁、被司法机关等采取法律强制措施、被质押或者解质押的，应当及时将相关情况书面告知</w:t>
      </w:r>
      <w:r>
        <w:rPr>
          <w:rFonts w:hint="eastAsia" w:ascii="宋体" w:hAnsi="宋体"/>
          <w:sz w:val="24"/>
          <w:lang w:val="en-US" w:eastAsia="zh-CN"/>
        </w:rPr>
        <w:t>本行</w:t>
      </w:r>
      <w:r>
        <w:rPr>
          <w:rFonts w:hint="eastAsia" w:ascii="宋体" w:hAnsi="宋体"/>
          <w:sz w:val="24"/>
        </w:rPr>
        <w:t>；</w:t>
      </w:r>
    </w:p>
    <w:p>
      <w:pPr>
        <w:numPr>
          <w:ilvl w:val="0"/>
          <w:numId w:val="8"/>
        </w:numPr>
        <w:tabs>
          <w:tab w:val="left" w:pos="0"/>
          <w:tab w:val="clear" w:pos="1200"/>
        </w:tabs>
        <w:spacing w:line="320" w:lineRule="exact"/>
        <w:ind w:left="0" w:firstLine="480"/>
        <w:rPr>
          <w:rFonts w:hint="eastAsia" w:ascii="宋体" w:hAnsi="宋体"/>
          <w:sz w:val="24"/>
        </w:rPr>
      </w:pPr>
      <w:r>
        <w:rPr>
          <w:rFonts w:hint="eastAsia" w:ascii="宋体" w:hAnsi="宋体"/>
          <w:sz w:val="24"/>
        </w:rPr>
        <w:t>股东转让、质押其持有的</w:t>
      </w:r>
      <w:r>
        <w:rPr>
          <w:rFonts w:hint="eastAsia" w:ascii="宋体" w:hAnsi="宋体"/>
          <w:sz w:val="24"/>
          <w:lang w:val="en-US" w:eastAsia="zh-CN"/>
        </w:rPr>
        <w:t>本行</w:t>
      </w:r>
      <w:r>
        <w:rPr>
          <w:rFonts w:hint="eastAsia" w:ascii="宋体" w:hAnsi="宋体"/>
          <w:sz w:val="24"/>
        </w:rPr>
        <w:t>股份，或者与</w:t>
      </w:r>
      <w:r>
        <w:rPr>
          <w:rFonts w:hint="eastAsia" w:ascii="宋体" w:hAnsi="宋体"/>
          <w:sz w:val="24"/>
          <w:lang w:val="en-US" w:eastAsia="zh-CN"/>
        </w:rPr>
        <w:t>本行</w:t>
      </w:r>
      <w:r>
        <w:rPr>
          <w:rFonts w:hint="eastAsia" w:ascii="宋体" w:hAnsi="宋体"/>
          <w:sz w:val="24"/>
        </w:rPr>
        <w:t>开展关联交易的，应当遵守法律法规及监管规定，不得损害其他股东和</w:t>
      </w:r>
      <w:r>
        <w:rPr>
          <w:rFonts w:hint="eastAsia" w:ascii="宋体" w:hAnsi="宋体"/>
          <w:sz w:val="24"/>
          <w:lang w:val="en-US" w:eastAsia="zh-CN"/>
        </w:rPr>
        <w:t>本行</w:t>
      </w:r>
      <w:r>
        <w:rPr>
          <w:rFonts w:hint="eastAsia" w:ascii="宋体" w:hAnsi="宋体"/>
          <w:sz w:val="24"/>
        </w:rPr>
        <w:t>利益；</w:t>
      </w:r>
    </w:p>
    <w:p>
      <w:pPr>
        <w:numPr>
          <w:ilvl w:val="0"/>
          <w:numId w:val="8"/>
        </w:numPr>
        <w:tabs>
          <w:tab w:val="left" w:pos="0"/>
          <w:tab w:val="clear" w:pos="1200"/>
        </w:tabs>
        <w:spacing w:line="320" w:lineRule="exact"/>
        <w:ind w:left="0" w:firstLine="480"/>
        <w:rPr>
          <w:rFonts w:hint="eastAsia" w:ascii="宋体" w:hAnsi="宋体"/>
          <w:sz w:val="24"/>
        </w:rPr>
      </w:pPr>
      <w:r>
        <w:rPr>
          <w:rFonts w:hint="eastAsia" w:ascii="宋体" w:hAnsi="宋体"/>
          <w:sz w:val="24"/>
        </w:rPr>
        <w:t>股东及其控股股东、实际控制人不得滥用股东权利或者利用关联关系，损害</w:t>
      </w:r>
      <w:r>
        <w:rPr>
          <w:rFonts w:hint="eastAsia" w:ascii="宋体" w:hAnsi="宋体"/>
          <w:sz w:val="24"/>
          <w:lang w:val="en-US" w:eastAsia="zh-CN"/>
        </w:rPr>
        <w:t>本行</w:t>
      </w:r>
      <w:r>
        <w:rPr>
          <w:rFonts w:hint="eastAsia" w:ascii="宋体" w:hAnsi="宋体"/>
          <w:sz w:val="24"/>
        </w:rPr>
        <w:t>、其他股东及利益相关者的合法权益，不得干预董事会、高级管理层根据</w:t>
      </w:r>
      <w:r>
        <w:rPr>
          <w:rFonts w:hint="eastAsia" w:ascii="宋体" w:hAnsi="宋体"/>
          <w:sz w:val="24"/>
          <w:lang w:val="en-US" w:eastAsia="zh-CN"/>
        </w:rPr>
        <w:t>本</w:t>
      </w:r>
      <w:r>
        <w:rPr>
          <w:rFonts w:hint="eastAsia" w:ascii="宋体" w:hAnsi="宋体"/>
          <w:sz w:val="24"/>
        </w:rPr>
        <w:t>章程享有的决策权和管理权，不得越过董事会、高级管理层直接干预</w:t>
      </w:r>
      <w:r>
        <w:rPr>
          <w:rFonts w:hint="eastAsia" w:ascii="宋体" w:hAnsi="宋体"/>
          <w:sz w:val="24"/>
          <w:lang w:val="en-US" w:eastAsia="zh-CN"/>
        </w:rPr>
        <w:t>本行</w:t>
      </w:r>
      <w:r>
        <w:rPr>
          <w:rFonts w:hint="eastAsia" w:ascii="宋体" w:hAnsi="宋体"/>
          <w:sz w:val="24"/>
        </w:rPr>
        <w:t>经营管理；</w:t>
      </w:r>
    </w:p>
    <w:p>
      <w:pPr>
        <w:numPr>
          <w:ilvl w:val="0"/>
          <w:numId w:val="8"/>
        </w:numPr>
        <w:tabs>
          <w:tab w:val="left" w:pos="0"/>
          <w:tab w:val="clear" w:pos="1200"/>
        </w:tabs>
        <w:spacing w:line="320" w:lineRule="exact"/>
        <w:ind w:left="0" w:firstLine="480"/>
        <w:rPr>
          <w:rFonts w:ascii="宋体" w:hAnsi="宋体"/>
          <w:sz w:val="24"/>
        </w:rPr>
      </w:pPr>
      <w:r>
        <w:rPr>
          <w:rFonts w:hint="eastAsia" w:ascii="宋体" w:hAnsi="宋体"/>
          <w:sz w:val="24"/>
          <w:lang w:val="en-US" w:eastAsia="zh-CN"/>
        </w:rPr>
        <w:t>本行</w:t>
      </w:r>
      <w:r>
        <w:rPr>
          <w:rFonts w:hint="eastAsia" w:ascii="宋体" w:hAnsi="宋体"/>
          <w:sz w:val="24"/>
        </w:rPr>
        <w:t>发生风险事件或者重大违规行为的，股东应当配合监管机构开展调查和风险处置；</w:t>
      </w:r>
    </w:p>
    <w:p>
      <w:pPr>
        <w:numPr>
          <w:ilvl w:val="0"/>
          <w:numId w:val="8"/>
        </w:numPr>
        <w:tabs>
          <w:tab w:val="left" w:pos="0"/>
          <w:tab w:val="clear" w:pos="1200"/>
        </w:tabs>
        <w:spacing w:line="320" w:lineRule="exact"/>
        <w:ind w:left="0" w:firstLine="480"/>
        <w:rPr>
          <w:rFonts w:ascii="宋体" w:hAnsi="宋体"/>
          <w:sz w:val="24"/>
        </w:rPr>
      </w:pPr>
      <w:r>
        <w:rPr>
          <w:rFonts w:hint="eastAsia" w:ascii="宋体" w:hAnsi="宋体"/>
          <w:sz w:val="24"/>
        </w:rPr>
        <w:t>依其所认购股份和入股方式按时缴纳股金；</w:t>
      </w:r>
    </w:p>
    <w:p>
      <w:pPr>
        <w:numPr>
          <w:ilvl w:val="0"/>
          <w:numId w:val="8"/>
        </w:numPr>
        <w:tabs>
          <w:tab w:val="left" w:pos="0"/>
          <w:tab w:val="clear" w:pos="1200"/>
        </w:tabs>
        <w:spacing w:line="320" w:lineRule="exact"/>
        <w:ind w:left="0" w:firstLine="480"/>
        <w:rPr>
          <w:rFonts w:ascii="宋体" w:hAnsi="宋体"/>
          <w:sz w:val="24"/>
        </w:rPr>
      </w:pPr>
      <w:r>
        <w:rPr>
          <w:rFonts w:hint="eastAsia" w:ascii="宋体" w:hAnsi="宋体"/>
          <w:sz w:val="24"/>
        </w:rPr>
        <w:t>除法律、行政法规规定的情形外，不得退股；</w:t>
      </w:r>
    </w:p>
    <w:p>
      <w:pPr>
        <w:numPr>
          <w:ilvl w:val="0"/>
          <w:numId w:val="8"/>
        </w:numPr>
        <w:tabs>
          <w:tab w:val="left" w:pos="0"/>
          <w:tab w:val="clear" w:pos="1200"/>
        </w:tabs>
        <w:spacing w:line="320" w:lineRule="exact"/>
        <w:ind w:left="0" w:firstLine="480"/>
        <w:rPr>
          <w:rFonts w:ascii="宋体" w:hAnsi="宋体"/>
          <w:sz w:val="24"/>
        </w:rPr>
      </w:pPr>
      <w:r>
        <w:rPr>
          <w:rFonts w:hint="eastAsia" w:ascii="宋体" w:hAnsi="宋体"/>
          <w:sz w:val="24"/>
        </w:rPr>
        <w:t>不得滥用股东权利损害本行或者其他股东的利益；不得滥用公司法人独立地位和股东有限责任损害本行债权人的利益；</w:t>
      </w:r>
    </w:p>
    <w:p>
      <w:pPr>
        <w:spacing w:line="320" w:lineRule="exact"/>
        <w:ind w:firstLine="480"/>
        <w:rPr>
          <w:rFonts w:ascii="宋体" w:hAnsi="宋体"/>
          <w:sz w:val="24"/>
        </w:rPr>
      </w:pPr>
      <w:r>
        <w:rPr>
          <w:rFonts w:hint="eastAsia" w:ascii="宋体" w:hAnsi="宋体"/>
          <w:sz w:val="24"/>
        </w:rPr>
        <w:t>本行股东滥用股东权利给本行或者其他股东造成损失的，应当依法承担赔偿责任；</w:t>
      </w:r>
    </w:p>
    <w:p>
      <w:pPr>
        <w:spacing w:line="320" w:lineRule="exact"/>
        <w:ind w:firstLine="480"/>
        <w:rPr>
          <w:rFonts w:ascii="宋体" w:hAnsi="宋体"/>
          <w:sz w:val="24"/>
        </w:rPr>
      </w:pPr>
      <w:r>
        <w:rPr>
          <w:rFonts w:hint="eastAsia" w:ascii="宋体" w:hAnsi="宋体"/>
          <w:sz w:val="24"/>
        </w:rPr>
        <w:t>本行股东滥用公司法人独立地位和股东有限责任，逃避债务，严重损害本行债权人利益的，应当对本行债务承担连带责任；若股东利用其股东地位恶意妨碍本行正当经营活动或损害本行利益的，本行有权向人民法院提起要求停止该恶意行为的诉讼；</w:t>
      </w:r>
    </w:p>
    <w:p>
      <w:pPr>
        <w:numPr>
          <w:ilvl w:val="0"/>
          <w:numId w:val="8"/>
        </w:numPr>
        <w:tabs>
          <w:tab w:val="left" w:pos="0"/>
          <w:tab w:val="clear" w:pos="1200"/>
        </w:tabs>
        <w:spacing w:line="320" w:lineRule="exact"/>
        <w:ind w:left="0" w:firstLine="480"/>
        <w:rPr>
          <w:rFonts w:ascii="宋体" w:hAnsi="宋体"/>
          <w:sz w:val="24"/>
        </w:rPr>
      </w:pPr>
      <w:r>
        <w:rPr>
          <w:rFonts w:hint="eastAsia" w:ascii="宋体" w:hAnsi="宋体"/>
          <w:sz w:val="24"/>
        </w:rPr>
        <w:t>遵守股东大会决议；</w:t>
      </w:r>
    </w:p>
    <w:p>
      <w:pPr>
        <w:numPr>
          <w:ilvl w:val="0"/>
          <w:numId w:val="8"/>
        </w:numPr>
        <w:tabs>
          <w:tab w:val="left" w:pos="0"/>
          <w:tab w:val="clear" w:pos="1200"/>
        </w:tabs>
        <w:spacing w:line="320" w:lineRule="exact"/>
        <w:ind w:left="0" w:firstLine="480"/>
        <w:rPr>
          <w:rFonts w:ascii="宋体" w:hAnsi="宋体"/>
          <w:sz w:val="24"/>
        </w:rPr>
      </w:pPr>
      <w:r>
        <w:rPr>
          <w:rFonts w:hint="eastAsia" w:ascii="宋体" w:hAnsi="宋体"/>
          <w:sz w:val="24"/>
        </w:rPr>
        <w:t>维护本行利益，反对和抵制有损于本行利益的行为；</w:t>
      </w:r>
    </w:p>
    <w:p>
      <w:pPr>
        <w:numPr>
          <w:ilvl w:val="0"/>
          <w:numId w:val="8"/>
        </w:numPr>
        <w:tabs>
          <w:tab w:val="left" w:pos="0"/>
          <w:tab w:val="clear" w:pos="1200"/>
        </w:tabs>
        <w:spacing w:line="320" w:lineRule="exact"/>
        <w:ind w:left="0" w:firstLine="480"/>
        <w:rPr>
          <w:rFonts w:ascii="宋体" w:hAnsi="宋体"/>
          <w:sz w:val="24"/>
        </w:rPr>
      </w:pPr>
      <w:r>
        <w:rPr>
          <w:rFonts w:hint="eastAsia" w:ascii="宋体" w:hAnsi="宋体"/>
          <w:sz w:val="24"/>
        </w:rPr>
        <w:t>主要股东应当在必要时向商业银行补充资本。股东特别是主要股东应当支持本行董事会制定合理的资本规划，使本行资本持续满足监管要求。当本行资本不能满足监管要求时，应当制定资本补充计划使资本充足率在限期内达到监管要求，并通过增加核心资本等方式补充资本，主要股东不得阻碍其他股东对本行补充资本或合格的新股东进入。主要股东应当以书面形式向本行作出资本补充的长期承诺，并作为本行资本规划的一部分。</w:t>
      </w:r>
    </w:p>
    <w:p>
      <w:pPr>
        <w:numPr>
          <w:ilvl w:val="0"/>
          <w:numId w:val="8"/>
        </w:numPr>
        <w:tabs>
          <w:tab w:val="left" w:pos="0"/>
          <w:tab w:val="clear" w:pos="1200"/>
        </w:tabs>
        <w:spacing w:line="320" w:lineRule="exact"/>
        <w:ind w:left="0" w:firstLine="480"/>
        <w:rPr>
          <w:rFonts w:ascii="宋体" w:hAnsi="宋体"/>
          <w:sz w:val="24"/>
        </w:rPr>
      </w:pPr>
      <w:r>
        <w:rPr>
          <w:rFonts w:hint="eastAsia" w:ascii="宋体" w:hAnsi="宋体"/>
          <w:sz w:val="24"/>
        </w:rPr>
        <w:t>对本行承担诚信义务，确保提交的股东资格申请材料真实有效；</w:t>
      </w:r>
    </w:p>
    <w:p>
      <w:pPr>
        <w:numPr>
          <w:ilvl w:val="0"/>
          <w:numId w:val="8"/>
        </w:numPr>
        <w:tabs>
          <w:tab w:val="left" w:pos="0"/>
          <w:tab w:val="clear" w:pos="1200"/>
        </w:tabs>
        <w:spacing w:line="320" w:lineRule="exact"/>
        <w:ind w:left="0" w:firstLine="480"/>
        <w:rPr>
          <w:rFonts w:ascii="宋体" w:hAnsi="宋体"/>
          <w:sz w:val="24"/>
        </w:rPr>
      </w:pPr>
      <w:r>
        <w:rPr>
          <w:rFonts w:hint="eastAsia" w:ascii="宋体" w:hAnsi="宋体"/>
          <w:sz w:val="24"/>
        </w:rPr>
        <w:t>应经但未经监管部门批准或未向监管部门报告的股东，不得行使股东大会召开请求权、表决权、提名权、提案权、处分权等权利；</w:t>
      </w:r>
    </w:p>
    <w:p>
      <w:pPr>
        <w:numPr>
          <w:ilvl w:val="0"/>
          <w:numId w:val="8"/>
        </w:numPr>
        <w:tabs>
          <w:tab w:val="left" w:pos="0"/>
          <w:tab w:val="clear" w:pos="1200"/>
        </w:tabs>
        <w:spacing w:line="320" w:lineRule="exact"/>
        <w:ind w:left="0" w:firstLine="480"/>
        <w:rPr>
          <w:rFonts w:ascii="宋体" w:hAnsi="宋体"/>
          <w:sz w:val="24"/>
        </w:rPr>
      </w:pPr>
      <w:r>
        <w:rPr>
          <w:rFonts w:hint="eastAsia" w:ascii="宋体" w:hAnsi="宋体"/>
          <w:sz w:val="24"/>
        </w:rPr>
        <w:t>对于存在虚假陈述、滥用股东权利或其他损害商业银行利益行为的股东，银保监会或其派出机构可以限制或禁止商业银行与其开展关联交易，限制其持有商业银行股权的限额、股权质押比例等，并可限制其股东大会召开请求权、表决权、提名权、提案权、处分权等权利；</w:t>
      </w:r>
    </w:p>
    <w:p>
      <w:pPr>
        <w:numPr>
          <w:ilvl w:val="0"/>
          <w:numId w:val="8"/>
        </w:numPr>
        <w:tabs>
          <w:tab w:val="left" w:pos="0"/>
          <w:tab w:val="clear" w:pos="1200"/>
        </w:tabs>
        <w:spacing w:line="320" w:lineRule="exact"/>
        <w:ind w:left="0" w:firstLine="480"/>
        <w:rPr>
          <w:rFonts w:ascii="宋体" w:hAnsi="宋体"/>
          <w:sz w:val="24"/>
        </w:rPr>
      </w:pPr>
      <w:r>
        <w:rPr>
          <w:rFonts w:hint="eastAsia" w:ascii="宋体" w:hAnsi="宋体"/>
          <w:sz w:val="24"/>
        </w:rPr>
        <w:t>遵守法律法规</w:t>
      </w:r>
      <w:r>
        <w:rPr>
          <w:rFonts w:hint="eastAsia" w:ascii="宋体" w:hAnsi="宋体"/>
          <w:sz w:val="24"/>
          <w:lang w:eastAsia="zh-CN"/>
        </w:rPr>
        <w:t>、</w:t>
      </w:r>
      <w:r>
        <w:rPr>
          <w:rFonts w:hint="eastAsia" w:ascii="宋体" w:hAnsi="宋体"/>
          <w:sz w:val="24"/>
        </w:rPr>
        <w:t>监管规定</w:t>
      </w:r>
      <w:r>
        <w:rPr>
          <w:rFonts w:hint="eastAsia" w:ascii="宋体" w:hAnsi="宋体"/>
          <w:sz w:val="24"/>
          <w:lang w:val="en-US" w:eastAsia="zh-CN"/>
        </w:rPr>
        <w:t>和本行章程</w:t>
      </w:r>
      <w:r>
        <w:rPr>
          <w:rFonts w:hint="eastAsia" w:ascii="宋体" w:hAnsi="宋体"/>
          <w:sz w:val="24"/>
        </w:rPr>
        <w:t>。</w:t>
      </w:r>
    </w:p>
    <w:p>
      <w:pPr>
        <w:numPr>
          <w:ilvl w:val="-1"/>
          <w:numId w:val="0"/>
        </w:numPr>
        <w:tabs>
          <w:tab w:val="left" w:pos="0"/>
        </w:tabs>
        <w:spacing w:line="320" w:lineRule="exact"/>
        <w:ind w:left="0" w:firstLine="480" w:firstLineChars="200"/>
        <w:rPr>
          <w:rFonts w:hint="eastAsia" w:ascii="宋体" w:hAnsi="宋体"/>
          <w:sz w:val="24"/>
          <w:lang w:val="en-US" w:eastAsia="zh-CN"/>
        </w:rPr>
      </w:pPr>
      <w:r>
        <w:rPr>
          <w:rFonts w:hint="eastAsia" w:ascii="宋体" w:hAnsi="宋体"/>
          <w:sz w:val="24"/>
        </w:rPr>
        <w:t>主要股东应根据法律法规和监管</w:t>
      </w:r>
      <w:r>
        <w:rPr>
          <w:rFonts w:hint="eastAsia" w:ascii="宋体" w:hAnsi="宋体"/>
          <w:sz w:val="24"/>
          <w:lang w:val="en-US" w:eastAsia="zh-CN"/>
        </w:rPr>
        <w:t>规定</w:t>
      </w:r>
      <w:r>
        <w:rPr>
          <w:rFonts w:hint="eastAsia" w:ascii="宋体" w:hAnsi="宋体"/>
          <w:sz w:val="24"/>
        </w:rPr>
        <w:t>如实作出承诺，切实履行承诺，承担主要股东的责任和义务。主要股东如违反承诺的，本行将根据法律法规和监管规定对其采取相应的限制股东权利等措施。</w:t>
      </w:r>
    </w:p>
    <w:p>
      <w:pPr>
        <w:numPr>
          <w:ilvl w:val="-1"/>
          <w:numId w:val="0"/>
        </w:numPr>
        <w:tabs>
          <w:tab w:val="left" w:pos="0"/>
        </w:tabs>
        <w:spacing w:line="320" w:lineRule="exact"/>
        <w:ind w:left="480" w:firstLine="0"/>
        <w:rPr>
          <w:rFonts w:ascii="宋体" w:hAnsi="宋体"/>
          <w:sz w:val="24"/>
        </w:rPr>
      </w:pPr>
      <w:r>
        <w:rPr>
          <w:rFonts w:hint="eastAsia" w:ascii="宋体" w:hAnsi="宋体"/>
          <w:sz w:val="24"/>
          <w:lang w:val="en-US" w:eastAsia="zh-CN"/>
        </w:rPr>
        <w:t>本行应当建立</w:t>
      </w:r>
      <w:r>
        <w:rPr>
          <w:rFonts w:hint="eastAsia" w:ascii="宋体" w:hAnsi="宋体"/>
          <w:sz w:val="24"/>
        </w:rPr>
        <w:t>发生重大风险时相应的损失吸收与风险抵御机制。</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同一股东在本行的借款余额不得超过国家有关规定。在计算比例时股东关联企业的借款应与该股东在本行的借款合并计算。</w:t>
      </w:r>
    </w:p>
    <w:p>
      <w:pPr>
        <w:widowControl/>
        <w:numPr>
          <w:ilvl w:val="0"/>
          <w:numId w:val="2"/>
        </w:numPr>
        <w:tabs>
          <w:tab w:val="left" w:pos="1680"/>
          <w:tab w:val="clear" w:pos="1920"/>
        </w:tabs>
        <w:spacing w:line="320" w:lineRule="exact"/>
        <w:ind w:left="0" w:firstLine="420" w:firstLineChars="175"/>
        <w:jc w:val="left"/>
        <w:rPr>
          <w:rFonts w:ascii="宋体" w:hAnsi="宋体"/>
          <w:sz w:val="24"/>
        </w:rPr>
      </w:pPr>
      <w:r>
        <w:rPr>
          <w:rFonts w:hint="eastAsia" w:ascii="宋体" w:hAnsi="宋体" w:cs="宋体"/>
          <w:color w:val="000000"/>
          <w:kern w:val="0"/>
          <w:sz w:val="24"/>
        </w:rPr>
        <w:t>本行可能出现流动性困难时，在本行有借款的股东应根据有关法律法规立即归还到期借款，未到期的借款应提前偿还。</w:t>
      </w:r>
    </w:p>
    <w:p>
      <w:pPr>
        <w:widowControl/>
        <w:numPr>
          <w:ilvl w:val="0"/>
          <w:numId w:val="2"/>
        </w:numPr>
        <w:tabs>
          <w:tab w:val="left" w:pos="1843"/>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lang w:val="en-US" w:eastAsia="zh-CN"/>
        </w:rPr>
        <w:t>持有本行1%以上股份的</w:t>
      </w:r>
      <w:r>
        <w:rPr>
          <w:rFonts w:hint="eastAsia" w:ascii="宋体" w:hAnsi="宋体" w:cs="宋体"/>
          <w:color w:val="000000"/>
          <w:kern w:val="0"/>
          <w:sz w:val="24"/>
        </w:rPr>
        <w:t>股东在本行的授信逾期时，其不得行使表决权，其所代表的有表决权的股份数不计入有效表决总数，其</w:t>
      </w:r>
      <w:r>
        <w:rPr>
          <w:rFonts w:hint="eastAsia" w:ascii="宋体" w:hAnsi="宋体" w:cs="宋体"/>
          <w:color w:val="000000"/>
          <w:kern w:val="0"/>
          <w:sz w:val="24"/>
          <w:lang w:val="en-US" w:eastAsia="zh-CN"/>
        </w:rPr>
        <w:t>提名或</w:t>
      </w:r>
      <w:r>
        <w:rPr>
          <w:rFonts w:hint="eastAsia" w:ascii="宋体" w:hAnsi="宋体" w:cs="宋体"/>
          <w:color w:val="000000"/>
          <w:kern w:val="0"/>
          <w:sz w:val="24"/>
        </w:rPr>
        <w:t>派出董事在董事会上不得行使表决权。股东在本行的借款逾期未还期间内，分红暂缓支付。</w:t>
      </w:r>
    </w:p>
    <w:p>
      <w:pPr>
        <w:widowControl/>
        <w:numPr>
          <w:ilvl w:val="0"/>
          <w:numId w:val="2"/>
        </w:numPr>
        <w:spacing w:line="320" w:lineRule="exact"/>
        <w:jc w:val="left"/>
        <w:rPr>
          <w:rFonts w:ascii="宋体" w:hAnsi="宋体" w:cs="宋体"/>
          <w:color w:val="000000"/>
          <w:kern w:val="0"/>
          <w:sz w:val="24"/>
        </w:rPr>
      </w:pPr>
      <w:r>
        <w:rPr>
          <w:rFonts w:hint="eastAsia" w:ascii="宋体" w:hAnsi="宋体" w:cs="宋体"/>
          <w:color w:val="000000"/>
          <w:kern w:val="0"/>
          <w:sz w:val="24"/>
        </w:rPr>
        <w:t xml:space="preserve"> 股东大会、董事会的决议内容违反法律、行政法规的，股东有权请求人民法院认定无效。</w:t>
      </w:r>
    </w:p>
    <w:p>
      <w:pPr>
        <w:widowControl/>
        <w:spacing w:line="320" w:lineRule="exact"/>
        <w:ind w:firstLine="480"/>
        <w:jc w:val="left"/>
        <w:rPr>
          <w:rFonts w:ascii="宋体" w:hAnsi="宋体" w:cs="宋体"/>
          <w:color w:val="000000"/>
          <w:kern w:val="0"/>
          <w:sz w:val="24"/>
        </w:rPr>
      </w:pPr>
      <w:r>
        <w:rPr>
          <w:rFonts w:hint="eastAsia" w:ascii="宋体" w:hAnsi="宋体" w:cs="宋体"/>
          <w:color w:val="000000"/>
          <w:kern w:val="0"/>
          <w:sz w:val="24"/>
        </w:rPr>
        <w:t>股东大会、董事会的会议召集程序、表决方式违反法律、行政法规或者本章程，或者决议内容违反本章程的，股东有权自决议作出之日起60日内，请求人民法院撤销。</w:t>
      </w:r>
    </w:p>
    <w:p>
      <w:pPr>
        <w:widowControl/>
        <w:spacing w:line="320" w:lineRule="exact"/>
        <w:ind w:firstLine="480"/>
        <w:jc w:val="left"/>
        <w:rPr>
          <w:rFonts w:ascii="宋体" w:hAnsi="宋体" w:cs="宋体"/>
          <w:color w:val="000000"/>
          <w:kern w:val="0"/>
          <w:sz w:val="24"/>
        </w:rPr>
      </w:pPr>
      <w:r>
        <w:rPr>
          <w:rFonts w:hint="eastAsia" w:ascii="宋体" w:hAnsi="宋体" w:cs="宋体"/>
          <w:color w:val="000000"/>
          <w:kern w:val="0"/>
          <w:sz w:val="24"/>
        </w:rPr>
        <w:t>董事、高级管理人员执行职务时违反法律、行政法规或者本章程的规定，给本行造成损失的，连续一百八十日以上单独或合计持有本行百分之一以上股份的股东有权书面请求监事会向人民法院提起诉讼；监事会执行职务时违反法律、行政法规或者本章程的规定，给本行造成损失的，股东可以书面请求董事会向人民法院提起诉讼。</w:t>
      </w:r>
    </w:p>
    <w:p>
      <w:pPr>
        <w:widowControl/>
        <w:spacing w:line="320" w:lineRule="exact"/>
        <w:ind w:firstLine="480"/>
        <w:jc w:val="left"/>
        <w:rPr>
          <w:rFonts w:ascii="宋体" w:hAnsi="宋体" w:cs="宋体"/>
          <w:color w:val="000000"/>
          <w:kern w:val="0"/>
          <w:sz w:val="24"/>
        </w:rPr>
      </w:pPr>
      <w:r>
        <w:rPr>
          <w:rFonts w:hint="eastAsia" w:ascii="宋体" w:hAnsi="宋体" w:cs="宋体"/>
          <w:color w:val="000000"/>
          <w:kern w:val="0"/>
          <w:sz w:val="24"/>
        </w:rPr>
        <w:t>监事会、董事会收到前款规定的股东书面请求后拒绝提起诉讼，或者自收到请求之日起三十日内未提起诉讼，或者情况紧急、不立即提起诉讼将会使本行利益受到难以弥补的损害的，前款规定的股东有权为了本行的利益以自己的名义直接向人民法院提起诉讼。</w:t>
      </w:r>
    </w:p>
    <w:p>
      <w:pPr>
        <w:widowControl/>
        <w:spacing w:line="320" w:lineRule="exact"/>
        <w:ind w:firstLine="480"/>
        <w:jc w:val="left"/>
        <w:rPr>
          <w:rFonts w:ascii="宋体" w:hAnsi="宋体" w:cs="宋体"/>
          <w:color w:val="000000"/>
          <w:kern w:val="0"/>
          <w:sz w:val="24"/>
        </w:rPr>
      </w:pPr>
      <w:r>
        <w:rPr>
          <w:rFonts w:hint="eastAsia" w:ascii="宋体" w:hAnsi="宋体" w:cs="宋体"/>
          <w:color w:val="000000"/>
          <w:kern w:val="0"/>
          <w:sz w:val="24"/>
        </w:rPr>
        <w:t>他人侵犯本行合法权益，给本行造成损失的，本条第三款规定的股东可以依照第三、四款的规定向人民法院提起诉讼。</w:t>
      </w:r>
    </w:p>
    <w:p>
      <w:pPr>
        <w:widowControl/>
        <w:spacing w:line="320" w:lineRule="exact"/>
        <w:ind w:firstLine="480"/>
        <w:jc w:val="left"/>
        <w:rPr>
          <w:rFonts w:ascii="宋体" w:hAnsi="宋体" w:cs="宋体"/>
          <w:color w:val="000000"/>
          <w:kern w:val="0"/>
          <w:sz w:val="24"/>
        </w:rPr>
      </w:pPr>
      <w:r>
        <w:rPr>
          <w:rFonts w:hint="eastAsia" w:ascii="宋体" w:hAnsi="宋体" w:cs="宋体"/>
          <w:color w:val="000000"/>
          <w:kern w:val="0"/>
          <w:sz w:val="24"/>
        </w:rPr>
        <w:t>董事、高级管理人员违反法律、行政法规或者本章程的规定，损害股东利益的，股东可以向人民法院提起诉讼。</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本行的控股股东、实际控制人不得利用其关联关系损害本行利益。违反规定给本行造成损失的，应当承担赔偿责任。</w:t>
      </w:r>
    </w:p>
    <w:p>
      <w:pPr>
        <w:widowControl/>
        <w:tabs>
          <w:tab w:val="left" w:pos="2127"/>
        </w:tabs>
        <w:spacing w:line="320" w:lineRule="exact"/>
        <w:ind w:firstLine="480"/>
        <w:jc w:val="left"/>
        <w:rPr>
          <w:rFonts w:ascii="宋体" w:hAnsi="宋体" w:cs="宋体"/>
          <w:color w:val="000000"/>
          <w:kern w:val="0"/>
          <w:sz w:val="24"/>
        </w:rPr>
      </w:pPr>
      <w:r>
        <w:rPr>
          <w:rFonts w:hint="eastAsia" w:ascii="宋体" w:hAnsi="宋体" w:cs="宋体"/>
          <w:color w:val="000000"/>
          <w:kern w:val="0"/>
          <w:sz w:val="24"/>
        </w:rPr>
        <w:t>控股股东及实际控制人对本行和社会公众股股东负有诚信义务。控股股东应严格依法行使出资人的权利，不得利用利润分配、资产重组、对外投资、资金占用、借款担保等方式损害本行和社会公众股股东的合法权益，不得利用其控制地位损害本行和社会公众股股东的利益。</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本行不得为关联方的融资行为提供担保，但关联方以银行存单、国债提供足额反担保的除外。</w:t>
      </w:r>
    </w:p>
    <w:p>
      <w:pPr>
        <w:pStyle w:val="26"/>
        <w:spacing w:line="320" w:lineRule="exact"/>
        <w:jc w:val="center"/>
        <w:outlineLvl w:val="1"/>
        <w:rPr>
          <w:rFonts w:ascii="宋体" w:hAnsi="宋体"/>
          <w:sz w:val="24"/>
        </w:rPr>
      </w:pPr>
      <w:bookmarkStart w:id="26" w:name="_Toc41895451"/>
      <w:bookmarkStart w:id="27" w:name="_Toc3054"/>
      <w:bookmarkStart w:id="28" w:name="_Toc24849"/>
      <w:r>
        <w:rPr>
          <w:rFonts w:ascii="宋体" w:hAnsi="宋体"/>
          <w:sz w:val="24"/>
        </w:rPr>
        <w:t>第二节　股东大会</w:t>
      </w:r>
      <w:bookmarkEnd w:id="26"/>
      <w:bookmarkEnd w:id="27"/>
      <w:bookmarkEnd w:id="28"/>
    </w:p>
    <w:p>
      <w:pPr>
        <w:widowControl/>
        <w:numPr>
          <w:ilvl w:val="0"/>
          <w:numId w:val="2"/>
        </w:numPr>
        <w:spacing w:line="320" w:lineRule="exact"/>
        <w:jc w:val="left"/>
        <w:rPr>
          <w:rFonts w:ascii="宋体" w:hAnsi="宋体" w:cs="宋体"/>
          <w:color w:val="000000"/>
          <w:kern w:val="0"/>
          <w:sz w:val="24"/>
        </w:rPr>
      </w:pPr>
      <w:r>
        <w:rPr>
          <w:rFonts w:ascii="宋体" w:hAnsi="宋体" w:cs="宋体"/>
          <w:color w:val="000000"/>
          <w:kern w:val="0"/>
          <w:sz w:val="24"/>
        </w:rPr>
        <w:t>　股东大会是</w:t>
      </w:r>
      <w:r>
        <w:rPr>
          <w:rFonts w:hint="eastAsia" w:ascii="宋体" w:hAnsi="宋体" w:cs="宋体"/>
          <w:color w:val="000000"/>
          <w:kern w:val="0"/>
          <w:sz w:val="24"/>
        </w:rPr>
        <w:t>本行</w:t>
      </w:r>
      <w:r>
        <w:rPr>
          <w:rFonts w:ascii="宋体" w:hAnsi="宋体" w:cs="宋体"/>
          <w:color w:val="000000"/>
          <w:kern w:val="0"/>
          <w:sz w:val="24"/>
        </w:rPr>
        <w:t>的权力机构，依法行使下列职权：</w:t>
      </w:r>
    </w:p>
    <w:p>
      <w:pPr>
        <w:numPr>
          <w:ilvl w:val="0"/>
          <w:numId w:val="9"/>
        </w:numPr>
        <w:spacing w:line="320" w:lineRule="exact"/>
        <w:rPr>
          <w:rFonts w:ascii="宋体" w:hAnsi="宋体"/>
          <w:sz w:val="24"/>
        </w:rPr>
      </w:pPr>
      <w:r>
        <w:rPr>
          <w:rFonts w:ascii="宋体" w:hAnsi="宋体"/>
          <w:sz w:val="24"/>
        </w:rPr>
        <w:t>决定</w:t>
      </w:r>
      <w:r>
        <w:rPr>
          <w:rFonts w:hint="eastAsia" w:ascii="宋体" w:hAnsi="宋体"/>
          <w:sz w:val="24"/>
        </w:rPr>
        <w:t>本行</w:t>
      </w:r>
      <w:r>
        <w:rPr>
          <w:rFonts w:ascii="宋体" w:hAnsi="宋体"/>
          <w:sz w:val="24"/>
        </w:rPr>
        <w:t>经营方针</w:t>
      </w:r>
      <w:r>
        <w:rPr>
          <w:rFonts w:hint="eastAsia" w:ascii="宋体" w:hAnsi="宋体"/>
          <w:sz w:val="24"/>
        </w:rPr>
        <w:t>、</w:t>
      </w:r>
      <w:r>
        <w:rPr>
          <w:rFonts w:ascii="宋体" w:hAnsi="宋体"/>
          <w:sz w:val="24"/>
        </w:rPr>
        <w:t>投资计划；</w:t>
      </w:r>
    </w:p>
    <w:p>
      <w:pPr>
        <w:numPr>
          <w:ilvl w:val="0"/>
          <w:numId w:val="9"/>
        </w:numPr>
        <w:tabs>
          <w:tab w:val="left" w:pos="0"/>
          <w:tab w:val="clear" w:pos="1200"/>
        </w:tabs>
        <w:spacing w:line="320" w:lineRule="exact"/>
        <w:rPr>
          <w:rFonts w:ascii="宋体" w:hAnsi="宋体"/>
          <w:sz w:val="24"/>
        </w:rPr>
      </w:pPr>
      <w:r>
        <w:rPr>
          <w:rFonts w:ascii="宋体" w:hAnsi="宋体"/>
          <w:sz w:val="24"/>
        </w:rPr>
        <w:t>选举和更换董事，决定董事的</w:t>
      </w:r>
      <w:r>
        <w:rPr>
          <w:rFonts w:hint="eastAsia" w:ascii="宋体" w:hAnsi="宋体"/>
          <w:sz w:val="24"/>
        </w:rPr>
        <w:t>薪</w:t>
      </w:r>
      <w:r>
        <w:rPr>
          <w:rFonts w:ascii="宋体" w:hAnsi="宋体"/>
          <w:sz w:val="24"/>
        </w:rPr>
        <w:t>酬；</w:t>
      </w:r>
    </w:p>
    <w:p>
      <w:pPr>
        <w:numPr>
          <w:ilvl w:val="0"/>
          <w:numId w:val="9"/>
        </w:numPr>
        <w:tabs>
          <w:tab w:val="left" w:pos="0"/>
          <w:tab w:val="clear" w:pos="1200"/>
        </w:tabs>
        <w:spacing w:line="320" w:lineRule="exact"/>
        <w:ind w:left="0" w:firstLine="480"/>
        <w:rPr>
          <w:rFonts w:ascii="宋体" w:hAnsi="宋体"/>
          <w:sz w:val="24"/>
        </w:rPr>
      </w:pPr>
      <w:r>
        <w:rPr>
          <w:rFonts w:ascii="宋体" w:hAnsi="宋体"/>
          <w:sz w:val="24"/>
        </w:rPr>
        <w:t>选举和更换由</w:t>
      </w:r>
      <w:r>
        <w:rPr>
          <w:rFonts w:hint="eastAsia" w:ascii="宋体" w:hAnsi="宋体"/>
          <w:sz w:val="24"/>
        </w:rPr>
        <w:t>非职工</w:t>
      </w:r>
      <w:r>
        <w:rPr>
          <w:rFonts w:ascii="宋体" w:hAnsi="宋体"/>
          <w:sz w:val="24"/>
        </w:rPr>
        <w:t>代表出任的监事，决定</w:t>
      </w:r>
      <w:r>
        <w:rPr>
          <w:rFonts w:hint="eastAsia" w:ascii="宋体" w:hAnsi="宋体"/>
          <w:sz w:val="24"/>
        </w:rPr>
        <w:t>非职工代表出任</w:t>
      </w:r>
      <w:r>
        <w:rPr>
          <w:rFonts w:ascii="宋体" w:hAnsi="宋体"/>
          <w:sz w:val="24"/>
        </w:rPr>
        <w:t>监事的</w:t>
      </w:r>
      <w:r>
        <w:rPr>
          <w:rFonts w:hint="eastAsia" w:ascii="宋体" w:hAnsi="宋体"/>
          <w:sz w:val="24"/>
        </w:rPr>
        <w:t>薪</w:t>
      </w:r>
      <w:r>
        <w:rPr>
          <w:rFonts w:ascii="宋体" w:hAnsi="宋体"/>
          <w:sz w:val="24"/>
        </w:rPr>
        <w:t>酬；</w:t>
      </w:r>
    </w:p>
    <w:p>
      <w:pPr>
        <w:numPr>
          <w:ilvl w:val="0"/>
          <w:numId w:val="9"/>
        </w:numPr>
        <w:tabs>
          <w:tab w:val="left" w:pos="0"/>
          <w:tab w:val="clear" w:pos="1200"/>
        </w:tabs>
        <w:spacing w:line="320" w:lineRule="exact"/>
        <w:rPr>
          <w:rFonts w:ascii="宋体" w:hAnsi="宋体"/>
          <w:sz w:val="24"/>
        </w:rPr>
      </w:pPr>
      <w:r>
        <w:rPr>
          <w:rFonts w:ascii="宋体" w:hAnsi="宋体"/>
          <w:sz w:val="24"/>
        </w:rPr>
        <w:t>审议批准董事会的报告；</w:t>
      </w:r>
    </w:p>
    <w:p>
      <w:pPr>
        <w:numPr>
          <w:ilvl w:val="0"/>
          <w:numId w:val="9"/>
        </w:numPr>
        <w:tabs>
          <w:tab w:val="left" w:pos="0"/>
          <w:tab w:val="clear" w:pos="1200"/>
        </w:tabs>
        <w:spacing w:line="320" w:lineRule="exact"/>
        <w:rPr>
          <w:rFonts w:ascii="宋体" w:hAnsi="宋体"/>
          <w:sz w:val="24"/>
        </w:rPr>
      </w:pPr>
      <w:r>
        <w:rPr>
          <w:rFonts w:ascii="宋体" w:hAnsi="宋体"/>
          <w:sz w:val="24"/>
        </w:rPr>
        <w:t>审议批准监事会的报告；</w:t>
      </w:r>
    </w:p>
    <w:p>
      <w:pPr>
        <w:numPr>
          <w:ilvl w:val="0"/>
          <w:numId w:val="9"/>
        </w:numPr>
        <w:tabs>
          <w:tab w:val="left" w:pos="0"/>
          <w:tab w:val="clear" w:pos="1200"/>
        </w:tabs>
        <w:spacing w:line="320" w:lineRule="exact"/>
        <w:rPr>
          <w:rFonts w:ascii="宋体" w:hAnsi="宋体"/>
          <w:sz w:val="24"/>
        </w:rPr>
      </w:pPr>
      <w:r>
        <w:rPr>
          <w:rFonts w:ascii="宋体" w:hAnsi="宋体"/>
          <w:sz w:val="24"/>
        </w:rPr>
        <w:t>审议批准</w:t>
      </w:r>
      <w:r>
        <w:rPr>
          <w:rFonts w:hint="eastAsia" w:ascii="宋体" w:hAnsi="宋体"/>
          <w:sz w:val="24"/>
        </w:rPr>
        <w:t>本行</w:t>
      </w:r>
      <w:r>
        <w:rPr>
          <w:rFonts w:ascii="宋体" w:hAnsi="宋体"/>
          <w:sz w:val="24"/>
        </w:rPr>
        <w:t>的年度财务预算方案、决算方案；</w:t>
      </w:r>
    </w:p>
    <w:p>
      <w:pPr>
        <w:numPr>
          <w:ilvl w:val="0"/>
          <w:numId w:val="9"/>
        </w:numPr>
        <w:tabs>
          <w:tab w:val="left" w:pos="0"/>
          <w:tab w:val="clear" w:pos="1200"/>
        </w:tabs>
        <w:spacing w:line="320" w:lineRule="exact"/>
        <w:rPr>
          <w:rFonts w:ascii="宋体" w:hAnsi="宋体"/>
          <w:sz w:val="24"/>
        </w:rPr>
      </w:pPr>
      <w:r>
        <w:rPr>
          <w:rFonts w:ascii="宋体" w:hAnsi="宋体"/>
          <w:sz w:val="24"/>
        </w:rPr>
        <w:t>审议批准</w:t>
      </w:r>
      <w:r>
        <w:rPr>
          <w:rFonts w:hint="eastAsia" w:ascii="宋体" w:hAnsi="宋体"/>
          <w:sz w:val="24"/>
        </w:rPr>
        <w:t>本行</w:t>
      </w:r>
      <w:r>
        <w:rPr>
          <w:rFonts w:ascii="宋体" w:hAnsi="宋体"/>
          <w:sz w:val="24"/>
        </w:rPr>
        <w:t>的利润分配方案和弥补亏损方案；</w:t>
      </w:r>
    </w:p>
    <w:p>
      <w:pPr>
        <w:numPr>
          <w:ilvl w:val="0"/>
          <w:numId w:val="9"/>
        </w:numPr>
        <w:tabs>
          <w:tab w:val="left" w:pos="0"/>
          <w:tab w:val="clear" w:pos="1200"/>
        </w:tabs>
        <w:spacing w:line="320" w:lineRule="exact"/>
        <w:rPr>
          <w:rFonts w:ascii="宋体" w:hAnsi="宋体"/>
          <w:sz w:val="24"/>
        </w:rPr>
      </w:pPr>
      <w:r>
        <w:rPr>
          <w:rFonts w:ascii="宋体" w:hAnsi="宋体"/>
          <w:sz w:val="24"/>
        </w:rPr>
        <w:t>对</w:t>
      </w:r>
      <w:r>
        <w:rPr>
          <w:rFonts w:hint="eastAsia" w:ascii="宋体" w:hAnsi="宋体"/>
          <w:sz w:val="24"/>
        </w:rPr>
        <w:t>本行</w:t>
      </w:r>
      <w:r>
        <w:rPr>
          <w:rFonts w:ascii="宋体" w:hAnsi="宋体"/>
          <w:sz w:val="24"/>
        </w:rPr>
        <w:t>增加或者减少注册资本作出决议；</w:t>
      </w:r>
    </w:p>
    <w:p>
      <w:pPr>
        <w:numPr>
          <w:ilvl w:val="0"/>
          <w:numId w:val="9"/>
        </w:numPr>
        <w:tabs>
          <w:tab w:val="left" w:pos="0"/>
          <w:tab w:val="clear" w:pos="1200"/>
        </w:tabs>
        <w:spacing w:line="320" w:lineRule="exact"/>
        <w:rPr>
          <w:rFonts w:ascii="宋体" w:hAnsi="宋体"/>
          <w:sz w:val="24"/>
        </w:rPr>
      </w:pPr>
      <w:r>
        <w:rPr>
          <w:rFonts w:ascii="宋体" w:hAnsi="宋体"/>
          <w:sz w:val="24"/>
        </w:rPr>
        <w:t>对发行</w:t>
      </w:r>
      <w:r>
        <w:rPr>
          <w:rFonts w:hint="eastAsia" w:ascii="宋体" w:hAnsi="宋体"/>
          <w:sz w:val="24"/>
        </w:rPr>
        <w:t>本行</w:t>
      </w:r>
      <w:r>
        <w:rPr>
          <w:rFonts w:ascii="宋体" w:hAnsi="宋体"/>
          <w:sz w:val="24"/>
        </w:rPr>
        <w:t>债券或其他有价证券及上市方案作出决议；</w:t>
      </w:r>
    </w:p>
    <w:p>
      <w:pPr>
        <w:numPr>
          <w:ilvl w:val="0"/>
          <w:numId w:val="9"/>
        </w:numPr>
        <w:tabs>
          <w:tab w:val="left" w:pos="0"/>
          <w:tab w:val="clear" w:pos="1200"/>
        </w:tabs>
        <w:spacing w:line="320" w:lineRule="exact"/>
        <w:rPr>
          <w:rFonts w:ascii="宋体" w:hAnsi="宋体"/>
          <w:sz w:val="24"/>
        </w:rPr>
      </w:pPr>
      <w:r>
        <w:rPr>
          <w:rFonts w:ascii="宋体" w:hAnsi="宋体"/>
          <w:sz w:val="24"/>
        </w:rPr>
        <w:t>对</w:t>
      </w:r>
      <w:r>
        <w:rPr>
          <w:rFonts w:hint="eastAsia" w:ascii="宋体" w:hAnsi="宋体"/>
          <w:sz w:val="24"/>
        </w:rPr>
        <w:t>本行</w:t>
      </w:r>
      <w:r>
        <w:rPr>
          <w:rFonts w:ascii="宋体" w:hAnsi="宋体"/>
          <w:sz w:val="24"/>
        </w:rPr>
        <w:t>合并、分立、解散</w:t>
      </w:r>
      <w:r>
        <w:rPr>
          <w:rFonts w:hint="eastAsia" w:ascii="宋体" w:hAnsi="宋体"/>
          <w:sz w:val="24"/>
        </w:rPr>
        <w:t>、</w:t>
      </w:r>
      <w:r>
        <w:rPr>
          <w:rFonts w:ascii="宋体" w:hAnsi="宋体"/>
          <w:sz w:val="24"/>
        </w:rPr>
        <w:t>清算</w:t>
      </w:r>
      <w:r>
        <w:rPr>
          <w:rFonts w:hint="eastAsia" w:ascii="宋体" w:hAnsi="宋体"/>
          <w:sz w:val="24"/>
        </w:rPr>
        <w:t>或者变更公司形式</w:t>
      </w:r>
      <w:r>
        <w:rPr>
          <w:rFonts w:ascii="宋体" w:hAnsi="宋体"/>
          <w:sz w:val="24"/>
        </w:rPr>
        <w:t>作出决议；</w:t>
      </w:r>
    </w:p>
    <w:p>
      <w:pPr>
        <w:numPr>
          <w:ilvl w:val="0"/>
          <w:numId w:val="9"/>
        </w:numPr>
        <w:tabs>
          <w:tab w:val="left" w:pos="0"/>
          <w:tab w:val="left" w:pos="1560"/>
          <w:tab w:val="clear" w:pos="1200"/>
        </w:tabs>
        <w:spacing w:line="320" w:lineRule="exact"/>
        <w:rPr>
          <w:rFonts w:ascii="宋体" w:hAnsi="宋体"/>
          <w:sz w:val="24"/>
        </w:rPr>
      </w:pPr>
      <w:r>
        <w:rPr>
          <w:rFonts w:ascii="宋体" w:hAnsi="宋体"/>
          <w:sz w:val="24"/>
        </w:rPr>
        <w:t>修改</w:t>
      </w:r>
      <w:r>
        <w:rPr>
          <w:rFonts w:hint="eastAsia" w:ascii="宋体" w:hAnsi="宋体"/>
          <w:sz w:val="24"/>
        </w:rPr>
        <w:t>本章程</w:t>
      </w:r>
      <w:r>
        <w:rPr>
          <w:rFonts w:hint="eastAsia" w:ascii="宋体" w:hAnsi="宋体"/>
          <w:sz w:val="24"/>
          <w:lang w:eastAsia="zh-CN"/>
        </w:rPr>
        <w:t>，</w:t>
      </w:r>
      <w:r>
        <w:rPr>
          <w:rFonts w:hint="eastAsia" w:ascii="宋体" w:hAnsi="宋体"/>
          <w:sz w:val="24"/>
        </w:rPr>
        <w:t>审议批准股东大会议事规则、董事会议事规则、监事会议事规则</w:t>
      </w:r>
      <w:r>
        <w:rPr>
          <w:rFonts w:ascii="宋体" w:hAnsi="宋体"/>
          <w:sz w:val="24"/>
        </w:rPr>
        <w:t>；</w:t>
      </w:r>
    </w:p>
    <w:p>
      <w:pPr>
        <w:numPr>
          <w:ilvl w:val="0"/>
          <w:numId w:val="9"/>
        </w:numPr>
        <w:tabs>
          <w:tab w:val="left" w:pos="0"/>
          <w:tab w:val="left" w:pos="1560"/>
          <w:tab w:val="clear" w:pos="1200"/>
        </w:tabs>
        <w:spacing w:line="320" w:lineRule="exact"/>
        <w:rPr>
          <w:rFonts w:ascii="宋体" w:hAnsi="宋体"/>
          <w:sz w:val="24"/>
        </w:rPr>
      </w:pPr>
      <w:r>
        <w:rPr>
          <w:rFonts w:hint="eastAsia" w:ascii="宋体" w:hAnsi="宋体"/>
          <w:sz w:val="24"/>
        </w:rPr>
        <w:t>对聘用、解聘为</w:t>
      </w:r>
      <w:r>
        <w:rPr>
          <w:rFonts w:hint="eastAsia" w:ascii="宋体" w:hAnsi="宋体"/>
          <w:sz w:val="24"/>
          <w:lang w:val="en-US" w:eastAsia="zh-CN"/>
        </w:rPr>
        <w:t>本行</w:t>
      </w:r>
      <w:r>
        <w:rPr>
          <w:rFonts w:hint="eastAsia" w:ascii="宋体" w:hAnsi="宋体"/>
          <w:sz w:val="24"/>
        </w:rPr>
        <w:t>财务报告进行定期法定审计的会计师事务所作出决议；</w:t>
      </w:r>
    </w:p>
    <w:p>
      <w:pPr>
        <w:numPr>
          <w:ilvl w:val="0"/>
          <w:numId w:val="9"/>
        </w:numPr>
        <w:tabs>
          <w:tab w:val="left" w:pos="0"/>
          <w:tab w:val="left" w:pos="1560"/>
          <w:tab w:val="clear" w:pos="1200"/>
        </w:tabs>
        <w:spacing w:line="320" w:lineRule="exact"/>
        <w:rPr>
          <w:rFonts w:ascii="宋体" w:hAnsi="宋体"/>
          <w:sz w:val="24"/>
        </w:rPr>
      </w:pPr>
      <w:r>
        <w:rPr>
          <w:rFonts w:hint="eastAsia" w:ascii="宋体" w:hAnsi="宋体"/>
          <w:sz w:val="24"/>
        </w:rPr>
        <w:t>审议</w:t>
      </w:r>
      <w:r>
        <w:rPr>
          <w:rFonts w:hint="eastAsia" w:ascii="宋体" w:hAnsi="宋体"/>
          <w:sz w:val="24"/>
          <w:lang w:val="en-US" w:eastAsia="zh-CN"/>
        </w:rPr>
        <w:t>批准</w:t>
      </w:r>
      <w:r>
        <w:rPr>
          <w:rFonts w:hint="eastAsia" w:ascii="宋体" w:hAnsi="宋体"/>
          <w:sz w:val="24"/>
        </w:rPr>
        <w:t>股权激励计划；</w:t>
      </w:r>
    </w:p>
    <w:p>
      <w:pPr>
        <w:numPr>
          <w:ilvl w:val="0"/>
          <w:numId w:val="9"/>
        </w:numPr>
        <w:tabs>
          <w:tab w:val="left" w:pos="0"/>
          <w:tab w:val="left" w:pos="1560"/>
          <w:tab w:val="clear" w:pos="1200"/>
        </w:tabs>
        <w:spacing w:line="320" w:lineRule="exact"/>
        <w:rPr>
          <w:rFonts w:ascii="宋体" w:hAnsi="宋体"/>
          <w:sz w:val="24"/>
        </w:rPr>
      </w:pPr>
      <w:r>
        <w:rPr>
          <w:rFonts w:hint="eastAsia" w:ascii="宋体" w:hAnsi="宋体"/>
          <w:sz w:val="24"/>
        </w:rPr>
        <w:t>依照法律规定对收购本</w:t>
      </w:r>
      <w:r>
        <w:rPr>
          <w:rFonts w:hint="eastAsia" w:ascii="宋体" w:hAnsi="宋体"/>
          <w:sz w:val="24"/>
          <w:lang w:val="en-US" w:eastAsia="zh-CN"/>
        </w:rPr>
        <w:t>行</w:t>
      </w:r>
      <w:r>
        <w:rPr>
          <w:rFonts w:hint="eastAsia" w:ascii="宋体" w:hAnsi="宋体"/>
          <w:sz w:val="24"/>
        </w:rPr>
        <w:t>股份作出决议；</w:t>
      </w:r>
    </w:p>
    <w:p>
      <w:pPr>
        <w:numPr>
          <w:ilvl w:val="0"/>
          <w:numId w:val="9"/>
        </w:numPr>
        <w:tabs>
          <w:tab w:val="left" w:pos="0"/>
          <w:tab w:val="left" w:pos="567"/>
          <w:tab w:val="left" w:pos="1560"/>
          <w:tab w:val="clear" w:pos="1200"/>
        </w:tabs>
        <w:spacing w:line="320" w:lineRule="exact"/>
        <w:ind w:left="0" w:firstLine="424" w:firstLineChars="177"/>
        <w:rPr>
          <w:rFonts w:ascii="宋体" w:hAnsi="宋体"/>
          <w:sz w:val="24"/>
        </w:rPr>
      </w:pPr>
      <w:r>
        <w:rPr>
          <w:rFonts w:hint="eastAsia" w:ascii="宋体" w:hAnsi="宋体"/>
          <w:sz w:val="24"/>
        </w:rPr>
        <w:t>审议批准本章程第一百二十七条涉及的由本行股东大会审议批准的重大投资及重大资产购置与处置方案；</w:t>
      </w:r>
    </w:p>
    <w:p>
      <w:pPr>
        <w:numPr>
          <w:ilvl w:val="0"/>
          <w:numId w:val="9"/>
        </w:numPr>
        <w:tabs>
          <w:tab w:val="left" w:pos="0"/>
          <w:tab w:val="left" w:pos="1560"/>
          <w:tab w:val="clear" w:pos="1200"/>
        </w:tabs>
        <w:spacing w:line="320" w:lineRule="exact"/>
        <w:ind w:left="0" w:firstLine="480"/>
        <w:rPr>
          <w:rFonts w:ascii="宋体" w:hAnsi="宋体"/>
          <w:sz w:val="24"/>
        </w:rPr>
      </w:pPr>
      <w:r>
        <w:rPr>
          <w:rFonts w:hint="eastAsia" w:ascii="宋体" w:hAnsi="宋体"/>
          <w:sz w:val="24"/>
        </w:rPr>
        <w:t>审议批准法律、法规规定的应由股东大会审议的关联交易；</w:t>
      </w:r>
    </w:p>
    <w:p>
      <w:pPr>
        <w:numPr>
          <w:ilvl w:val="0"/>
          <w:numId w:val="9"/>
        </w:numPr>
        <w:tabs>
          <w:tab w:val="left" w:pos="0"/>
          <w:tab w:val="left" w:pos="1560"/>
          <w:tab w:val="clear" w:pos="1200"/>
        </w:tabs>
        <w:spacing w:line="320" w:lineRule="exact"/>
        <w:ind w:left="0" w:firstLine="480"/>
        <w:rPr>
          <w:rFonts w:ascii="宋体" w:hAnsi="宋体"/>
          <w:sz w:val="24"/>
        </w:rPr>
      </w:pPr>
      <w:r>
        <w:rPr>
          <w:rFonts w:hint="eastAsia" w:ascii="宋体" w:hAnsi="宋体"/>
          <w:sz w:val="24"/>
        </w:rPr>
        <w:t>审议批准变更募集资金用途事项；</w:t>
      </w:r>
    </w:p>
    <w:p>
      <w:pPr>
        <w:numPr>
          <w:ilvl w:val="0"/>
          <w:numId w:val="9"/>
        </w:numPr>
        <w:tabs>
          <w:tab w:val="left" w:pos="0"/>
          <w:tab w:val="left" w:pos="1560"/>
          <w:tab w:val="clear" w:pos="1200"/>
        </w:tabs>
        <w:spacing w:line="320" w:lineRule="exact"/>
        <w:rPr>
          <w:rFonts w:ascii="宋体" w:hAnsi="宋体"/>
          <w:sz w:val="24"/>
        </w:rPr>
      </w:pPr>
      <w:r>
        <w:rPr>
          <w:rFonts w:ascii="宋体" w:hAnsi="宋体"/>
          <w:sz w:val="24"/>
        </w:rPr>
        <w:t>审议应当由股东大会决定的其他事项。</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ascii="宋体" w:hAnsi="宋体" w:cs="宋体"/>
          <w:color w:val="000000"/>
          <w:kern w:val="0"/>
          <w:sz w:val="24"/>
        </w:rPr>
        <w:t>股东大会分为</w:t>
      </w:r>
      <w:r>
        <w:rPr>
          <w:rFonts w:hint="eastAsia" w:ascii="宋体" w:hAnsi="宋体" w:cs="宋体"/>
          <w:color w:val="000000"/>
          <w:kern w:val="0"/>
          <w:sz w:val="24"/>
        </w:rPr>
        <w:t>年度</w:t>
      </w:r>
      <w:r>
        <w:rPr>
          <w:rFonts w:ascii="宋体" w:hAnsi="宋体" w:cs="宋体"/>
          <w:color w:val="000000"/>
          <w:kern w:val="0"/>
          <w:sz w:val="24"/>
        </w:rPr>
        <w:t>股东</w:t>
      </w:r>
      <w:r>
        <w:rPr>
          <w:rFonts w:hint="eastAsia" w:ascii="宋体" w:hAnsi="宋体" w:cs="宋体"/>
          <w:color w:val="000000"/>
          <w:kern w:val="0"/>
          <w:sz w:val="24"/>
        </w:rPr>
        <w:t>大会</w:t>
      </w:r>
      <w:r>
        <w:rPr>
          <w:rFonts w:ascii="宋体" w:hAnsi="宋体" w:cs="宋体"/>
          <w:color w:val="000000"/>
          <w:kern w:val="0"/>
          <w:sz w:val="24"/>
        </w:rPr>
        <w:t>和临时股东大会。</w:t>
      </w:r>
      <w:r>
        <w:rPr>
          <w:rFonts w:hint="eastAsia" w:ascii="宋体" w:hAnsi="宋体" w:cs="宋体"/>
          <w:color w:val="000000"/>
          <w:kern w:val="0"/>
          <w:sz w:val="24"/>
        </w:rPr>
        <w:t>年度</w:t>
      </w:r>
      <w:r>
        <w:rPr>
          <w:rFonts w:ascii="宋体" w:hAnsi="宋体" w:cs="宋体"/>
          <w:color w:val="000000"/>
          <w:kern w:val="0"/>
          <w:sz w:val="24"/>
        </w:rPr>
        <w:t>股东</w:t>
      </w:r>
      <w:r>
        <w:rPr>
          <w:rFonts w:hint="eastAsia" w:ascii="宋体" w:hAnsi="宋体" w:cs="宋体"/>
          <w:color w:val="000000"/>
          <w:kern w:val="0"/>
          <w:sz w:val="24"/>
        </w:rPr>
        <w:t>大</w:t>
      </w:r>
      <w:r>
        <w:rPr>
          <w:rFonts w:ascii="宋体" w:hAnsi="宋体" w:cs="宋体"/>
          <w:color w:val="000000"/>
          <w:kern w:val="0"/>
          <w:sz w:val="24"/>
        </w:rPr>
        <w:t>会每年召开一次，并应于上一个会计年度完结之后的六个月之内举行。</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ascii="宋体" w:hAnsi="宋体" w:cs="宋体"/>
          <w:color w:val="000000"/>
          <w:kern w:val="0"/>
          <w:sz w:val="24"/>
        </w:rPr>
        <w:t>有下列情形之一的，</w:t>
      </w:r>
      <w:r>
        <w:rPr>
          <w:rFonts w:hint="eastAsia" w:ascii="宋体" w:hAnsi="宋体" w:cs="宋体"/>
          <w:color w:val="000000"/>
          <w:kern w:val="0"/>
          <w:sz w:val="24"/>
        </w:rPr>
        <w:t>本行</w:t>
      </w:r>
      <w:r>
        <w:rPr>
          <w:rFonts w:ascii="宋体" w:hAnsi="宋体" w:cs="宋体"/>
          <w:color w:val="000000"/>
          <w:kern w:val="0"/>
          <w:sz w:val="24"/>
        </w:rPr>
        <w:t>在事实发生之日起两个月以内召开临时股东大会</w:t>
      </w:r>
      <w:r>
        <w:rPr>
          <w:rFonts w:hint="eastAsia" w:ascii="宋体" w:hAnsi="宋体" w:cs="宋体"/>
          <w:color w:val="000000"/>
          <w:kern w:val="0"/>
          <w:sz w:val="24"/>
        </w:rPr>
        <w:t>：</w:t>
      </w:r>
    </w:p>
    <w:p>
      <w:pPr>
        <w:numPr>
          <w:ilvl w:val="0"/>
          <w:numId w:val="10"/>
        </w:numPr>
        <w:tabs>
          <w:tab w:val="left" w:pos="0"/>
          <w:tab w:val="clear" w:pos="1200"/>
        </w:tabs>
        <w:spacing w:line="320" w:lineRule="exact"/>
        <w:ind w:left="0" w:firstLine="480"/>
        <w:rPr>
          <w:rFonts w:ascii="宋体" w:hAnsi="宋体"/>
          <w:sz w:val="24"/>
        </w:rPr>
      </w:pPr>
      <w:r>
        <w:rPr>
          <w:rFonts w:ascii="宋体" w:hAnsi="宋体"/>
          <w:sz w:val="24"/>
        </w:rPr>
        <w:t>董事人数不足</w:t>
      </w:r>
      <w:r>
        <w:rPr>
          <w:rFonts w:hint="eastAsia" w:ascii="宋体" w:hAnsi="宋体"/>
          <w:sz w:val="24"/>
        </w:rPr>
        <w:t>《公司法》</w:t>
      </w:r>
      <w:r>
        <w:rPr>
          <w:rFonts w:ascii="宋体" w:hAnsi="宋体"/>
          <w:sz w:val="24"/>
        </w:rPr>
        <w:t>规定的法定最低人数，或者少于章程所定人数的三分之二时；</w:t>
      </w:r>
    </w:p>
    <w:p>
      <w:pPr>
        <w:numPr>
          <w:ilvl w:val="0"/>
          <w:numId w:val="10"/>
        </w:numPr>
        <w:tabs>
          <w:tab w:val="left" w:pos="0"/>
          <w:tab w:val="clear" w:pos="1200"/>
        </w:tabs>
        <w:spacing w:line="320" w:lineRule="exact"/>
        <w:ind w:left="0" w:firstLine="480"/>
        <w:rPr>
          <w:rFonts w:ascii="宋体" w:hAnsi="宋体"/>
          <w:sz w:val="24"/>
        </w:rPr>
      </w:pPr>
      <w:r>
        <w:rPr>
          <w:rFonts w:hint="eastAsia" w:ascii="宋体" w:hAnsi="宋体"/>
          <w:sz w:val="24"/>
        </w:rPr>
        <w:t>本行</w:t>
      </w:r>
      <w:r>
        <w:rPr>
          <w:rFonts w:ascii="宋体" w:hAnsi="宋体"/>
          <w:sz w:val="24"/>
        </w:rPr>
        <w:t>未弥补的亏损达股本总额的三分之一时；</w:t>
      </w:r>
    </w:p>
    <w:p>
      <w:pPr>
        <w:numPr>
          <w:ilvl w:val="0"/>
          <w:numId w:val="10"/>
        </w:numPr>
        <w:tabs>
          <w:tab w:val="left" w:pos="0"/>
          <w:tab w:val="clear" w:pos="1200"/>
        </w:tabs>
        <w:spacing w:line="320" w:lineRule="exact"/>
        <w:ind w:left="0" w:firstLine="480"/>
        <w:rPr>
          <w:rFonts w:ascii="宋体" w:hAnsi="宋体"/>
          <w:sz w:val="24"/>
        </w:rPr>
      </w:pPr>
      <w:r>
        <w:rPr>
          <w:rFonts w:ascii="宋体" w:hAnsi="宋体"/>
          <w:sz w:val="24"/>
        </w:rPr>
        <w:t>单独或者合并持有</w:t>
      </w:r>
      <w:r>
        <w:rPr>
          <w:rFonts w:hint="eastAsia" w:ascii="宋体" w:hAnsi="宋体"/>
          <w:sz w:val="24"/>
        </w:rPr>
        <w:t>本行</w:t>
      </w:r>
      <w:r>
        <w:rPr>
          <w:rFonts w:ascii="宋体" w:hAnsi="宋体"/>
          <w:sz w:val="24"/>
        </w:rPr>
        <w:t>股份总数百分之十（不含投票代理权）以上的股东书面请求时；</w:t>
      </w:r>
    </w:p>
    <w:p>
      <w:pPr>
        <w:numPr>
          <w:ilvl w:val="0"/>
          <w:numId w:val="10"/>
        </w:numPr>
        <w:tabs>
          <w:tab w:val="left" w:pos="0"/>
          <w:tab w:val="clear" w:pos="1200"/>
        </w:tabs>
        <w:spacing w:line="320" w:lineRule="exact"/>
        <w:ind w:left="0" w:firstLine="480"/>
        <w:rPr>
          <w:rFonts w:ascii="宋体" w:hAnsi="宋体"/>
          <w:sz w:val="24"/>
        </w:rPr>
      </w:pPr>
      <w:r>
        <w:rPr>
          <w:rFonts w:ascii="宋体" w:hAnsi="宋体"/>
          <w:sz w:val="24"/>
        </w:rPr>
        <w:t>董事会认为必要时；</w:t>
      </w:r>
    </w:p>
    <w:p>
      <w:pPr>
        <w:numPr>
          <w:ilvl w:val="0"/>
          <w:numId w:val="10"/>
        </w:numPr>
        <w:tabs>
          <w:tab w:val="left" w:pos="0"/>
          <w:tab w:val="clear" w:pos="1200"/>
        </w:tabs>
        <w:spacing w:line="320" w:lineRule="exact"/>
        <w:ind w:left="0" w:firstLine="480"/>
        <w:rPr>
          <w:rFonts w:ascii="宋体" w:hAnsi="宋体"/>
          <w:sz w:val="24"/>
        </w:rPr>
      </w:pPr>
      <w:r>
        <w:rPr>
          <w:rFonts w:ascii="宋体" w:hAnsi="宋体"/>
          <w:sz w:val="24"/>
        </w:rPr>
        <w:t>监事会提议召开时；</w:t>
      </w:r>
    </w:p>
    <w:p>
      <w:pPr>
        <w:numPr>
          <w:ilvl w:val="0"/>
          <w:numId w:val="10"/>
        </w:numPr>
        <w:tabs>
          <w:tab w:val="left" w:pos="0"/>
          <w:tab w:val="clear" w:pos="1200"/>
        </w:tabs>
        <w:spacing w:line="320" w:lineRule="exact"/>
        <w:ind w:left="0" w:firstLine="480"/>
        <w:rPr>
          <w:rFonts w:ascii="宋体" w:hAnsi="宋体"/>
          <w:sz w:val="24"/>
        </w:rPr>
      </w:pPr>
      <w:r>
        <w:rPr>
          <w:rFonts w:hint="eastAsia" w:ascii="宋体" w:hAnsi="宋体"/>
          <w:sz w:val="24"/>
        </w:rPr>
        <w:t>法律、行政法规、部门规章或本</w:t>
      </w:r>
      <w:r>
        <w:rPr>
          <w:rFonts w:ascii="宋体" w:hAnsi="宋体"/>
          <w:sz w:val="24"/>
        </w:rPr>
        <w:t>章程规定的其他情形。</w:t>
      </w:r>
    </w:p>
    <w:p>
      <w:pPr>
        <w:widowControl/>
        <w:spacing w:line="320" w:lineRule="exact"/>
        <w:ind w:firstLine="480"/>
        <w:jc w:val="left"/>
        <w:rPr>
          <w:rFonts w:ascii="宋体" w:hAnsi="宋体" w:cs="宋体"/>
          <w:color w:val="000000"/>
          <w:kern w:val="0"/>
          <w:sz w:val="24"/>
        </w:rPr>
      </w:pPr>
      <w:r>
        <w:rPr>
          <w:rFonts w:ascii="宋体" w:hAnsi="宋体" w:cs="宋体"/>
          <w:color w:val="000000"/>
          <w:kern w:val="0"/>
          <w:sz w:val="24"/>
        </w:rPr>
        <w:t>前述第（三）项持股股数按股东提出书面要求日</w:t>
      </w:r>
      <w:r>
        <w:rPr>
          <w:rFonts w:hint="eastAsia" w:ascii="宋体" w:hAnsi="宋体" w:cs="宋体"/>
          <w:color w:val="000000"/>
          <w:kern w:val="0"/>
          <w:sz w:val="24"/>
        </w:rPr>
        <w:t>的持股数</w:t>
      </w:r>
      <w:r>
        <w:rPr>
          <w:rFonts w:ascii="宋体" w:hAnsi="宋体" w:cs="宋体"/>
          <w:color w:val="000000"/>
          <w:kern w:val="0"/>
          <w:sz w:val="24"/>
        </w:rPr>
        <w:t>计算。</w:t>
      </w:r>
      <w:bookmarkStart w:id="29" w:name="45"/>
      <w:bookmarkEnd w:id="29"/>
    </w:p>
    <w:p>
      <w:pPr>
        <w:widowControl/>
        <w:numPr>
          <w:ilvl w:val="0"/>
          <w:numId w:val="2"/>
        </w:numPr>
        <w:spacing w:line="320" w:lineRule="exact"/>
        <w:jc w:val="left"/>
        <w:rPr>
          <w:rFonts w:ascii="宋体" w:hAnsi="宋体" w:cs="宋体"/>
          <w:color w:val="000000"/>
          <w:kern w:val="0"/>
          <w:sz w:val="24"/>
        </w:rPr>
      </w:pPr>
      <w:r>
        <w:rPr>
          <w:rFonts w:hint="eastAsia" w:ascii="宋体" w:hAnsi="宋体" w:cs="宋体"/>
          <w:color w:val="000000"/>
          <w:kern w:val="0"/>
          <w:sz w:val="24"/>
        </w:rPr>
        <w:t xml:space="preserve">  本行召开股东大会的地点为本行住所地或股东大会通知中列明的其他地点。股东大会将设置会场，以现场会议形式召开。本行还将提供网络或其他方式为股东参加股东大会提供便利。股东通过上述方式参加股东大会的，视为出席。</w:t>
      </w:r>
    </w:p>
    <w:p>
      <w:pPr>
        <w:widowControl/>
        <w:spacing w:line="320" w:lineRule="exact"/>
        <w:ind w:firstLine="480"/>
        <w:jc w:val="left"/>
        <w:rPr>
          <w:rFonts w:ascii="宋体" w:hAnsi="宋体" w:cs="宋体"/>
          <w:color w:val="000000"/>
          <w:kern w:val="0"/>
          <w:sz w:val="24"/>
        </w:rPr>
      </w:pPr>
      <w:r>
        <w:rPr>
          <w:rFonts w:hint="eastAsia" w:ascii="宋体" w:hAnsi="宋体" w:cs="宋体"/>
          <w:color w:val="000000"/>
          <w:kern w:val="0"/>
          <w:sz w:val="24"/>
        </w:rPr>
        <w:t>通过网络或其他方式参加股东大会的股东身份由监管机构认可的合法有效的网络投票系统或证券交易所交易系统进行确认。</w:t>
      </w:r>
    </w:p>
    <w:p>
      <w:pPr>
        <w:widowControl/>
        <w:numPr>
          <w:ilvl w:val="0"/>
          <w:numId w:val="2"/>
        </w:numPr>
        <w:spacing w:line="320" w:lineRule="exact"/>
        <w:jc w:val="left"/>
        <w:rPr>
          <w:rFonts w:ascii="宋体" w:hAnsi="宋体" w:cs="宋体"/>
          <w:color w:val="000000"/>
          <w:kern w:val="0"/>
          <w:sz w:val="24"/>
        </w:rPr>
      </w:pPr>
      <w:r>
        <w:rPr>
          <w:rFonts w:hint="eastAsia" w:ascii="宋体" w:hAnsi="宋体" w:cs="宋体"/>
          <w:color w:val="000000"/>
          <w:kern w:val="0"/>
          <w:sz w:val="24"/>
        </w:rPr>
        <w:t xml:space="preserve">  本行召开股东大会时应聘请律师对股东大会进行见证，对以下问题出具法律意见并根据本行股票上市地规则的要求进行公告：</w:t>
      </w:r>
    </w:p>
    <w:p>
      <w:pPr>
        <w:widowControl/>
        <w:spacing w:line="320" w:lineRule="exact"/>
        <w:ind w:left="480"/>
        <w:jc w:val="left"/>
        <w:rPr>
          <w:rFonts w:ascii="宋体" w:hAnsi="宋体" w:cs="宋体"/>
          <w:color w:val="000000"/>
          <w:kern w:val="0"/>
          <w:sz w:val="24"/>
        </w:rPr>
      </w:pPr>
      <w:r>
        <w:rPr>
          <w:rFonts w:hint="eastAsia" w:ascii="宋体" w:hAnsi="宋体" w:cs="宋体"/>
          <w:color w:val="000000"/>
          <w:kern w:val="0"/>
          <w:sz w:val="24"/>
        </w:rPr>
        <w:t>（一）股东大会的召集、召开程序是否符合法律、法规和本章程的规定；</w:t>
      </w:r>
    </w:p>
    <w:p>
      <w:pPr>
        <w:widowControl/>
        <w:spacing w:line="320" w:lineRule="exact"/>
        <w:ind w:left="480"/>
        <w:jc w:val="left"/>
        <w:rPr>
          <w:rFonts w:ascii="宋体" w:hAnsi="宋体" w:cs="宋体"/>
          <w:color w:val="000000"/>
          <w:kern w:val="0"/>
          <w:sz w:val="24"/>
        </w:rPr>
      </w:pPr>
      <w:r>
        <w:rPr>
          <w:rFonts w:hint="eastAsia" w:ascii="宋体" w:hAnsi="宋体" w:cs="宋体"/>
          <w:color w:val="000000"/>
          <w:kern w:val="0"/>
          <w:sz w:val="24"/>
        </w:rPr>
        <w:t>（二）出席会议人员的资格、召集人资格是否合法有效；</w:t>
      </w:r>
    </w:p>
    <w:p>
      <w:pPr>
        <w:widowControl/>
        <w:spacing w:line="320" w:lineRule="exact"/>
        <w:ind w:left="480"/>
        <w:jc w:val="left"/>
        <w:rPr>
          <w:rFonts w:ascii="宋体" w:hAnsi="宋体" w:cs="宋体"/>
          <w:color w:val="000000"/>
          <w:kern w:val="0"/>
          <w:sz w:val="24"/>
        </w:rPr>
      </w:pPr>
      <w:r>
        <w:rPr>
          <w:rFonts w:hint="eastAsia" w:ascii="宋体" w:hAnsi="宋体" w:cs="宋体"/>
          <w:color w:val="000000"/>
          <w:kern w:val="0"/>
          <w:sz w:val="24"/>
        </w:rPr>
        <w:t>（三）股东大会的表决程序、表决结果是否合法有效；</w:t>
      </w:r>
    </w:p>
    <w:p>
      <w:pPr>
        <w:widowControl/>
        <w:spacing w:line="320" w:lineRule="exact"/>
        <w:ind w:left="480"/>
        <w:jc w:val="left"/>
        <w:rPr>
          <w:rFonts w:ascii="宋体" w:hAnsi="宋体" w:cs="宋体"/>
          <w:color w:val="000000"/>
          <w:kern w:val="0"/>
          <w:sz w:val="24"/>
        </w:rPr>
      </w:pPr>
      <w:r>
        <w:rPr>
          <w:rFonts w:hint="eastAsia" w:ascii="宋体" w:hAnsi="宋体" w:cs="宋体"/>
          <w:color w:val="000000"/>
          <w:kern w:val="0"/>
          <w:sz w:val="24"/>
        </w:rPr>
        <w:t>（四）应本行要求对其他有关问题出具法律意见。</w:t>
      </w:r>
    </w:p>
    <w:p>
      <w:pPr>
        <w:widowControl/>
        <w:spacing w:line="320" w:lineRule="exact"/>
        <w:ind w:left="480"/>
        <w:jc w:val="left"/>
        <w:rPr>
          <w:rFonts w:ascii="宋体" w:hAnsi="宋体" w:cs="宋体"/>
          <w:color w:val="000000"/>
          <w:kern w:val="0"/>
          <w:sz w:val="24"/>
        </w:rPr>
      </w:pPr>
    </w:p>
    <w:p>
      <w:pPr>
        <w:widowControl/>
        <w:spacing w:line="320" w:lineRule="exact"/>
        <w:ind w:left="482"/>
        <w:jc w:val="center"/>
        <w:outlineLvl w:val="1"/>
        <w:rPr>
          <w:rFonts w:ascii="宋体" w:hAnsi="宋体" w:cs="宋体"/>
          <w:b/>
          <w:color w:val="000000"/>
          <w:kern w:val="0"/>
          <w:sz w:val="24"/>
        </w:rPr>
      </w:pPr>
      <w:bookmarkStart w:id="30" w:name="_Toc4545"/>
      <w:bookmarkStart w:id="31" w:name="_Toc5457"/>
      <w:bookmarkStart w:id="32" w:name="_Toc41895452"/>
      <w:r>
        <w:rPr>
          <w:rFonts w:hint="eastAsia" w:ascii="宋体" w:hAnsi="宋体" w:cs="宋体"/>
          <w:b/>
          <w:color w:val="000000"/>
          <w:kern w:val="0"/>
          <w:sz w:val="24"/>
        </w:rPr>
        <w:t>第三节  股东大会的召集</w:t>
      </w:r>
      <w:bookmarkEnd w:id="30"/>
      <w:bookmarkEnd w:id="31"/>
      <w:bookmarkEnd w:id="32"/>
    </w:p>
    <w:p>
      <w:pPr>
        <w:widowControl/>
        <w:spacing w:line="320" w:lineRule="exact"/>
        <w:ind w:left="480"/>
        <w:jc w:val="left"/>
        <w:rPr>
          <w:rFonts w:ascii="宋体" w:hAnsi="宋体" w:cs="宋体"/>
          <w:color w:val="000000"/>
          <w:kern w:val="0"/>
          <w:sz w:val="24"/>
        </w:rPr>
      </w:pPr>
    </w:p>
    <w:p>
      <w:pPr>
        <w:widowControl/>
        <w:numPr>
          <w:ilvl w:val="0"/>
          <w:numId w:val="2"/>
        </w:numPr>
        <w:spacing w:line="320" w:lineRule="exact"/>
        <w:jc w:val="left"/>
        <w:rPr>
          <w:rFonts w:ascii="宋体" w:hAnsi="宋体" w:cs="宋体"/>
          <w:color w:val="000000"/>
          <w:kern w:val="0"/>
          <w:sz w:val="24"/>
        </w:rPr>
      </w:pPr>
      <w:r>
        <w:rPr>
          <w:rFonts w:ascii="宋体" w:hAnsi="宋体" w:cs="宋体"/>
          <w:color w:val="000000"/>
          <w:kern w:val="0"/>
          <w:sz w:val="24"/>
        </w:rPr>
        <w:t>股东大会会议由董事会依法召集</w:t>
      </w:r>
      <w:r>
        <w:rPr>
          <w:rFonts w:hint="eastAsia" w:ascii="宋体" w:hAnsi="宋体" w:cs="宋体"/>
          <w:color w:val="000000"/>
          <w:kern w:val="0"/>
          <w:sz w:val="24"/>
        </w:rPr>
        <w:t>。</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独立董事有权向董事会提议召开临时股东大会。对独立董事要求召开临时股东大会的提议，董事会应当根据法律、法规和本章程的规定，在收到提议后十日内提出同意或不同意召开临时股东大会的书面反馈意见。</w:t>
      </w:r>
    </w:p>
    <w:p>
      <w:pPr>
        <w:widowControl/>
        <w:tabs>
          <w:tab w:val="left" w:pos="426"/>
          <w:tab w:val="left" w:pos="2127"/>
        </w:tabs>
        <w:spacing w:line="320" w:lineRule="exact"/>
        <w:ind w:firstLine="566" w:firstLineChars="236"/>
        <w:jc w:val="left"/>
        <w:rPr>
          <w:rFonts w:hint="eastAsia" w:ascii="宋体" w:hAnsi="宋体" w:cs="宋体"/>
          <w:color w:val="000000"/>
          <w:kern w:val="0"/>
          <w:sz w:val="24"/>
        </w:rPr>
      </w:pPr>
      <w:r>
        <w:rPr>
          <w:rFonts w:hint="eastAsia" w:ascii="宋体" w:hAnsi="宋体" w:cs="宋体"/>
          <w:color w:val="000000"/>
          <w:kern w:val="0"/>
          <w:sz w:val="24"/>
        </w:rPr>
        <w:t>董事会同意召开临时股东大会的，应在作出董事会决议后的五日内发出召开股东大会的通知，董事会不同意召开临时股东大会的，应说明理由并公告。</w:t>
      </w:r>
    </w:p>
    <w:p>
      <w:pPr>
        <w:widowControl/>
        <w:tabs>
          <w:tab w:val="left" w:pos="426"/>
          <w:tab w:val="left" w:pos="2127"/>
        </w:tabs>
        <w:spacing w:line="320" w:lineRule="exact"/>
        <w:ind w:firstLine="566" w:firstLineChars="236"/>
        <w:jc w:val="left"/>
        <w:rPr>
          <w:rFonts w:hint="eastAsia" w:ascii="宋体" w:hAnsi="宋体" w:cs="宋体"/>
          <w:color w:val="000000"/>
          <w:kern w:val="0"/>
          <w:sz w:val="24"/>
        </w:rPr>
      </w:pPr>
      <w:r>
        <w:rPr>
          <w:rFonts w:hint="eastAsia" w:ascii="宋体" w:hAnsi="宋体" w:cs="宋体"/>
          <w:color w:val="000000"/>
          <w:kern w:val="0"/>
          <w:sz w:val="24"/>
        </w:rPr>
        <w:t>二分之一以上且不少于两名独立董事提议召开临时股东大会的，本行应当在</w:t>
      </w:r>
      <w:r>
        <w:rPr>
          <w:rFonts w:hint="eastAsia" w:ascii="宋体" w:hAnsi="宋体" w:cs="宋体"/>
          <w:color w:val="000000"/>
          <w:kern w:val="0"/>
          <w:sz w:val="24"/>
          <w:lang w:val="en-US" w:eastAsia="zh-CN"/>
        </w:rPr>
        <w:t>两</w:t>
      </w:r>
      <w:r>
        <w:rPr>
          <w:rFonts w:hint="eastAsia" w:ascii="宋体" w:hAnsi="宋体" w:cs="宋体"/>
          <w:color w:val="000000"/>
          <w:kern w:val="0"/>
          <w:sz w:val="24"/>
        </w:rPr>
        <w:t>个月内召开临时股东大会。</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监事会有权向董事会提议召开临时股东大会（全体外部监事一致同意时，有权书面提议监事会向董事会提请召开临时股东大会），并应当以书面形式向董事会提出。董事会应当根据法律、法规和本章程的规定，在收到提议后十日内提出同意或不同意召开临时股东大会的书面反馈意见。</w:t>
      </w:r>
    </w:p>
    <w:p>
      <w:pPr>
        <w:widowControl/>
        <w:tabs>
          <w:tab w:val="left" w:pos="2127"/>
        </w:tabs>
        <w:spacing w:line="320" w:lineRule="exact"/>
        <w:ind w:firstLine="566" w:firstLineChars="236"/>
        <w:jc w:val="left"/>
        <w:rPr>
          <w:rFonts w:ascii="宋体" w:hAnsi="宋体" w:cs="宋体"/>
          <w:color w:val="000000"/>
          <w:kern w:val="0"/>
          <w:sz w:val="24"/>
        </w:rPr>
      </w:pPr>
      <w:r>
        <w:rPr>
          <w:rFonts w:hint="eastAsia" w:ascii="宋体" w:hAnsi="宋体" w:cs="宋体"/>
          <w:color w:val="000000"/>
          <w:kern w:val="0"/>
          <w:sz w:val="24"/>
        </w:rPr>
        <w:t>董事会同意召开临时股东大会的，应在作出董事会决议后的五日内发出召开股东大会的通知，通知中对原提议的变更，应征得监事会的同意。</w:t>
      </w:r>
    </w:p>
    <w:p>
      <w:pPr>
        <w:widowControl/>
        <w:tabs>
          <w:tab w:val="left" w:pos="2127"/>
        </w:tabs>
        <w:spacing w:line="320" w:lineRule="exact"/>
        <w:ind w:firstLine="566" w:firstLineChars="236"/>
        <w:jc w:val="left"/>
        <w:rPr>
          <w:rFonts w:ascii="宋体" w:hAnsi="宋体" w:cs="宋体"/>
          <w:color w:val="000000"/>
          <w:kern w:val="0"/>
          <w:sz w:val="24"/>
        </w:rPr>
      </w:pPr>
      <w:r>
        <w:rPr>
          <w:rFonts w:hint="eastAsia" w:ascii="宋体" w:hAnsi="宋体" w:cs="宋体"/>
          <w:color w:val="000000"/>
          <w:kern w:val="0"/>
          <w:sz w:val="24"/>
        </w:rPr>
        <w:t>董事会不同意召开临时股东大会，或者在收到提议后十日内未作出反馈的，视为董事会不能履行或者不履行召集股东大会职责，监事会可以自行召集和主持。</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单独或者合计持有本行10%以上股份的股东有权向董事会请求召开临时股东大会，并应当以书面形式向董事会提出。董事会应当根据法律、行政法规和本章程的规定，在收到请求后10日内提出同意或不同意召开临时股东大会的书面反馈意见。</w:t>
      </w:r>
    </w:p>
    <w:p>
      <w:pPr>
        <w:widowControl/>
        <w:tabs>
          <w:tab w:val="left" w:pos="2127"/>
        </w:tabs>
        <w:spacing w:line="320" w:lineRule="exact"/>
        <w:ind w:firstLine="566" w:firstLineChars="236"/>
        <w:jc w:val="left"/>
        <w:rPr>
          <w:rFonts w:ascii="宋体" w:hAnsi="宋体" w:cs="宋体"/>
          <w:color w:val="000000"/>
          <w:kern w:val="0"/>
          <w:sz w:val="24"/>
        </w:rPr>
      </w:pPr>
      <w:r>
        <w:rPr>
          <w:rFonts w:hint="eastAsia" w:ascii="宋体" w:hAnsi="宋体" w:cs="宋体"/>
          <w:color w:val="000000"/>
          <w:kern w:val="0"/>
          <w:sz w:val="24"/>
        </w:rPr>
        <w:t>董事会同意召开临时股东大会的，应当在作出董事会决议后的5日内发出召开股东大会的通知，通知中对原请求的变更，应当征得相关股东的同意。</w:t>
      </w:r>
    </w:p>
    <w:p>
      <w:pPr>
        <w:widowControl/>
        <w:tabs>
          <w:tab w:val="left" w:pos="2127"/>
        </w:tabs>
        <w:spacing w:line="320" w:lineRule="exact"/>
        <w:ind w:firstLine="566" w:firstLineChars="236"/>
        <w:jc w:val="left"/>
        <w:rPr>
          <w:rFonts w:ascii="宋体" w:hAnsi="宋体" w:cs="宋体"/>
          <w:color w:val="000000"/>
          <w:kern w:val="0"/>
          <w:sz w:val="24"/>
        </w:rPr>
      </w:pPr>
      <w:r>
        <w:rPr>
          <w:rFonts w:hint="eastAsia" w:ascii="宋体" w:hAnsi="宋体" w:cs="宋体"/>
          <w:color w:val="000000"/>
          <w:kern w:val="0"/>
          <w:sz w:val="24"/>
        </w:rPr>
        <w:t>董事会不同意召开临时股东大会，或者在收到请求后10日内未作出反馈的，单独或者合计持有本行10%以上股份的股东有权向监事会提议召开临时股东大会，并应当以书面形式向监事会提出请求。</w:t>
      </w:r>
    </w:p>
    <w:p>
      <w:pPr>
        <w:widowControl/>
        <w:tabs>
          <w:tab w:val="left" w:pos="2127"/>
        </w:tabs>
        <w:spacing w:line="320" w:lineRule="exact"/>
        <w:ind w:firstLine="566" w:firstLineChars="236"/>
        <w:jc w:val="left"/>
        <w:rPr>
          <w:rFonts w:ascii="宋体" w:hAnsi="宋体" w:cs="宋体"/>
          <w:color w:val="000000"/>
          <w:kern w:val="0"/>
          <w:sz w:val="24"/>
        </w:rPr>
      </w:pPr>
      <w:r>
        <w:rPr>
          <w:rFonts w:hint="eastAsia" w:ascii="宋体" w:hAnsi="宋体" w:cs="宋体"/>
          <w:color w:val="000000"/>
          <w:kern w:val="0"/>
          <w:sz w:val="24"/>
        </w:rPr>
        <w:t>监事会同意召开临时股东大会的，应在收到请求5日内发出召开股东大会的通知，通知中对原提案的变更，应当征得相关股东的同意。</w:t>
      </w:r>
    </w:p>
    <w:p>
      <w:pPr>
        <w:widowControl/>
        <w:tabs>
          <w:tab w:val="left" w:pos="2127"/>
        </w:tabs>
        <w:spacing w:line="320" w:lineRule="exact"/>
        <w:ind w:firstLine="566" w:firstLineChars="236"/>
        <w:jc w:val="left"/>
        <w:rPr>
          <w:rFonts w:ascii="宋体" w:hAnsi="宋体" w:cs="宋体"/>
          <w:color w:val="000000"/>
          <w:kern w:val="0"/>
          <w:sz w:val="24"/>
        </w:rPr>
      </w:pPr>
      <w:r>
        <w:rPr>
          <w:rFonts w:hint="eastAsia" w:ascii="宋体" w:hAnsi="宋体" w:cs="宋体"/>
          <w:color w:val="000000"/>
          <w:kern w:val="0"/>
          <w:sz w:val="24"/>
        </w:rPr>
        <w:t>监事会未在规定期限内发出股东大会通知的，视为监事会不召集和主持股东大会，连续90日以上单独或者合计持有本行10%以上股份的股东可以自行召集和主持。</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监事会或股东决定自行召集股东大会，须书面通知董事会，同时向本行所在地监管机构和证券交易所备案。</w:t>
      </w:r>
    </w:p>
    <w:p>
      <w:pPr>
        <w:widowControl/>
        <w:tabs>
          <w:tab w:val="left" w:pos="2127"/>
        </w:tabs>
        <w:spacing w:line="320" w:lineRule="exact"/>
        <w:ind w:firstLine="566" w:firstLineChars="236"/>
        <w:jc w:val="left"/>
        <w:rPr>
          <w:rFonts w:ascii="宋体" w:hAnsi="宋体" w:cs="宋体"/>
          <w:color w:val="000000"/>
          <w:kern w:val="0"/>
          <w:sz w:val="24"/>
        </w:rPr>
      </w:pPr>
      <w:r>
        <w:rPr>
          <w:rFonts w:hint="eastAsia" w:ascii="宋体" w:hAnsi="宋体" w:cs="宋体"/>
          <w:color w:val="000000"/>
          <w:kern w:val="0"/>
          <w:sz w:val="24"/>
        </w:rPr>
        <w:t>在股东大会决议公告前</w:t>
      </w:r>
      <w:r>
        <w:rPr>
          <w:rFonts w:ascii="宋体" w:hAnsi="宋体" w:cs="宋体"/>
          <w:color w:val="000000"/>
          <w:kern w:val="0"/>
          <w:sz w:val="24"/>
        </w:rPr>
        <w:t>，</w:t>
      </w:r>
      <w:r>
        <w:rPr>
          <w:rFonts w:hint="eastAsia" w:ascii="宋体" w:hAnsi="宋体" w:cs="宋体"/>
          <w:color w:val="000000"/>
          <w:kern w:val="0"/>
          <w:sz w:val="24"/>
        </w:rPr>
        <w:t>召集股东持股比例不得低于10%。</w:t>
      </w:r>
    </w:p>
    <w:p>
      <w:pPr>
        <w:widowControl/>
        <w:tabs>
          <w:tab w:val="left" w:pos="2127"/>
        </w:tabs>
        <w:spacing w:line="320" w:lineRule="exact"/>
        <w:ind w:firstLine="566" w:firstLineChars="236"/>
        <w:jc w:val="left"/>
        <w:rPr>
          <w:rFonts w:ascii="宋体" w:hAnsi="宋体" w:cs="宋体"/>
          <w:color w:val="000000"/>
          <w:kern w:val="0"/>
          <w:sz w:val="24"/>
        </w:rPr>
      </w:pPr>
      <w:r>
        <w:rPr>
          <w:rFonts w:hint="eastAsia" w:ascii="宋体" w:hAnsi="宋体" w:cs="宋体"/>
          <w:color w:val="000000"/>
          <w:kern w:val="0"/>
          <w:sz w:val="24"/>
        </w:rPr>
        <w:t>召集股东应在发出股东大会通知及股东大会决议公告时，向本行所在地监管机构和证券交易所提交有关证明材料。</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对于监事会或股东自行召集的股东大会，董事会和董事会秘书将予配合。董事会应当提供股权登记日的股东名册。</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监事会或股东自行召集的股东大会，会议所必需的费用由本行承担。</w:t>
      </w:r>
    </w:p>
    <w:p>
      <w:pPr>
        <w:widowControl/>
        <w:spacing w:before="100" w:beforeAutospacing="1" w:after="100" w:afterAutospacing="1" w:line="320" w:lineRule="exact"/>
        <w:ind w:left="480"/>
        <w:jc w:val="center"/>
        <w:outlineLvl w:val="1"/>
        <w:rPr>
          <w:rFonts w:ascii="宋体" w:hAnsi="宋体" w:cs="宋体"/>
          <w:b/>
          <w:bCs/>
          <w:smallCaps/>
          <w:color w:val="000000"/>
          <w:kern w:val="0"/>
          <w:sz w:val="24"/>
        </w:rPr>
      </w:pPr>
      <w:bookmarkStart w:id="33" w:name="_Toc829"/>
      <w:bookmarkStart w:id="34" w:name="_Toc41895453"/>
      <w:bookmarkStart w:id="35" w:name="_Toc10344"/>
      <w:r>
        <w:rPr>
          <w:rFonts w:ascii="宋体" w:hAnsi="宋体" w:cs="宋体"/>
          <w:b/>
          <w:bCs/>
          <w:smallCaps/>
          <w:color w:val="000000"/>
          <w:kern w:val="0"/>
          <w:sz w:val="24"/>
        </w:rPr>
        <w:t>第</w:t>
      </w:r>
      <w:r>
        <w:rPr>
          <w:rFonts w:hint="eastAsia" w:ascii="宋体" w:hAnsi="宋体" w:cs="宋体"/>
          <w:b/>
          <w:bCs/>
          <w:smallCaps/>
          <w:color w:val="000000"/>
          <w:kern w:val="0"/>
          <w:sz w:val="24"/>
        </w:rPr>
        <w:t>四节</w:t>
      </w:r>
      <w:r>
        <w:rPr>
          <w:rFonts w:ascii="宋体" w:hAnsi="宋体" w:cs="宋体"/>
          <w:b/>
          <w:bCs/>
          <w:smallCaps/>
          <w:color w:val="000000"/>
          <w:kern w:val="0"/>
          <w:sz w:val="24"/>
        </w:rPr>
        <w:t>　股东大会</w:t>
      </w:r>
      <w:r>
        <w:rPr>
          <w:rFonts w:hint="eastAsia" w:ascii="宋体" w:hAnsi="宋体" w:cs="宋体"/>
          <w:b/>
          <w:bCs/>
          <w:smallCaps/>
          <w:color w:val="000000"/>
          <w:kern w:val="0"/>
          <w:sz w:val="24"/>
        </w:rPr>
        <w:t>通知与</w:t>
      </w:r>
      <w:r>
        <w:rPr>
          <w:rFonts w:ascii="宋体" w:hAnsi="宋体" w:cs="宋体"/>
          <w:b/>
          <w:bCs/>
          <w:smallCaps/>
          <w:color w:val="000000"/>
          <w:kern w:val="0"/>
          <w:sz w:val="24"/>
        </w:rPr>
        <w:t>提案</w:t>
      </w:r>
      <w:bookmarkEnd w:id="33"/>
      <w:bookmarkEnd w:id="34"/>
      <w:bookmarkEnd w:id="35"/>
    </w:p>
    <w:p>
      <w:pPr>
        <w:widowControl/>
        <w:spacing w:line="320" w:lineRule="exact"/>
        <w:ind w:left="480"/>
        <w:jc w:val="left"/>
        <w:rPr>
          <w:rFonts w:ascii="宋体" w:hAnsi="宋体" w:cs="宋体"/>
          <w:color w:val="000000"/>
          <w:kern w:val="0"/>
          <w:sz w:val="24"/>
        </w:rPr>
      </w:pP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本行</w:t>
      </w:r>
      <w:r>
        <w:rPr>
          <w:rFonts w:ascii="宋体" w:hAnsi="宋体" w:cs="宋体"/>
          <w:color w:val="000000"/>
          <w:kern w:val="0"/>
          <w:sz w:val="24"/>
        </w:rPr>
        <w:t>召开</w:t>
      </w:r>
      <w:r>
        <w:rPr>
          <w:rFonts w:hint="eastAsia" w:ascii="宋体" w:hAnsi="宋体" w:cs="宋体"/>
          <w:color w:val="000000"/>
          <w:kern w:val="0"/>
          <w:sz w:val="24"/>
        </w:rPr>
        <w:t>年度股东大会</w:t>
      </w:r>
      <w:r>
        <w:rPr>
          <w:rFonts w:ascii="宋体" w:hAnsi="宋体" w:cs="宋体"/>
          <w:color w:val="000000"/>
          <w:kern w:val="0"/>
          <w:sz w:val="24"/>
        </w:rPr>
        <w:t>，</w:t>
      </w:r>
      <w:r>
        <w:rPr>
          <w:rFonts w:hint="eastAsia" w:ascii="宋体" w:hAnsi="宋体" w:cs="宋体"/>
          <w:color w:val="000000"/>
          <w:kern w:val="0"/>
          <w:sz w:val="24"/>
        </w:rPr>
        <w:t>召集人</w:t>
      </w:r>
      <w:r>
        <w:rPr>
          <w:rFonts w:ascii="宋体" w:hAnsi="宋体" w:cs="宋体"/>
          <w:color w:val="000000"/>
          <w:kern w:val="0"/>
          <w:sz w:val="24"/>
        </w:rPr>
        <w:t>应当在会议召开</w:t>
      </w:r>
      <w:r>
        <w:rPr>
          <w:rFonts w:hint="eastAsia" w:ascii="宋体" w:hAnsi="宋体" w:cs="宋体"/>
          <w:color w:val="000000"/>
          <w:kern w:val="0"/>
          <w:sz w:val="24"/>
        </w:rPr>
        <w:t>二</w:t>
      </w:r>
      <w:r>
        <w:rPr>
          <w:rFonts w:ascii="宋体" w:hAnsi="宋体" w:cs="宋体"/>
          <w:color w:val="000000"/>
          <w:kern w:val="0"/>
          <w:sz w:val="24"/>
        </w:rPr>
        <w:t>十日以前</w:t>
      </w:r>
      <w:r>
        <w:rPr>
          <w:rFonts w:hint="eastAsia" w:ascii="宋体" w:hAnsi="宋体" w:cs="宋体"/>
          <w:color w:val="000000"/>
          <w:kern w:val="0"/>
          <w:sz w:val="24"/>
        </w:rPr>
        <w:t>以公告方式</w:t>
      </w:r>
      <w:r>
        <w:rPr>
          <w:rFonts w:ascii="宋体" w:hAnsi="宋体" w:cs="宋体"/>
          <w:color w:val="000000"/>
          <w:kern w:val="0"/>
          <w:sz w:val="24"/>
        </w:rPr>
        <w:t>通知</w:t>
      </w:r>
      <w:r>
        <w:rPr>
          <w:rFonts w:hint="eastAsia" w:ascii="宋体" w:hAnsi="宋体" w:cs="宋体"/>
          <w:color w:val="000000"/>
          <w:kern w:val="0"/>
          <w:sz w:val="24"/>
        </w:rPr>
        <w:t>各</w:t>
      </w:r>
      <w:r>
        <w:rPr>
          <w:rFonts w:ascii="宋体" w:hAnsi="宋体" w:cs="宋体"/>
          <w:color w:val="000000"/>
          <w:kern w:val="0"/>
          <w:sz w:val="24"/>
        </w:rPr>
        <w:t>股东。</w:t>
      </w:r>
    </w:p>
    <w:p>
      <w:pPr>
        <w:widowControl/>
        <w:tabs>
          <w:tab w:val="left" w:pos="2127"/>
        </w:tabs>
        <w:spacing w:line="320" w:lineRule="exact"/>
        <w:jc w:val="left"/>
        <w:rPr>
          <w:rFonts w:ascii="宋体" w:hAnsi="宋体" w:cs="宋体"/>
          <w:color w:val="000000"/>
          <w:kern w:val="0"/>
          <w:sz w:val="24"/>
        </w:rPr>
      </w:pPr>
      <w:r>
        <w:rPr>
          <w:rFonts w:hint="eastAsia" w:ascii="宋体" w:hAnsi="宋体" w:cs="宋体"/>
          <w:color w:val="000000"/>
          <w:kern w:val="0"/>
          <w:sz w:val="24"/>
        </w:rPr>
        <w:t xml:space="preserve">    本行召开临时股东大会，召集人应当在会议召开十五日以前以公告方式通知各股东。</w:t>
      </w:r>
    </w:p>
    <w:p>
      <w:pPr>
        <w:widowControl/>
        <w:tabs>
          <w:tab w:val="left" w:pos="1134"/>
          <w:tab w:val="left" w:pos="2127"/>
        </w:tabs>
        <w:spacing w:line="320" w:lineRule="exact"/>
        <w:ind w:firstLine="480"/>
        <w:jc w:val="left"/>
        <w:rPr>
          <w:rFonts w:ascii="宋体" w:hAnsi="宋体" w:cs="宋体"/>
          <w:color w:val="000000"/>
          <w:kern w:val="0"/>
          <w:sz w:val="24"/>
        </w:rPr>
      </w:pPr>
      <w:r>
        <w:rPr>
          <w:rFonts w:hint="eastAsia" w:ascii="宋体" w:hAnsi="宋体" w:cs="宋体"/>
          <w:color w:val="000000"/>
          <w:kern w:val="0"/>
          <w:sz w:val="24"/>
        </w:rPr>
        <w:t>本行在计算上述</w:t>
      </w:r>
      <w:r>
        <w:rPr>
          <w:rFonts w:ascii="宋体" w:hAnsi="宋体" w:cs="宋体"/>
          <w:color w:val="000000"/>
          <w:kern w:val="0"/>
          <w:sz w:val="24"/>
        </w:rPr>
        <w:t>期限时，不应当包括会议召开当日。</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ascii="宋体" w:hAnsi="宋体" w:cs="宋体"/>
          <w:color w:val="000000"/>
          <w:kern w:val="0"/>
          <w:sz w:val="24"/>
        </w:rPr>
        <w:t>股东</w:t>
      </w:r>
      <w:r>
        <w:rPr>
          <w:rFonts w:hint="eastAsia" w:ascii="宋体" w:hAnsi="宋体" w:cs="宋体"/>
          <w:color w:val="000000"/>
          <w:kern w:val="0"/>
          <w:sz w:val="24"/>
        </w:rPr>
        <w:t>大会</w:t>
      </w:r>
      <w:r>
        <w:rPr>
          <w:rFonts w:ascii="宋体" w:hAnsi="宋体" w:cs="宋体"/>
          <w:color w:val="000000"/>
          <w:kern w:val="0"/>
          <w:sz w:val="24"/>
        </w:rPr>
        <w:t>会议的通知包括以下内容：</w:t>
      </w:r>
    </w:p>
    <w:p>
      <w:pPr>
        <w:numPr>
          <w:ilvl w:val="0"/>
          <w:numId w:val="11"/>
        </w:numPr>
        <w:spacing w:line="320" w:lineRule="exact"/>
        <w:rPr>
          <w:rFonts w:ascii="宋体" w:hAnsi="宋体"/>
          <w:sz w:val="24"/>
        </w:rPr>
      </w:pPr>
      <w:r>
        <w:rPr>
          <w:rFonts w:ascii="宋体" w:hAnsi="宋体"/>
          <w:sz w:val="24"/>
        </w:rPr>
        <w:t>会议的日期、地点和会议期限；</w:t>
      </w:r>
    </w:p>
    <w:p>
      <w:pPr>
        <w:numPr>
          <w:ilvl w:val="0"/>
          <w:numId w:val="11"/>
        </w:numPr>
        <w:tabs>
          <w:tab w:val="left" w:pos="0"/>
          <w:tab w:val="clear" w:pos="1200"/>
        </w:tabs>
        <w:spacing w:line="320" w:lineRule="exact"/>
        <w:rPr>
          <w:rFonts w:ascii="宋体" w:hAnsi="宋体"/>
          <w:sz w:val="24"/>
        </w:rPr>
      </w:pPr>
      <w:r>
        <w:rPr>
          <w:rFonts w:ascii="宋体" w:hAnsi="宋体"/>
          <w:sz w:val="24"/>
        </w:rPr>
        <w:t>提交会议审议的事项</w:t>
      </w:r>
      <w:r>
        <w:rPr>
          <w:rFonts w:hint="eastAsia" w:ascii="宋体" w:hAnsi="宋体"/>
          <w:sz w:val="24"/>
        </w:rPr>
        <w:t>和提案</w:t>
      </w:r>
      <w:r>
        <w:rPr>
          <w:rFonts w:ascii="宋体" w:hAnsi="宋体"/>
          <w:sz w:val="24"/>
        </w:rPr>
        <w:t>；</w:t>
      </w:r>
    </w:p>
    <w:p>
      <w:pPr>
        <w:numPr>
          <w:ilvl w:val="0"/>
          <w:numId w:val="11"/>
        </w:numPr>
        <w:tabs>
          <w:tab w:val="left" w:pos="0"/>
          <w:tab w:val="left" w:pos="993"/>
          <w:tab w:val="left" w:pos="1134"/>
          <w:tab w:val="clear" w:pos="1200"/>
        </w:tabs>
        <w:spacing w:line="320" w:lineRule="exact"/>
        <w:ind w:left="0" w:firstLine="426"/>
        <w:rPr>
          <w:rFonts w:ascii="宋体" w:hAnsi="宋体"/>
          <w:sz w:val="24"/>
        </w:rPr>
      </w:pPr>
      <w:r>
        <w:rPr>
          <w:rFonts w:hint="eastAsia" w:ascii="宋体" w:hAnsi="宋体"/>
          <w:sz w:val="24"/>
        </w:rPr>
        <w:t>以明显的文字说明：全体普通股股东均有权出席股东大会，并可以书面委托代理人出席会议和参加表决，该股东代理人不必是本行的股东；</w:t>
      </w:r>
    </w:p>
    <w:p>
      <w:pPr>
        <w:numPr>
          <w:ilvl w:val="0"/>
          <w:numId w:val="11"/>
        </w:numPr>
        <w:tabs>
          <w:tab w:val="left" w:pos="0"/>
          <w:tab w:val="clear" w:pos="1200"/>
        </w:tabs>
        <w:spacing w:line="320" w:lineRule="exact"/>
        <w:rPr>
          <w:rFonts w:ascii="宋体" w:hAnsi="宋体"/>
          <w:sz w:val="24"/>
        </w:rPr>
      </w:pPr>
      <w:r>
        <w:rPr>
          <w:rFonts w:ascii="宋体" w:hAnsi="宋体"/>
          <w:sz w:val="24"/>
        </w:rPr>
        <w:t>有权出席股东大会股东的股权登记日；</w:t>
      </w:r>
    </w:p>
    <w:p>
      <w:pPr>
        <w:numPr>
          <w:ilvl w:val="0"/>
          <w:numId w:val="11"/>
        </w:numPr>
        <w:tabs>
          <w:tab w:val="left" w:pos="0"/>
          <w:tab w:val="left" w:pos="709"/>
          <w:tab w:val="clear" w:pos="1200"/>
        </w:tabs>
        <w:spacing w:line="320" w:lineRule="exact"/>
        <w:rPr>
          <w:rFonts w:ascii="宋体" w:hAnsi="宋体"/>
          <w:sz w:val="24"/>
        </w:rPr>
      </w:pPr>
      <w:r>
        <w:rPr>
          <w:rFonts w:ascii="宋体" w:hAnsi="宋体"/>
          <w:sz w:val="24"/>
        </w:rPr>
        <w:t>会务常设联系人姓名，电话号码</w:t>
      </w:r>
      <w:r>
        <w:rPr>
          <w:rFonts w:hint="eastAsia" w:ascii="宋体" w:hAnsi="宋体"/>
          <w:sz w:val="24"/>
          <w:lang w:eastAsia="zh-Hans"/>
        </w:rPr>
        <w:t>；</w:t>
      </w:r>
    </w:p>
    <w:p>
      <w:pPr>
        <w:numPr>
          <w:ilvl w:val="0"/>
          <w:numId w:val="11"/>
        </w:numPr>
        <w:tabs>
          <w:tab w:val="left" w:pos="0"/>
          <w:tab w:val="left" w:pos="709"/>
          <w:tab w:val="clear" w:pos="1200"/>
        </w:tabs>
        <w:spacing w:line="320" w:lineRule="exact"/>
        <w:rPr>
          <w:rFonts w:ascii="宋体" w:hAnsi="宋体"/>
          <w:sz w:val="24"/>
        </w:rPr>
      </w:pPr>
      <w:r>
        <w:rPr>
          <w:rFonts w:hint="eastAsia" w:ascii="宋体" w:hAnsi="宋体"/>
          <w:sz w:val="24"/>
        </w:rPr>
        <w:t>网络或其他方式的表决时间及表决程序</w:t>
      </w:r>
      <w:r>
        <w:rPr>
          <w:rFonts w:ascii="宋体" w:hAnsi="宋体"/>
          <w:sz w:val="24"/>
        </w:rPr>
        <w:t>。</w:t>
      </w:r>
      <w:r>
        <w:rPr>
          <w:rFonts w:hint="eastAsia" w:ascii="宋体" w:hAnsi="宋体"/>
          <w:sz w:val="24"/>
        </w:rPr>
        <w:t>　</w:t>
      </w:r>
    </w:p>
    <w:p>
      <w:pPr>
        <w:spacing w:line="320" w:lineRule="exact"/>
        <w:rPr>
          <w:rFonts w:ascii="宋体" w:hAnsi="宋体"/>
          <w:sz w:val="24"/>
        </w:rPr>
      </w:pPr>
      <w:r>
        <w:rPr>
          <w:rFonts w:hint="eastAsia" w:ascii="宋体" w:hAnsi="宋体"/>
          <w:sz w:val="24"/>
        </w:rPr>
        <w:t xml:space="preserve">    送达股东大会通知的同时，须送达授权委托书的范本。股东大会采用网络或其他方式的，应当按照有关规定在股东大会通知中明确载明网络或其他方式的表决时间及表决程序。</w:t>
      </w:r>
    </w:p>
    <w:p>
      <w:pPr>
        <w:spacing w:line="320" w:lineRule="exact"/>
        <w:rPr>
          <w:rFonts w:ascii="宋体" w:hAnsi="宋体"/>
          <w:sz w:val="24"/>
        </w:rPr>
      </w:pPr>
      <w:r>
        <w:rPr>
          <w:rFonts w:hint="eastAsia" w:ascii="宋体" w:hAnsi="宋体"/>
          <w:sz w:val="24"/>
        </w:rPr>
        <w:t xml:space="preserve">    股权登记日与会议日期之间的间隔应当不多于七个工作日，股权登记日一旦确认，不得变更。</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股东大会讨论董事、监事选举事项的，股东大会通知将充分披露董事、监事候选人的详细资料，至少包括以下内容：</w:t>
      </w:r>
    </w:p>
    <w:p>
      <w:pPr>
        <w:widowControl/>
        <w:spacing w:line="320" w:lineRule="exact"/>
        <w:ind w:left="480"/>
        <w:jc w:val="left"/>
        <w:rPr>
          <w:rFonts w:ascii="宋体" w:hAnsi="宋体" w:cs="宋体"/>
          <w:color w:val="000000"/>
          <w:kern w:val="0"/>
          <w:sz w:val="24"/>
        </w:rPr>
      </w:pPr>
      <w:r>
        <w:rPr>
          <w:rFonts w:hint="eastAsia" w:ascii="宋体" w:hAnsi="宋体" w:cs="宋体"/>
          <w:color w:val="000000"/>
          <w:kern w:val="0"/>
          <w:sz w:val="24"/>
        </w:rPr>
        <w:t>（一）教育背景、工作经历、兼职等个人情况；</w:t>
      </w:r>
    </w:p>
    <w:p>
      <w:pPr>
        <w:widowControl/>
        <w:spacing w:line="320" w:lineRule="exact"/>
        <w:ind w:left="480"/>
        <w:jc w:val="left"/>
        <w:rPr>
          <w:rFonts w:ascii="宋体" w:hAnsi="宋体" w:cs="宋体"/>
          <w:color w:val="000000"/>
          <w:kern w:val="0"/>
          <w:sz w:val="24"/>
        </w:rPr>
      </w:pPr>
      <w:r>
        <w:rPr>
          <w:rFonts w:hint="eastAsia" w:ascii="宋体" w:hAnsi="宋体" w:cs="宋体"/>
          <w:color w:val="000000"/>
          <w:kern w:val="0"/>
          <w:sz w:val="24"/>
        </w:rPr>
        <w:t>（二）与本行或本行的控股股东及实际控制人是否存在关联关系；</w:t>
      </w:r>
    </w:p>
    <w:p>
      <w:pPr>
        <w:widowControl/>
        <w:spacing w:line="320" w:lineRule="exact"/>
        <w:ind w:left="480"/>
        <w:jc w:val="left"/>
        <w:rPr>
          <w:rFonts w:ascii="宋体" w:hAnsi="宋体" w:cs="宋体"/>
          <w:color w:val="000000"/>
          <w:kern w:val="0"/>
          <w:sz w:val="24"/>
        </w:rPr>
      </w:pPr>
      <w:r>
        <w:rPr>
          <w:rFonts w:hint="eastAsia" w:ascii="宋体" w:hAnsi="宋体" w:cs="宋体"/>
          <w:color w:val="000000"/>
          <w:kern w:val="0"/>
          <w:sz w:val="24"/>
        </w:rPr>
        <w:t>（三）披露持有本行股份数量；</w:t>
      </w:r>
    </w:p>
    <w:p>
      <w:pPr>
        <w:widowControl/>
        <w:spacing w:line="320" w:lineRule="exact"/>
        <w:ind w:firstLine="424" w:firstLineChars="177"/>
        <w:jc w:val="left"/>
        <w:rPr>
          <w:rFonts w:ascii="宋体" w:hAnsi="宋体" w:cs="宋体"/>
          <w:color w:val="000000"/>
          <w:kern w:val="0"/>
          <w:sz w:val="24"/>
        </w:rPr>
      </w:pPr>
      <w:r>
        <w:rPr>
          <w:rFonts w:hint="eastAsia" w:ascii="宋体" w:hAnsi="宋体" w:cs="宋体"/>
          <w:color w:val="000000"/>
          <w:kern w:val="0"/>
          <w:sz w:val="24"/>
        </w:rPr>
        <w:t>（四）是否受过中国证券监督管理机构及其他有关部门的处罚和证券交易所惩戒。</w:t>
      </w:r>
    </w:p>
    <w:p>
      <w:pPr>
        <w:widowControl/>
        <w:tabs>
          <w:tab w:val="left" w:pos="5387"/>
        </w:tabs>
        <w:spacing w:line="320" w:lineRule="exact"/>
        <w:ind w:firstLine="480"/>
        <w:jc w:val="left"/>
        <w:rPr>
          <w:rFonts w:ascii="宋体" w:hAnsi="宋体" w:cs="宋体"/>
          <w:color w:val="000000"/>
          <w:kern w:val="0"/>
          <w:sz w:val="24"/>
        </w:rPr>
      </w:pPr>
      <w:r>
        <w:rPr>
          <w:rFonts w:hint="eastAsia" w:ascii="宋体" w:hAnsi="宋体" w:cs="宋体"/>
          <w:color w:val="000000"/>
          <w:kern w:val="0"/>
          <w:sz w:val="24"/>
        </w:rPr>
        <w:t xml:space="preserve">除采取累积投票制选举董事、监事外，每位董事、监事候选人应当以单项提案提出。 </w:t>
      </w:r>
    </w:p>
    <w:p>
      <w:pPr>
        <w:widowControl/>
        <w:tabs>
          <w:tab w:val="left" w:pos="5387"/>
        </w:tabs>
        <w:spacing w:line="320" w:lineRule="exact"/>
        <w:ind w:firstLine="480"/>
        <w:jc w:val="left"/>
        <w:rPr>
          <w:rFonts w:ascii="宋体" w:hAnsi="宋体" w:cs="宋体"/>
          <w:color w:val="000000"/>
          <w:kern w:val="0"/>
          <w:sz w:val="24"/>
        </w:rPr>
      </w:pPr>
      <w:r>
        <w:rPr>
          <w:rFonts w:hint="eastAsia" w:ascii="宋体" w:hAnsi="宋体" w:cs="宋体"/>
          <w:color w:val="000000"/>
          <w:kern w:val="0"/>
          <w:sz w:val="24"/>
        </w:rPr>
        <w:t>本章程所称“累积投票制”，是指股东大会选举董事或者监事时，每一股份拥有与应选董事或者监事人数相同的表决权，股东拥有的表决权可以集中使用。</w:t>
      </w:r>
    </w:p>
    <w:p>
      <w:pPr>
        <w:widowControl/>
        <w:numPr>
          <w:ilvl w:val="0"/>
          <w:numId w:val="2"/>
        </w:numPr>
        <w:tabs>
          <w:tab w:val="left" w:pos="2127"/>
        </w:tabs>
        <w:spacing w:line="320" w:lineRule="exact"/>
        <w:jc w:val="left"/>
        <w:rPr>
          <w:rFonts w:ascii="宋体" w:hAnsi="宋体" w:cs="宋体"/>
          <w:color w:val="000000"/>
          <w:kern w:val="0"/>
          <w:sz w:val="24"/>
        </w:rPr>
      </w:pPr>
      <w:r>
        <w:rPr>
          <w:rFonts w:hint="eastAsia" w:ascii="宋体" w:hAnsi="宋体" w:cs="宋体"/>
          <w:color w:val="000000"/>
          <w:kern w:val="0"/>
          <w:sz w:val="24"/>
        </w:rPr>
        <w:t xml:space="preserve">  发出股东大会通知后，无正当理由，股东大会不应延期或取消，股东大会通知中列明的提案不应取消。一旦出现延期或取消的情形，召集人应当在原定召开日前至少两个工作日公告并说明原因。</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本行股东大会的提案应遵循以下规定：</w:t>
      </w:r>
    </w:p>
    <w:p>
      <w:pPr>
        <w:widowControl/>
        <w:spacing w:line="320" w:lineRule="exact"/>
        <w:ind w:left="480"/>
        <w:jc w:val="left"/>
        <w:rPr>
          <w:rFonts w:ascii="宋体" w:hAnsi="宋体" w:cs="宋体"/>
          <w:color w:val="000000"/>
          <w:kern w:val="0"/>
          <w:sz w:val="24"/>
        </w:rPr>
      </w:pPr>
      <w:r>
        <w:rPr>
          <w:rFonts w:hint="eastAsia" w:ascii="宋体" w:hAnsi="宋体" w:cs="宋体"/>
          <w:color w:val="000000"/>
          <w:kern w:val="0"/>
          <w:sz w:val="24"/>
        </w:rPr>
        <w:t>（一）以下机构和人士可向股东大会提出提案：</w:t>
      </w:r>
    </w:p>
    <w:p>
      <w:pPr>
        <w:widowControl/>
        <w:spacing w:line="320" w:lineRule="exact"/>
        <w:ind w:firstLine="566" w:firstLineChars="236"/>
        <w:jc w:val="left"/>
        <w:rPr>
          <w:rFonts w:ascii="宋体" w:hAnsi="宋体" w:cs="宋体"/>
          <w:color w:val="000000"/>
          <w:kern w:val="0"/>
          <w:sz w:val="24"/>
        </w:rPr>
      </w:pPr>
      <w:r>
        <w:rPr>
          <w:rFonts w:hint="eastAsia" w:ascii="宋体" w:hAnsi="宋体" w:cs="宋体"/>
          <w:color w:val="000000"/>
          <w:kern w:val="0"/>
          <w:sz w:val="24"/>
        </w:rPr>
        <w:t>1、股东大会提案一般由董事会负责提出；</w:t>
      </w:r>
    </w:p>
    <w:p>
      <w:pPr>
        <w:widowControl/>
        <w:spacing w:line="320" w:lineRule="exact"/>
        <w:ind w:firstLine="566" w:firstLineChars="236"/>
        <w:jc w:val="left"/>
        <w:rPr>
          <w:rFonts w:ascii="宋体" w:hAnsi="宋体" w:cs="宋体"/>
          <w:color w:val="000000"/>
          <w:kern w:val="0"/>
          <w:sz w:val="24"/>
        </w:rPr>
      </w:pPr>
      <w:r>
        <w:rPr>
          <w:rFonts w:hint="eastAsia" w:ascii="宋体" w:hAnsi="宋体" w:cs="宋体"/>
          <w:color w:val="000000"/>
          <w:kern w:val="0"/>
          <w:sz w:val="24"/>
        </w:rPr>
        <w:t>2、监事会可向股东大会提出提案；</w:t>
      </w:r>
    </w:p>
    <w:p>
      <w:pPr>
        <w:widowControl/>
        <w:tabs>
          <w:tab w:val="left" w:pos="1134"/>
        </w:tabs>
        <w:spacing w:line="320" w:lineRule="exact"/>
        <w:ind w:firstLine="566" w:firstLineChars="236"/>
        <w:jc w:val="left"/>
        <w:rPr>
          <w:rFonts w:ascii="宋体" w:hAnsi="宋体" w:cs="宋体"/>
          <w:color w:val="000000"/>
          <w:kern w:val="0"/>
          <w:sz w:val="24"/>
        </w:rPr>
      </w:pPr>
      <w:r>
        <w:rPr>
          <w:rFonts w:hint="eastAsia" w:ascii="宋体" w:hAnsi="宋体" w:cs="宋体"/>
          <w:color w:val="000000"/>
          <w:kern w:val="0"/>
          <w:sz w:val="24"/>
        </w:rPr>
        <w:t>3、单独或者合并持有本行股份总数百分之十以上的股东提议召开临时股东大会的，应负责提出提案；</w:t>
      </w:r>
    </w:p>
    <w:p>
      <w:pPr>
        <w:widowControl/>
        <w:tabs>
          <w:tab w:val="left" w:pos="1418"/>
        </w:tabs>
        <w:spacing w:line="320" w:lineRule="exact"/>
        <w:ind w:firstLine="566" w:firstLineChars="236"/>
        <w:jc w:val="left"/>
        <w:rPr>
          <w:rFonts w:ascii="宋体" w:hAnsi="宋体" w:cs="宋体"/>
          <w:color w:val="000000"/>
          <w:kern w:val="0"/>
          <w:sz w:val="24"/>
        </w:rPr>
      </w:pPr>
      <w:r>
        <w:rPr>
          <w:rFonts w:hint="eastAsia" w:ascii="宋体" w:hAnsi="宋体" w:cs="宋体"/>
          <w:color w:val="000000"/>
          <w:kern w:val="0"/>
          <w:sz w:val="24"/>
        </w:rPr>
        <w:t>4、独立董事提请董事会召开临时股东大会的，应负责提出提案。</w:t>
      </w:r>
    </w:p>
    <w:p>
      <w:pPr>
        <w:widowControl/>
        <w:spacing w:line="320" w:lineRule="exact"/>
        <w:ind w:firstLine="424" w:firstLineChars="177"/>
        <w:jc w:val="left"/>
        <w:rPr>
          <w:rFonts w:ascii="宋体" w:hAnsi="宋体" w:cs="宋体"/>
          <w:color w:val="000000"/>
          <w:kern w:val="0"/>
          <w:sz w:val="24"/>
        </w:rPr>
      </w:pPr>
      <w:r>
        <w:rPr>
          <w:rFonts w:hint="eastAsia" w:ascii="宋体" w:hAnsi="宋体" w:cs="宋体"/>
          <w:color w:val="000000"/>
          <w:kern w:val="0"/>
          <w:sz w:val="24"/>
        </w:rPr>
        <w:t>（二）单独持有或者合并持有本行股份总数的百分之三以上的股东，可以在股东大会召开十日前，以书面形式向召集人提出临时提案，召集人将属于股东大会职权范围的提案，列入会议议程。召集人应当在收到提案后2日内发出股东大会补充通知，公告临时提案的内容。召集人不将临时提案列入股东大会会议议程的，在该次股东大会上进行解释和说明。</w:t>
      </w:r>
    </w:p>
    <w:p>
      <w:pPr>
        <w:widowControl/>
        <w:spacing w:line="320" w:lineRule="exact"/>
        <w:ind w:firstLine="424" w:firstLineChars="177"/>
        <w:jc w:val="left"/>
        <w:rPr>
          <w:rFonts w:ascii="宋体" w:hAnsi="宋体" w:cs="宋体"/>
          <w:color w:val="000000"/>
          <w:kern w:val="0"/>
          <w:sz w:val="24"/>
        </w:rPr>
      </w:pPr>
      <w:r>
        <w:rPr>
          <w:rFonts w:ascii="宋体" w:hAnsi="宋体" w:cs="宋体"/>
          <w:color w:val="000000"/>
          <w:kern w:val="0"/>
          <w:sz w:val="24"/>
        </w:rPr>
        <w:t>除前款规定的情形外</w:t>
      </w:r>
      <w:r>
        <w:rPr>
          <w:rFonts w:hint="eastAsia" w:ascii="宋体" w:hAnsi="宋体" w:cs="宋体"/>
          <w:color w:val="000000"/>
          <w:kern w:val="0"/>
          <w:sz w:val="24"/>
        </w:rPr>
        <w:t>，</w:t>
      </w:r>
      <w:r>
        <w:rPr>
          <w:rFonts w:ascii="宋体" w:hAnsi="宋体" w:cs="宋体"/>
          <w:color w:val="000000"/>
          <w:kern w:val="0"/>
          <w:sz w:val="24"/>
        </w:rPr>
        <w:t>召集人在发出股东大会的通知公告后</w:t>
      </w:r>
      <w:r>
        <w:rPr>
          <w:rFonts w:hint="eastAsia" w:ascii="宋体" w:hAnsi="宋体" w:cs="宋体"/>
          <w:color w:val="000000"/>
          <w:kern w:val="0"/>
          <w:sz w:val="24"/>
        </w:rPr>
        <w:t>，</w:t>
      </w:r>
      <w:r>
        <w:rPr>
          <w:rFonts w:ascii="宋体" w:hAnsi="宋体" w:cs="宋体"/>
          <w:color w:val="000000"/>
          <w:kern w:val="0"/>
          <w:sz w:val="24"/>
        </w:rPr>
        <w:t>不得修改股东大会通知中已列明或增加新的提案</w:t>
      </w:r>
      <w:r>
        <w:rPr>
          <w:rFonts w:hint="eastAsia" w:ascii="宋体" w:hAnsi="宋体" w:cs="宋体"/>
          <w:color w:val="000000"/>
          <w:kern w:val="0"/>
          <w:sz w:val="24"/>
        </w:rPr>
        <w:t>。</w:t>
      </w:r>
    </w:p>
    <w:p>
      <w:pPr>
        <w:widowControl/>
        <w:spacing w:line="320" w:lineRule="exact"/>
        <w:ind w:firstLine="424" w:firstLineChars="177"/>
        <w:jc w:val="left"/>
        <w:rPr>
          <w:rFonts w:ascii="宋体" w:hAnsi="宋体" w:cs="宋体"/>
          <w:color w:val="000000"/>
          <w:kern w:val="0"/>
          <w:sz w:val="24"/>
        </w:rPr>
      </w:pPr>
      <w:r>
        <w:rPr>
          <w:rFonts w:ascii="宋体" w:hAnsi="宋体" w:cs="宋体"/>
          <w:color w:val="000000"/>
          <w:kern w:val="0"/>
          <w:sz w:val="24"/>
        </w:rPr>
        <w:t>股东大会通知中未列明或不符合本章程第六十条规定的提案</w:t>
      </w:r>
      <w:r>
        <w:rPr>
          <w:rFonts w:hint="eastAsia" w:ascii="宋体" w:hAnsi="宋体" w:cs="宋体"/>
          <w:color w:val="000000"/>
          <w:kern w:val="0"/>
          <w:sz w:val="24"/>
        </w:rPr>
        <w:t>，</w:t>
      </w:r>
      <w:r>
        <w:rPr>
          <w:rFonts w:ascii="宋体" w:hAnsi="宋体" w:cs="宋体"/>
          <w:color w:val="000000"/>
          <w:kern w:val="0"/>
          <w:sz w:val="24"/>
        </w:rPr>
        <w:t>股东大会不得进行表决</w:t>
      </w:r>
      <w:r>
        <w:rPr>
          <w:rFonts w:hint="eastAsia" w:ascii="宋体" w:hAnsi="宋体" w:cs="宋体"/>
          <w:color w:val="000000"/>
          <w:kern w:val="0"/>
          <w:sz w:val="24"/>
        </w:rPr>
        <w:t>并</w:t>
      </w:r>
      <w:r>
        <w:rPr>
          <w:rFonts w:ascii="宋体" w:hAnsi="宋体" w:cs="宋体"/>
          <w:color w:val="000000"/>
          <w:kern w:val="0"/>
          <w:sz w:val="24"/>
        </w:rPr>
        <w:t>作出决议</w:t>
      </w:r>
      <w:r>
        <w:rPr>
          <w:rFonts w:hint="eastAsia" w:ascii="宋体" w:hAnsi="宋体" w:cs="宋体"/>
          <w:color w:val="000000"/>
          <w:kern w:val="0"/>
          <w:sz w:val="24"/>
        </w:rPr>
        <w:t>。</w:t>
      </w:r>
    </w:p>
    <w:p>
      <w:pPr>
        <w:widowControl/>
        <w:numPr>
          <w:ilvl w:val="0"/>
          <w:numId w:val="2"/>
        </w:numPr>
        <w:spacing w:line="320" w:lineRule="exact"/>
        <w:ind w:firstLine="424" w:firstLineChars="177"/>
        <w:jc w:val="left"/>
        <w:rPr>
          <w:rFonts w:ascii="宋体" w:hAnsi="宋体" w:cs="宋体"/>
          <w:color w:val="000000"/>
          <w:kern w:val="0"/>
          <w:sz w:val="24"/>
        </w:rPr>
      </w:pPr>
      <w:r>
        <w:rPr>
          <w:rFonts w:hint="eastAsia" w:ascii="宋体" w:hAnsi="宋体" w:cs="宋体"/>
          <w:color w:val="000000"/>
          <w:kern w:val="0"/>
          <w:sz w:val="24"/>
        </w:rPr>
        <w:t>股东大会提案应当符合下列条件：</w:t>
      </w:r>
    </w:p>
    <w:p>
      <w:pPr>
        <w:widowControl/>
        <w:spacing w:line="320" w:lineRule="exact"/>
        <w:ind w:firstLine="424" w:firstLineChars="177"/>
        <w:jc w:val="left"/>
        <w:rPr>
          <w:rFonts w:ascii="宋体" w:hAnsi="宋体" w:cs="宋体"/>
          <w:color w:val="000000"/>
          <w:kern w:val="0"/>
          <w:sz w:val="24"/>
        </w:rPr>
      </w:pPr>
      <w:r>
        <w:rPr>
          <w:rFonts w:hint="eastAsia" w:ascii="宋体" w:hAnsi="宋体" w:cs="宋体"/>
          <w:color w:val="000000"/>
          <w:kern w:val="0"/>
          <w:sz w:val="24"/>
        </w:rPr>
        <w:t>（一）内容与法律、法规和章程的规定不相抵触，并且属于股东大会职责范围；</w:t>
      </w:r>
    </w:p>
    <w:p>
      <w:pPr>
        <w:widowControl/>
        <w:spacing w:line="320" w:lineRule="exact"/>
        <w:ind w:firstLine="424" w:firstLineChars="177"/>
        <w:jc w:val="left"/>
        <w:rPr>
          <w:rFonts w:ascii="宋体" w:hAnsi="宋体" w:cs="宋体"/>
          <w:color w:val="000000"/>
          <w:kern w:val="0"/>
          <w:sz w:val="24"/>
        </w:rPr>
      </w:pPr>
      <w:r>
        <w:rPr>
          <w:rFonts w:hint="eastAsia" w:ascii="宋体" w:hAnsi="宋体" w:cs="宋体"/>
          <w:color w:val="000000"/>
          <w:kern w:val="0"/>
          <w:sz w:val="24"/>
        </w:rPr>
        <w:t>（二）有明确议题和具体决议事项；</w:t>
      </w:r>
    </w:p>
    <w:p>
      <w:pPr>
        <w:widowControl/>
        <w:spacing w:line="320" w:lineRule="exact"/>
        <w:ind w:firstLine="424" w:firstLineChars="177"/>
        <w:jc w:val="left"/>
        <w:rPr>
          <w:rFonts w:ascii="宋体" w:hAnsi="宋体" w:cs="宋体"/>
          <w:color w:val="000000"/>
          <w:kern w:val="0"/>
          <w:sz w:val="24"/>
        </w:rPr>
      </w:pPr>
      <w:r>
        <w:rPr>
          <w:rFonts w:hint="eastAsia" w:ascii="宋体" w:hAnsi="宋体" w:cs="宋体"/>
          <w:color w:val="000000"/>
          <w:kern w:val="0"/>
          <w:sz w:val="24"/>
        </w:rPr>
        <w:t>（三）以书面形式提交或送达董事会。</w:t>
      </w:r>
    </w:p>
    <w:p>
      <w:pPr>
        <w:widowControl/>
        <w:spacing w:line="320" w:lineRule="exact"/>
        <w:ind w:left="480"/>
        <w:jc w:val="left"/>
        <w:rPr>
          <w:rFonts w:ascii="宋体" w:hAnsi="宋体" w:cs="宋体"/>
          <w:color w:val="000000"/>
          <w:kern w:val="0"/>
          <w:sz w:val="24"/>
        </w:rPr>
      </w:pPr>
    </w:p>
    <w:p>
      <w:pPr>
        <w:widowControl/>
        <w:spacing w:line="320" w:lineRule="exact"/>
        <w:ind w:left="482"/>
        <w:jc w:val="center"/>
        <w:outlineLvl w:val="1"/>
        <w:rPr>
          <w:rFonts w:ascii="宋体" w:hAnsi="宋体" w:cs="宋体"/>
          <w:b/>
          <w:color w:val="000000"/>
          <w:kern w:val="0"/>
          <w:sz w:val="24"/>
        </w:rPr>
      </w:pPr>
      <w:bookmarkStart w:id="36" w:name="_Toc41895454"/>
      <w:bookmarkStart w:id="37" w:name="_Toc32332"/>
      <w:bookmarkStart w:id="38" w:name="_Toc10140"/>
      <w:r>
        <w:rPr>
          <w:rFonts w:hint="eastAsia" w:ascii="宋体" w:hAnsi="宋体" w:cs="宋体"/>
          <w:b/>
          <w:color w:val="000000"/>
          <w:kern w:val="0"/>
          <w:sz w:val="24"/>
        </w:rPr>
        <w:t>第五节  股东大会的召开</w:t>
      </w:r>
      <w:bookmarkEnd w:id="36"/>
      <w:bookmarkEnd w:id="37"/>
      <w:bookmarkEnd w:id="38"/>
    </w:p>
    <w:p>
      <w:pPr>
        <w:widowControl/>
        <w:spacing w:line="320" w:lineRule="exact"/>
        <w:ind w:left="480"/>
        <w:jc w:val="center"/>
        <w:rPr>
          <w:rFonts w:ascii="宋体" w:hAnsi="宋体" w:cs="宋体"/>
          <w:b/>
          <w:color w:val="000000"/>
          <w:kern w:val="0"/>
          <w:sz w:val="24"/>
        </w:rPr>
      </w:pP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股东大会的会议议程由董事会公正、合理地安排确定。本行董事会和其他召集人将采取必要措施，保证股东大会的正常秩序。对于干扰股东大会、寻衅滋事和侵犯股东合法权益的行为，将采取措施加以制止并及时报告有关部门查处。</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股权登记日登记在册的所有普通股股东或其代理人，均有权出席股东大会，并依照有关法律、法规及本章程行使表决权。</w:t>
      </w:r>
    </w:p>
    <w:p>
      <w:pPr>
        <w:widowControl/>
        <w:tabs>
          <w:tab w:val="left" w:pos="2127"/>
        </w:tabs>
        <w:spacing w:line="320" w:lineRule="exact"/>
        <w:ind w:left="480"/>
        <w:jc w:val="left"/>
        <w:rPr>
          <w:rFonts w:ascii="宋体" w:hAnsi="宋体" w:cs="宋体"/>
          <w:color w:val="000000"/>
          <w:kern w:val="0"/>
          <w:sz w:val="24"/>
        </w:rPr>
      </w:pPr>
      <w:r>
        <w:rPr>
          <w:rFonts w:ascii="宋体" w:hAnsi="宋体" w:cs="宋体"/>
          <w:color w:val="000000"/>
          <w:kern w:val="0"/>
          <w:sz w:val="24"/>
        </w:rPr>
        <w:t>股东可以亲自出席股东大会，也可以委托代理人代为出席和表决。</w:t>
      </w:r>
    </w:p>
    <w:p>
      <w:pPr>
        <w:widowControl/>
        <w:spacing w:line="320" w:lineRule="exact"/>
        <w:ind w:firstLine="470" w:firstLineChars="196"/>
        <w:jc w:val="left"/>
        <w:rPr>
          <w:rFonts w:ascii="宋体" w:hAnsi="宋体" w:cs="宋体"/>
          <w:color w:val="000000"/>
          <w:kern w:val="0"/>
          <w:sz w:val="24"/>
        </w:rPr>
      </w:pPr>
      <w:r>
        <w:rPr>
          <w:rFonts w:ascii="宋体" w:hAnsi="宋体" w:cs="宋体"/>
          <w:color w:val="000000"/>
          <w:kern w:val="0"/>
          <w:sz w:val="24"/>
        </w:rPr>
        <w:t>股东应当以书面形式委托代理人，</w:t>
      </w:r>
      <w:r>
        <w:rPr>
          <w:rFonts w:hint="eastAsia" w:ascii="宋体" w:hAnsi="宋体" w:cs="宋体"/>
          <w:color w:val="000000"/>
          <w:kern w:val="0"/>
          <w:sz w:val="24"/>
        </w:rPr>
        <w:t>授权委托书应</w:t>
      </w:r>
      <w:r>
        <w:rPr>
          <w:rFonts w:ascii="宋体" w:hAnsi="宋体" w:cs="宋体"/>
          <w:color w:val="000000"/>
          <w:kern w:val="0"/>
          <w:sz w:val="24"/>
        </w:rPr>
        <w:t>由委托人签署或者由其以书面形式委托的代理人签署；委托人为法人的，</w:t>
      </w:r>
      <w:r>
        <w:rPr>
          <w:rFonts w:hint="eastAsia" w:ascii="宋体" w:hAnsi="宋体" w:cs="宋体"/>
          <w:color w:val="000000"/>
          <w:kern w:val="0"/>
          <w:sz w:val="24"/>
        </w:rPr>
        <w:t>授权委托书</w:t>
      </w:r>
      <w:r>
        <w:rPr>
          <w:rFonts w:ascii="宋体" w:hAnsi="宋体" w:cs="宋体"/>
          <w:color w:val="000000"/>
          <w:kern w:val="0"/>
          <w:sz w:val="24"/>
        </w:rPr>
        <w:t>应当加盖法人印章或者由其正式委托的代理人签署。</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ascii="宋体" w:hAnsi="宋体" w:cs="宋体"/>
          <w:color w:val="000000"/>
          <w:kern w:val="0"/>
          <w:sz w:val="24"/>
        </w:rPr>
        <w:t>个人股东亲自出席会议的，应出示本人身份证</w:t>
      </w:r>
      <w:r>
        <w:rPr>
          <w:rFonts w:hint="eastAsia" w:ascii="宋体" w:hAnsi="宋体" w:cs="宋体"/>
          <w:color w:val="000000"/>
          <w:kern w:val="0"/>
          <w:sz w:val="24"/>
        </w:rPr>
        <w:t>或其他能够表明其身份的有效证件或证明、股票账户卡</w:t>
      </w:r>
      <w:r>
        <w:rPr>
          <w:rFonts w:ascii="宋体" w:hAnsi="宋体" w:cs="宋体"/>
          <w:color w:val="000000"/>
          <w:kern w:val="0"/>
          <w:sz w:val="24"/>
        </w:rPr>
        <w:t>；委托代理他人出席会议的，</w:t>
      </w:r>
      <w:r>
        <w:rPr>
          <w:rFonts w:hint="eastAsia" w:ascii="宋体" w:hAnsi="宋体" w:cs="宋体"/>
          <w:color w:val="000000"/>
          <w:kern w:val="0"/>
          <w:sz w:val="24"/>
        </w:rPr>
        <w:t>代理人</w:t>
      </w:r>
      <w:r>
        <w:rPr>
          <w:rFonts w:ascii="宋体" w:hAnsi="宋体" w:cs="宋体"/>
          <w:color w:val="000000"/>
          <w:kern w:val="0"/>
          <w:sz w:val="24"/>
        </w:rPr>
        <w:t>应出示本人身份证、</w:t>
      </w:r>
      <w:r>
        <w:rPr>
          <w:rFonts w:hint="eastAsia" w:ascii="宋体" w:hAnsi="宋体" w:cs="宋体"/>
          <w:color w:val="000000"/>
          <w:kern w:val="0"/>
          <w:sz w:val="24"/>
        </w:rPr>
        <w:t>股东授权</w:t>
      </w:r>
      <w:r>
        <w:rPr>
          <w:rFonts w:ascii="宋体" w:hAnsi="宋体" w:cs="宋体"/>
          <w:color w:val="000000"/>
          <w:kern w:val="0"/>
          <w:sz w:val="24"/>
        </w:rPr>
        <w:t>委托书。</w:t>
      </w:r>
    </w:p>
    <w:p>
      <w:pPr>
        <w:widowControl/>
        <w:tabs>
          <w:tab w:val="left" w:pos="2127"/>
        </w:tabs>
        <w:spacing w:line="320" w:lineRule="exact"/>
        <w:ind w:firstLine="470" w:firstLineChars="196"/>
        <w:jc w:val="left"/>
        <w:rPr>
          <w:rFonts w:ascii="宋体" w:hAnsi="宋体" w:cs="宋体"/>
          <w:color w:val="000000"/>
          <w:kern w:val="0"/>
          <w:sz w:val="24"/>
        </w:rPr>
      </w:pPr>
      <w:r>
        <w:rPr>
          <w:rFonts w:ascii="宋体" w:hAnsi="宋体" w:cs="宋体"/>
          <w:color w:val="000000"/>
          <w:kern w:val="0"/>
          <w:sz w:val="24"/>
        </w:rPr>
        <w:t>法人股东应由法定代表人或者</w:t>
      </w:r>
      <w:r>
        <w:rPr>
          <w:rFonts w:hint="eastAsia" w:ascii="宋体" w:hAnsi="宋体" w:cs="宋体"/>
          <w:color w:val="000000"/>
          <w:kern w:val="0"/>
          <w:sz w:val="24"/>
        </w:rPr>
        <w:t>其</w:t>
      </w:r>
      <w:r>
        <w:rPr>
          <w:rFonts w:ascii="宋体" w:hAnsi="宋体" w:cs="宋体"/>
          <w:color w:val="000000"/>
          <w:kern w:val="0"/>
          <w:sz w:val="24"/>
        </w:rPr>
        <w:t>委托代理人出席会议。法定代表人出席会议的，应出示本人身份证、能证明其具有法定代表人资格的有效证明；委托代理人出席会议的，代理人应出示本人身份证、法人股东单位的法定代表人依法出具的书面</w:t>
      </w:r>
      <w:r>
        <w:rPr>
          <w:rFonts w:hint="eastAsia" w:ascii="宋体" w:hAnsi="宋体" w:cs="宋体"/>
          <w:color w:val="000000"/>
          <w:kern w:val="0"/>
          <w:sz w:val="24"/>
        </w:rPr>
        <w:t>授权</w:t>
      </w:r>
      <w:r>
        <w:rPr>
          <w:rFonts w:ascii="宋体" w:hAnsi="宋体" w:cs="宋体"/>
          <w:color w:val="000000"/>
          <w:kern w:val="0"/>
          <w:sz w:val="24"/>
        </w:rPr>
        <w:t>委托书。</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ascii="宋体" w:hAnsi="宋体" w:cs="宋体"/>
          <w:color w:val="000000"/>
          <w:kern w:val="0"/>
          <w:sz w:val="24"/>
        </w:rPr>
        <w:t>股东出具的委托他人出席股东大会的授权委托书应当载明下列内容：</w:t>
      </w:r>
    </w:p>
    <w:p>
      <w:pPr>
        <w:numPr>
          <w:ilvl w:val="0"/>
          <w:numId w:val="12"/>
        </w:numPr>
        <w:spacing w:line="320" w:lineRule="exact"/>
        <w:rPr>
          <w:rFonts w:ascii="宋体" w:hAnsi="宋体"/>
          <w:sz w:val="24"/>
        </w:rPr>
      </w:pPr>
      <w:r>
        <w:rPr>
          <w:rFonts w:ascii="宋体" w:hAnsi="宋体"/>
          <w:sz w:val="24"/>
        </w:rPr>
        <w:t>代理人的姓名；</w:t>
      </w:r>
    </w:p>
    <w:p>
      <w:pPr>
        <w:numPr>
          <w:ilvl w:val="0"/>
          <w:numId w:val="12"/>
        </w:numPr>
        <w:tabs>
          <w:tab w:val="left" w:pos="0"/>
          <w:tab w:val="clear" w:pos="1200"/>
        </w:tabs>
        <w:spacing w:line="320" w:lineRule="exact"/>
        <w:rPr>
          <w:rFonts w:ascii="宋体" w:hAnsi="宋体"/>
          <w:sz w:val="24"/>
        </w:rPr>
      </w:pPr>
      <w:r>
        <w:rPr>
          <w:rFonts w:ascii="宋体" w:hAnsi="宋体"/>
          <w:sz w:val="24"/>
        </w:rPr>
        <w:t>是否具有表决权；</w:t>
      </w:r>
    </w:p>
    <w:p>
      <w:pPr>
        <w:numPr>
          <w:ilvl w:val="0"/>
          <w:numId w:val="12"/>
        </w:numPr>
        <w:tabs>
          <w:tab w:val="left" w:pos="0"/>
          <w:tab w:val="clear" w:pos="1200"/>
        </w:tabs>
        <w:spacing w:line="320" w:lineRule="exact"/>
        <w:ind w:left="0" w:firstLine="480"/>
        <w:rPr>
          <w:rFonts w:ascii="宋体" w:hAnsi="宋体"/>
          <w:sz w:val="24"/>
        </w:rPr>
      </w:pPr>
      <w:r>
        <w:rPr>
          <w:rFonts w:hint="eastAsia" w:ascii="宋体" w:hAnsi="宋体"/>
          <w:sz w:val="24"/>
        </w:rPr>
        <w:t>有表决权的</w:t>
      </w:r>
      <w:r>
        <w:rPr>
          <w:rFonts w:ascii="宋体" w:hAnsi="宋体"/>
          <w:sz w:val="24"/>
        </w:rPr>
        <w:t>，</w:t>
      </w:r>
      <w:r>
        <w:rPr>
          <w:rFonts w:hint="eastAsia" w:ascii="宋体" w:hAnsi="宋体"/>
          <w:sz w:val="24"/>
        </w:rPr>
        <w:t>分别对列入股东大会议程的每一审议事项投同意、反对或弃权票的指示；</w:t>
      </w:r>
    </w:p>
    <w:p>
      <w:pPr>
        <w:numPr>
          <w:ilvl w:val="0"/>
          <w:numId w:val="12"/>
        </w:numPr>
        <w:tabs>
          <w:tab w:val="left" w:pos="0"/>
          <w:tab w:val="clear" w:pos="1200"/>
        </w:tabs>
        <w:spacing w:line="320" w:lineRule="exact"/>
        <w:rPr>
          <w:rFonts w:ascii="宋体" w:hAnsi="宋体"/>
          <w:sz w:val="24"/>
        </w:rPr>
      </w:pPr>
      <w:r>
        <w:rPr>
          <w:rFonts w:ascii="宋体" w:hAnsi="宋体"/>
          <w:sz w:val="24"/>
        </w:rPr>
        <w:t>委托书签发日期和有效期限；</w:t>
      </w:r>
    </w:p>
    <w:p>
      <w:pPr>
        <w:numPr>
          <w:ilvl w:val="0"/>
          <w:numId w:val="12"/>
        </w:numPr>
        <w:tabs>
          <w:tab w:val="left" w:pos="0"/>
          <w:tab w:val="clear" w:pos="1200"/>
        </w:tabs>
        <w:spacing w:line="320" w:lineRule="exact"/>
        <w:rPr>
          <w:rFonts w:ascii="宋体" w:hAnsi="宋体"/>
          <w:sz w:val="24"/>
        </w:rPr>
      </w:pPr>
      <w:r>
        <w:rPr>
          <w:rFonts w:ascii="宋体" w:hAnsi="宋体"/>
          <w:sz w:val="24"/>
        </w:rPr>
        <w:t>委托人签名（或盖章）。委托人为法人股东的，应加盖法人单位</w:t>
      </w:r>
      <w:r>
        <w:rPr>
          <w:rFonts w:hint="eastAsia" w:ascii="宋体" w:hAnsi="宋体"/>
          <w:sz w:val="24"/>
        </w:rPr>
        <w:t>公</w:t>
      </w:r>
      <w:r>
        <w:rPr>
          <w:rFonts w:ascii="宋体" w:hAnsi="宋体"/>
          <w:sz w:val="24"/>
        </w:rPr>
        <w:t>章。</w:t>
      </w:r>
    </w:p>
    <w:p>
      <w:pPr>
        <w:spacing w:line="320" w:lineRule="exact"/>
        <w:rPr>
          <w:rFonts w:ascii="宋体" w:hAnsi="宋体"/>
          <w:sz w:val="24"/>
        </w:rPr>
      </w:pPr>
      <w:r>
        <w:rPr>
          <w:rFonts w:hint="eastAsia" w:ascii="宋体" w:hAnsi="宋体"/>
          <w:sz w:val="24"/>
        </w:rPr>
        <w:t xml:space="preserve">    授权委托书应注明如果股东不作指示，股东代理人是否可以按自己的意思表决。</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代理投票授权委托书由委托人授权他人签署的，授权签署的授权书或者其他授权文件应当经过公证。经公证的授权书或者其他授权文件，和投票代理委托书均需备置于本行住所或者召集会议的通知中指定的其他地方。</w:t>
      </w:r>
    </w:p>
    <w:p>
      <w:pPr>
        <w:widowControl/>
        <w:tabs>
          <w:tab w:val="left" w:pos="2127"/>
        </w:tabs>
        <w:spacing w:line="320" w:lineRule="exact"/>
        <w:jc w:val="left"/>
        <w:rPr>
          <w:rFonts w:ascii="宋体" w:hAnsi="宋体" w:cs="宋体"/>
          <w:color w:val="000000"/>
          <w:kern w:val="0"/>
          <w:sz w:val="24"/>
        </w:rPr>
      </w:pPr>
      <w:r>
        <w:rPr>
          <w:rFonts w:hint="eastAsia" w:ascii="宋体" w:hAnsi="宋体" w:cs="宋体"/>
          <w:color w:val="000000"/>
          <w:kern w:val="0"/>
          <w:sz w:val="24"/>
        </w:rPr>
        <w:t xml:space="preserve">    委托人为法人的，由其法定代表人或者董事会、其他决策机构决议授权的人作为代表出席本行的股东大会。</w:t>
      </w:r>
    </w:p>
    <w:p>
      <w:pPr>
        <w:widowControl/>
        <w:numPr>
          <w:ilvl w:val="0"/>
          <w:numId w:val="2"/>
        </w:numPr>
        <w:tabs>
          <w:tab w:val="left" w:pos="2127"/>
          <w:tab w:val="clear" w:pos="1920"/>
        </w:tabs>
        <w:spacing w:line="320" w:lineRule="exact"/>
        <w:jc w:val="left"/>
        <w:rPr>
          <w:rFonts w:ascii="宋体" w:hAnsi="宋体" w:cs="宋体"/>
          <w:color w:val="000000"/>
          <w:kern w:val="0"/>
          <w:sz w:val="24"/>
        </w:rPr>
      </w:pPr>
      <w:r>
        <w:rPr>
          <w:rFonts w:ascii="宋体" w:hAnsi="宋体" w:cs="宋体"/>
          <w:color w:val="000000"/>
          <w:kern w:val="0"/>
          <w:sz w:val="24"/>
        </w:rPr>
        <w:t>出席会议人员的</w:t>
      </w:r>
      <w:r>
        <w:rPr>
          <w:rFonts w:hint="eastAsia" w:ascii="宋体" w:hAnsi="宋体" w:cs="宋体"/>
          <w:color w:val="000000"/>
          <w:kern w:val="0"/>
          <w:sz w:val="24"/>
        </w:rPr>
        <w:t>会议</w:t>
      </w:r>
      <w:r>
        <w:rPr>
          <w:rFonts w:ascii="宋体" w:hAnsi="宋体" w:cs="宋体"/>
          <w:color w:val="000000"/>
          <w:kern w:val="0"/>
          <w:sz w:val="24"/>
        </w:rPr>
        <w:t>登记册由</w:t>
      </w:r>
      <w:r>
        <w:rPr>
          <w:rFonts w:hint="eastAsia" w:ascii="宋体" w:hAnsi="宋体" w:cs="宋体"/>
          <w:color w:val="000000"/>
          <w:kern w:val="0"/>
          <w:sz w:val="24"/>
        </w:rPr>
        <w:t>本行</w:t>
      </w:r>
      <w:r>
        <w:rPr>
          <w:rFonts w:ascii="宋体" w:hAnsi="宋体" w:cs="宋体"/>
          <w:color w:val="000000"/>
          <w:kern w:val="0"/>
          <w:sz w:val="24"/>
        </w:rPr>
        <w:t>负责制作。会议登记册载明参加会议人员姓名（或单位名称）、身份证</w:t>
      </w:r>
      <w:r>
        <w:rPr>
          <w:rFonts w:hint="eastAsia" w:ascii="宋体" w:hAnsi="宋体" w:cs="宋体"/>
          <w:color w:val="000000"/>
          <w:kern w:val="0"/>
          <w:sz w:val="24"/>
        </w:rPr>
        <w:t>件</w:t>
      </w:r>
      <w:r>
        <w:rPr>
          <w:rFonts w:ascii="宋体" w:hAnsi="宋体" w:cs="宋体"/>
          <w:color w:val="000000"/>
          <w:kern w:val="0"/>
          <w:sz w:val="24"/>
        </w:rPr>
        <w:t>号码</w:t>
      </w:r>
      <w:r>
        <w:rPr>
          <w:rFonts w:hint="eastAsia" w:ascii="宋体" w:hAnsi="宋体" w:cs="宋体"/>
          <w:color w:val="000000"/>
          <w:kern w:val="0"/>
          <w:sz w:val="24"/>
        </w:rPr>
        <w:t>、住所地址、</w:t>
      </w:r>
      <w:r>
        <w:rPr>
          <w:rFonts w:ascii="宋体" w:hAnsi="宋体" w:cs="宋体"/>
          <w:color w:val="000000"/>
          <w:kern w:val="0"/>
          <w:sz w:val="24"/>
        </w:rPr>
        <w:t>持有或者代表有表决权的股份数额、被代理人姓名（或单位名称）等事项。</w:t>
      </w:r>
    </w:p>
    <w:p>
      <w:pPr>
        <w:widowControl/>
        <w:numPr>
          <w:ilvl w:val="0"/>
          <w:numId w:val="2"/>
        </w:numPr>
        <w:tabs>
          <w:tab w:val="left" w:pos="2127"/>
          <w:tab w:val="clear" w:pos="1920"/>
        </w:tabs>
        <w:spacing w:line="320" w:lineRule="exact"/>
        <w:jc w:val="left"/>
        <w:rPr>
          <w:rFonts w:ascii="宋体" w:hAnsi="宋体" w:cs="宋体"/>
          <w:smallCaps/>
          <w:color w:val="000000"/>
          <w:kern w:val="0"/>
          <w:sz w:val="24"/>
          <w:szCs w:val="20"/>
        </w:rPr>
      </w:pPr>
      <w:r>
        <w:rPr>
          <w:rFonts w:hint="eastAsia" w:ascii="宋体" w:hAnsi="宋体" w:cs="宋体"/>
          <w:smallCaps/>
          <w:color w:val="000000"/>
          <w:kern w:val="0"/>
          <w:sz w:val="24"/>
          <w:szCs w:val="20"/>
        </w:rPr>
        <w:t>召集人和本行聘请的律师将依据证券登记结算机构提供的股东名册共同对股东资格的合法性进行验证，并登记股东姓名（或名称）及其所持有表决权的股份数。在会议主持人宣布现场出席会议的股东和代理人人数及所持有表决权的股份总数之前，会议登记应当终止。</w:t>
      </w:r>
    </w:p>
    <w:p>
      <w:pPr>
        <w:widowControl/>
        <w:numPr>
          <w:ilvl w:val="0"/>
          <w:numId w:val="2"/>
        </w:numPr>
        <w:spacing w:line="320" w:lineRule="exact"/>
        <w:jc w:val="left"/>
        <w:rPr>
          <w:rFonts w:ascii="宋体" w:hAnsi="宋体" w:cs="宋体"/>
          <w:smallCaps/>
          <w:color w:val="000000"/>
          <w:kern w:val="0"/>
          <w:sz w:val="24"/>
          <w:szCs w:val="20"/>
        </w:rPr>
      </w:pPr>
      <w:r>
        <w:rPr>
          <w:rFonts w:hint="eastAsia" w:ascii="宋体" w:hAnsi="宋体" w:cs="宋体"/>
          <w:smallCaps/>
          <w:color w:val="000000"/>
          <w:kern w:val="0"/>
          <w:sz w:val="24"/>
          <w:szCs w:val="20"/>
        </w:rPr>
        <w:t>股东大会召开时，本行全体董事、监事和董事会秘书应当出席会议，高级管理层应当列席会议。</w:t>
      </w:r>
    </w:p>
    <w:p>
      <w:pPr>
        <w:widowControl/>
        <w:numPr>
          <w:ilvl w:val="0"/>
          <w:numId w:val="2"/>
        </w:numPr>
        <w:tabs>
          <w:tab w:val="left" w:pos="2127"/>
          <w:tab w:val="clear" w:pos="1920"/>
        </w:tabs>
        <w:spacing w:line="320" w:lineRule="exact"/>
        <w:jc w:val="left"/>
        <w:rPr>
          <w:rFonts w:ascii="宋体" w:hAnsi="宋体" w:cs="宋体"/>
          <w:smallCaps/>
          <w:color w:val="000000"/>
          <w:kern w:val="0"/>
          <w:sz w:val="24"/>
          <w:szCs w:val="20"/>
        </w:rPr>
      </w:pPr>
      <w:r>
        <w:rPr>
          <w:rFonts w:hint="eastAsia" w:ascii="宋体" w:hAnsi="宋体" w:cs="宋体"/>
          <w:color w:val="000000"/>
          <w:kern w:val="0"/>
          <w:sz w:val="24"/>
        </w:rPr>
        <w:t>董事会召集的股东大会</w:t>
      </w:r>
      <w:r>
        <w:rPr>
          <w:rFonts w:ascii="宋体" w:hAnsi="宋体" w:cs="宋体"/>
          <w:color w:val="000000"/>
          <w:kern w:val="0"/>
          <w:sz w:val="24"/>
        </w:rPr>
        <w:t>由董事长主持。董事长</w:t>
      </w:r>
      <w:r>
        <w:rPr>
          <w:rFonts w:hint="eastAsia" w:ascii="宋体" w:hAnsi="宋体" w:cs="宋体"/>
          <w:smallCaps/>
          <w:color w:val="000000"/>
          <w:kern w:val="0"/>
          <w:sz w:val="24"/>
          <w:szCs w:val="20"/>
        </w:rPr>
        <w:t>不能履行职务或不履行职务时，</w:t>
      </w:r>
      <w:r>
        <w:rPr>
          <w:rFonts w:ascii="宋体" w:hAnsi="宋体" w:cs="宋体"/>
          <w:color w:val="000000"/>
          <w:kern w:val="0"/>
          <w:sz w:val="24"/>
        </w:rPr>
        <w:t>由</w:t>
      </w:r>
      <w:r>
        <w:rPr>
          <w:rFonts w:hint="eastAsia" w:ascii="宋体" w:hAnsi="宋体" w:cs="宋体"/>
          <w:color w:val="000000"/>
          <w:kern w:val="0"/>
          <w:sz w:val="24"/>
        </w:rPr>
        <w:t>半数以上董事共同推举的一名董事主持</w:t>
      </w:r>
      <w:r>
        <w:rPr>
          <w:rFonts w:ascii="宋体" w:hAnsi="宋体" w:cs="宋体"/>
          <w:color w:val="000000"/>
          <w:kern w:val="0"/>
          <w:sz w:val="24"/>
        </w:rPr>
        <w:t>。</w:t>
      </w:r>
    </w:p>
    <w:p>
      <w:pPr>
        <w:widowControl/>
        <w:spacing w:line="320" w:lineRule="exact"/>
        <w:jc w:val="left"/>
        <w:rPr>
          <w:rFonts w:ascii="宋体" w:hAnsi="宋体" w:cs="宋体"/>
          <w:smallCaps/>
          <w:color w:val="000000"/>
          <w:kern w:val="0"/>
          <w:sz w:val="24"/>
          <w:szCs w:val="20"/>
        </w:rPr>
      </w:pPr>
      <w:r>
        <w:rPr>
          <w:rFonts w:hint="eastAsia" w:ascii="宋体" w:hAnsi="宋体" w:cs="宋体"/>
          <w:smallCaps/>
          <w:color w:val="000000"/>
          <w:kern w:val="0"/>
          <w:sz w:val="24"/>
          <w:szCs w:val="20"/>
        </w:rPr>
        <w:t xml:space="preserve">     监事会自行召集的股东大会，由监事长主持。监事长不能履行职务或不履行职务时，由半数以上监事共同推举的一名监事主持。</w:t>
      </w:r>
    </w:p>
    <w:p>
      <w:pPr>
        <w:widowControl/>
        <w:spacing w:line="320" w:lineRule="exact"/>
        <w:jc w:val="left"/>
        <w:rPr>
          <w:rFonts w:ascii="宋体" w:hAnsi="宋体" w:cs="宋体"/>
          <w:smallCaps/>
          <w:color w:val="000000"/>
          <w:kern w:val="0"/>
          <w:sz w:val="24"/>
          <w:szCs w:val="20"/>
        </w:rPr>
      </w:pPr>
      <w:r>
        <w:rPr>
          <w:rFonts w:hint="eastAsia" w:ascii="宋体" w:hAnsi="宋体" w:cs="宋体"/>
          <w:smallCaps/>
          <w:color w:val="000000"/>
          <w:kern w:val="0"/>
          <w:sz w:val="24"/>
          <w:szCs w:val="20"/>
        </w:rPr>
        <w:t xml:space="preserve">     股东自行召集的股东大会，由召集人推举代表主持。</w:t>
      </w:r>
    </w:p>
    <w:p>
      <w:pPr>
        <w:widowControl/>
        <w:spacing w:line="320" w:lineRule="exact"/>
        <w:jc w:val="left"/>
        <w:rPr>
          <w:rFonts w:ascii="宋体" w:hAnsi="宋体" w:cs="宋体"/>
          <w:bCs/>
          <w:smallCaps/>
          <w:color w:val="000000"/>
          <w:kern w:val="0"/>
          <w:sz w:val="24"/>
          <w:szCs w:val="20"/>
        </w:rPr>
      </w:pPr>
      <w:r>
        <w:rPr>
          <w:rFonts w:hint="eastAsia" w:ascii="宋体" w:hAnsi="宋体" w:cs="宋体"/>
          <w:smallCaps/>
          <w:color w:val="000000"/>
          <w:kern w:val="0"/>
          <w:sz w:val="24"/>
          <w:szCs w:val="20"/>
        </w:rPr>
        <w:t xml:space="preserve">     召开股东大会时，会议主持人违反议事规则使股东大会无法继续进行的，经现场出席股东大会有表决权过半数的股东同意，股东大会可推举一人担任会议主持人，继续开会。</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rPr>
      </w:pPr>
      <w:r>
        <w:rPr>
          <w:rFonts w:hint="eastAsia" w:ascii="宋体" w:hAnsi="宋体" w:cs="宋体"/>
          <w:bCs/>
          <w:smallCaps/>
          <w:color w:val="000000"/>
          <w:kern w:val="0"/>
          <w:sz w:val="24"/>
        </w:rPr>
        <w:t>本行制定股东大会议事规则，详细规定股东大会的召开和表决程序</w:t>
      </w:r>
      <w:r>
        <w:rPr>
          <w:rFonts w:ascii="宋体" w:hAnsi="宋体" w:cs="宋体"/>
          <w:bCs/>
          <w:smallCaps/>
          <w:color w:val="000000"/>
          <w:kern w:val="0"/>
          <w:sz w:val="24"/>
        </w:rPr>
        <w:t>，</w:t>
      </w:r>
      <w:r>
        <w:rPr>
          <w:rFonts w:hint="eastAsia" w:ascii="宋体" w:hAnsi="宋体" w:cs="宋体"/>
          <w:bCs/>
          <w:smallCaps/>
          <w:color w:val="000000"/>
          <w:kern w:val="0"/>
          <w:sz w:val="24"/>
        </w:rPr>
        <w:t>包括通知、登记、提案审议、投票、计票、表决结果宣布、会议决议形成、会议记录及其签署、公告等内容，以及股东大会对董事会的授权原则，授权内容应明确具体。股东大会议事规则由董事会拟定，股东大会批准。</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rPr>
      </w:pPr>
      <w:r>
        <w:rPr>
          <w:rFonts w:hint="eastAsia" w:ascii="宋体" w:hAnsi="宋体" w:cs="宋体"/>
          <w:bCs/>
          <w:smallCaps/>
          <w:color w:val="000000"/>
          <w:kern w:val="0"/>
          <w:sz w:val="24"/>
        </w:rPr>
        <w:t>在年度股东大会上，董事会、监事会应当就其过去一年的工作向股东大会作出报告。每名独立董事也应作出述职报告。</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rPr>
      </w:pPr>
      <w:r>
        <w:rPr>
          <w:rFonts w:hint="eastAsia" w:ascii="宋体" w:hAnsi="宋体" w:cs="宋体"/>
          <w:bCs/>
          <w:smallCaps/>
          <w:color w:val="000000"/>
          <w:kern w:val="0"/>
          <w:sz w:val="24"/>
        </w:rPr>
        <w:t>除涉及本行商业秘密不能在股东大会上公开外，董事、监事、高级管理人员在股东大会上应对股东的质询和建议作出解释和说明。</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rPr>
      </w:pPr>
      <w:r>
        <w:rPr>
          <w:rFonts w:hint="eastAsia" w:ascii="宋体" w:hAnsi="宋体" w:cs="宋体"/>
          <w:bCs/>
          <w:smallCaps/>
          <w:color w:val="000000"/>
          <w:kern w:val="0"/>
          <w:sz w:val="24"/>
        </w:rPr>
        <w:t>会议主持人应当在表决前宣布现场出席会议的股东和代理人人数及所持有表决权的股份总数，现场出席会议的股东和代理人人数及所持有表决权的股份总数以会议登记为准。</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股东大会应有会议记录。会议记录记载以下内容：</w:t>
      </w:r>
    </w:p>
    <w:p>
      <w:pPr>
        <w:widowControl/>
        <w:spacing w:line="320" w:lineRule="exact"/>
        <w:jc w:val="left"/>
        <w:rPr>
          <w:rFonts w:ascii="宋体" w:hAnsi="宋体" w:cs="宋体"/>
          <w:bCs/>
          <w:smallCaps/>
          <w:color w:val="000000"/>
          <w:kern w:val="0"/>
          <w:sz w:val="24"/>
        </w:rPr>
      </w:pPr>
      <w:r>
        <w:rPr>
          <w:rFonts w:hint="eastAsia" w:ascii="宋体" w:hAnsi="宋体" w:cs="宋体"/>
          <w:bCs/>
          <w:smallCaps/>
          <w:color w:val="000000"/>
          <w:kern w:val="0"/>
          <w:sz w:val="24"/>
        </w:rPr>
        <w:t xml:space="preserve">   （一）会议时间、地点、议程和召集人姓名或名称；</w:t>
      </w:r>
    </w:p>
    <w:p>
      <w:pPr>
        <w:widowControl/>
        <w:spacing w:line="320" w:lineRule="exact"/>
        <w:jc w:val="left"/>
        <w:rPr>
          <w:rFonts w:ascii="宋体" w:hAnsi="宋体" w:cs="宋体"/>
          <w:bCs/>
          <w:smallCaps/>
          <w:color w:val="000000"/>
          <w:kern w:val="0"/>
          <w:sz w:val="24"/>
        </w:rPr>
      </w:pPr>
      <w:r>
        <w:rPr>
          <w:rFonts w:hint="eastAsia" w:ascii="宋体" w:hAnsi="宋体" w:cs="宋体"/>
          <w:bCs/>
          <w:smallCaps/>
          <w:color w:val="000000"/>
          <w:kern w:val="0"/>
          <w:sz w:val="24"/>
        </w:rPr>
        <w:t xml:space="preserve">   （二）会议主持人以及出席或列席会议的董事、监事、高级管理人员姓名；</w:t>
      </w:r>
    </w:p>
    <w:p>
      <w:pPr>
        <w:widowControl/>
        <w:spacing w:line="320" w:lineRule="exact"/>
        <w:jc w:val="left"/>
        <w:rPr>
          <w:rFonts w:ascii="宋体" w:hAnsi="宋体" w:cs="宋体"/>
          <w:bCs/>
          <w:smallCaps/>
          <w:color w:val="000000"/>
          <w:kern w:val="0"/>
          <w:sz w:val="24"/>
        </w:rPr>
      </w:pPr>
      <w:r>
        <w:rPr>
          <w:rFonts w:hint="eastAsia" w:ascii="宋体" w:hAnsi="宋体" w:cs="宋体"/>
          <w:bCs/>
          <w:smallCaps/>
          <w:color w:val="000000"/>
          <w:kern w:val="0"/>
          <w:sz w:val="24"/>
        </w:rPr>
        <w:t xml:space="preserve">   （三）出席会议的股东和代理人人数、所持有表决权的股份总数及占本行股份总数的比例；</w:t>
      </w:r>
    </w:p>
    <w:p>
      <w:pPr>
        <w:widowControl/>
        <w:spacing w:line="320" w:lineRule="exact"/>
        <w:jc w:val="left"/>
        <w:rPr>
          <w:rFonts w:ascii="宋体" w:hAnsi="宋体" w:cs="宋体"/>
          <w:bCs/>
          <w:smallCaps/>
          <w:color w:val="000000"/>
          <w:kern w:val="0"/>
          <w:sz w:val="24"/>
        </w:rPr>
      </w:pPr>
      <w:r>
        <w:rPr>
          <w:rFonts w:hint="eastAsia" w:ascii="宋体" w:hAnsi="宋体" w:cs="宋体"/>
          <w:bCs/>
          <w:smallCaps/>
          <w:color w:val="000000"/>
          <w:kern w:val="0"/>
          <w:sz w:val="24"/>
        </w:rPr>
        <w:t xml:space="preserve">   （四）对每一提案的审议经过、发言要点和表决结果；</w:t>
      </w:r>
    </w:p>
    <w:p>
      <w:pPr>
        <w:widowControl/>
        <w:spacing w:line="320" w:lineRule="exact"/>
        <w:jc w:val="left"/>
        <w:rPr>
          <w:rFonts w:ascii="宋体" w:hAnsi="宋体" w:cs="宋体"/>
          <w:bCs/>
          <w:smallCaps/>
          <w:color w:val="000000"/>
          <w:kern w:val="0"/>
          <w:sz w:val="24"/>
        </w:rPr>
      </w:pPr>
      <w:r>
        <w:rPr>
          <w:rFonts w:hint="eastAsia" w:ascii="宋体" w:hAnsi="宋体" w:cs="宋体"/>
          <w:bCs/>
          <w:smallCaps/>
          <w:color w:val="000000"/>
          <w:kern w:val="0"/>
          <w:sz w:val="24"/>
        </w:rPr>
        <w:t xml:space="preserve">   （五）股东的质询意见、建议及相应的答复或说明等内容；</w:t>
      </w:r>
    </w:p>
    <w:p>
      <w:pPr>
        <w:widowControl/>
        <w:spacing w:line="320" w:lineRule="exact"/>
        <w:jc w:val="left"/>
        <w:rPr>
          <w:rFonts w:ascii="宋体" w:hAnsi="宋体" w:cs="宋体"/>
          <w:bCs/>
          <w:smallCaps/>
          <w:color w:val="000000"/>
          <w:kern w:val="0"/>
          <w:sz w:val="24"/>
        </w:rPr>
      </w:pPr>
      <w:r>
        <w:rPr>
          <w:rFonts w:hint="eastAsia" w:ascii="宋体" w:hAnsi="宋体" w:cs="宋体"/>
          <w:bCs/>
          <w:smallCaps/>
          <w:color w:val="000000"/>
          <w:kern w:val="0"/>
          <w:sz w:val="24"/>
        </w:rPr>
        <w:t xml:space="preserve">   （六）律师及计票人、监票人姓名；</w:t>
      </w:r>
    </w:p>
    <w:p>
      <w:pPr>
        <w:widowControl/>
        <w:spacing w:line="320" w:lineRule="exact"/>
        <w:jc w:val="left"/>
        <w:rPr>
          <w:rFonts w:ascii="宋体" w:hAnsi="宋体" w:cs="宋体"/>
          <w:bCs/>
          <w:smallCaps/>
          <w:color w:val="000000"/>
          <w:kern w:val="0"/>
          <w:sz w:val="24"/>
        </w:rPr>
      </w:pPr>
      <w:r>
        <w:rPr>
          <w:rFonts w:hint="eastAsia" w:ascii="宋体" w:hAnsi="宋体" w:cs="宋体"/>
          <w:bCs/>
          <w:smallCaps/>
          <w:color w:val="000000"/>
          <w:kern w:val="0"/>
          <w:sz w:val="24"/>
        </w:rPr>
        <w:t xml:space="preserve">   （七）股东大会认为和本章程规定应当载入会议记录的其他内容。</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rPr>
      </w:pPr>
      <w:r>
        <w:rPr>
          <w:rFonts w:hint="eastAsia" w:ascii="宋体" w:hAnsi="宋体" w:cs="宋体"/>
          <w:bCs/>
          <w:smallCaps/>
          <w:color w:val="000000"/>
          <w:kern w:val="0"/>
          <w:sz w:val="24"/>
        </w:rPr>
        <w:t>召集人应当保证会议记录内容真实、准确和完整。出席会议的董事、监事、董事会秘书、召集人或其代表、会议主持人应当在会议记录上签名。会议记录应当与现场出席股东的签名册及代理出席的授权委托书、网络及其他方式表决情况的有效资料，一并作为本行档案，按照本行档案管理规定保存，保存期限</w:t>
      </w:r>
      <w:r>
        <w:rPr>
          <w:rFonts w:hint="eastAsia" w:ascii="宋体" w:hAnsi="宋体" w:cs="宋体"/>
          <w:bCs/>
          <w:smallCaps/>
          <w:color w:val="000000"/>
          <w:kern w:val="0"/>
          <w:sz w:val="24"/>
          <w:lang w:val="en-US" w:eastAsia="zh-CN"/>
        </w:rPr>
        <w:t>为永久</w:t>
      </w:r>
      <w:r>
        <w:rPr>
          <w:rFonts w:hint="eastAsia" w:ascii="宋体" w:hAnsi="宋体" w:cs="宋体"/>
          <w:bCs/>
          <w:smallCaps/>
          <w:color w:val="000000"/>
          <w:kern w:val="0"/>
          <w:sz w:val="24"/>
        </w:rPr>
        <w:t>。</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rPr>
      </w:pPr>
      <w:r>
        <w:rPr>
          <w:rFonts w:hint="eastAsia" w:ascii="宋体" w:hAnsi="宋体" w:cs="宋体"/>
          <w:bCs/>
          <w:smallCaps/>
          <w:color w:val="000000"/>
          <w:kern w:val="0"/>
          <w:sz w:val="24"/>
        </w:rPr>
        <w:t>召集人应当保证股东大会连续举行，直至形成最终决议。因不可抗力等特殊原因导致股东大会中止或不能作出决议的，应采取必要措施尽快恢复召开股东大会或直接终止本次股东大会，并及时公告。同时，召集人应向本行所在地中国银行业监督管理机构、中国证券监督管理机构及证券交易所报告。</w:t>
      </w:r>
    </w:p>
    <w:p>
      <w:pPr>
        <w:widowControl/>
        <w:spacing w:line="320" w:lineRule="exact"/>
        <w:ind w:left="480"/>
        <w:jc w:val="left"/>
        <w:rPr>
          <w:rFonts w:ascii="宋体" w:hAnsi="宋体" w:cs="宋体"/>
          <w:b/>
          <w:bCs/>
          <w:smallCaps/>
          <w:color w:val="000000"/>
          <w:kern w:val="0"/>
          <w:sz w:val="24"/>
        </w:rPr>
      </w:pPr>
    </w:p>
    <w:p>
      <w:pPr>
        <w:widowControl/>
        <w:spacing w:line="320" w:lineRule="exact"/>
        <w:ind w:left="482" w:firstLine="2880"/>
        <w:jc w:val="left"/>
        <w:outlineLvl w:val="1"/>
        <w:rPr>
          <w:rFonts w:ascii="宋体" w:hAnsi="宋体" w:cs="宋体"/>
          <w:b/>
          <w:bCs/>
          <w:smallCaps/>
          <w:color w:val="000000"/>
          <w:kern w:val="0"/>
          <w:sz w:val="24"/>
        </w:rPr>
      </w:pPr>
      <w:bookmarkStart w:id="39" w:name="_Toc41895455"/>
      <w:bookmarkStart w:id="40" w:name="_Toc13080"/>
      <w:bookmarkStart w:id="41" w:name="_Toc2809"/>
      <w:r>
        <w:rPr>
          <w:rFonts w:ascii="宋体" w:hAnsi="宋体" w:cs="宋体"/>
          <w:b/>
          <w:bCs/>
          <w:smallCaps/>
          <w:color w:val="000000"/>
          <w:kern w:val="0"/>
          <w:sz w:val="24"/>
        </w:rPr>
        <w:t>第</w:t>
      </w:r>
      <w:r>
        <w:rPr>
          <w:rFonts w:hint="eastAsia" w:ascii="宋体" w:hAnsi="宋体" w:cs="宋体"/>
          <w:b/>
          <w:bCs/>
          <w:smallCaps/>
          <w:color w:val="000000"/>
          <w:kern w:val="0"/>
          <w:sz w:val="24"/>
        </w:rPr>
        <w:t>六</w:t>
      </w:r>
      <w:r>
        <w:rPr>
          <w:rFonts w:ascii="宋体" w:hAnsi="宋体" w:cs="宋体"/>
          <w:b/>
          <w:bCs/>
          <w:smallCaps/>
          <w:color w:val="000000"/>
          <w:kern w:val="0"/>
          <w:sz w:val="24"/>
        </w:rPr>
        <w:t>节　股东大会</w:t>
      </w:r>
      <w:r>
        <w:rPr>
          <w:rFonts w:hint="eastAsia" w:ascii="宋体" w:hAnsi="宋体" w:cs="宋体"/>
          <w:b/>
          <w:bCs/>
          <w:smallCaps/>
          <w:color w:val="000000"/>
          <w:kern w:val="0"/>
          <w:sz w:val="24"/>
        </w:rPr>
        <w:t>的表决和</w:t>
      </w:r>
      <w:r>
        <w:rPr>
          <w:rFonts w:ascii="宋体" w:hAnsi="宋体" w:cs="宋体"/>
          <w:b/>
          <w:bCs/>
          <w:smallCaps/>
          <w:color w:val="000000"/>
          <w:kern w:val="0"/>
          <w:sz w:val="24"/>
        </w:rPr>
        <w:t>决议</w:t>
      </w:r>
      <w:bookmarkEnd w:id="39"/>
      <w:bookmarkEnd w:id="40"/>
      <w:bookmarkEnd w:id="41"/>
    </w:p>
    <w:p>
      <w:pPr>
        <w:widowControl/>
        <w:spacing w:line="320" w:lineRule="exact"/>
        <w:ind w:left="480" w:firstLine="2880"/>
        <w:jc w:val="left"/>
        <w:rPr>
          <w:rFonts w:ascii="宋体" w:hAnsi="宋体" w:cs="宋体"/>
          <w:b/>
          <w:bCs/>
          <w:smallCaps/>
          <w:color w:val="000000"/>
          <w:kern w:val="0"/>
          <w:sz w:val="24"/>
        </w:rPr>
      </w:pP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　</w:t>
      </w:r>
      <w:r>
        <w:rPr>
          <w:rFonts w:hint="eastAsia" w:ascii="宋体" w:hAnsi="宋体" w:cs="宋体"/>
          <w:bCs/>
          <w:smallCaps/>
          <w:color w:val="000000"/>
          <w:kern w:val="0"/>
          <w:sz w:val="24"/>
          <w:szCs w:val="20"/>
        </w:rPr>
        <w:t>股东（包括股东代理人）以其所代表的有表决权的股份数额行使表决权，本行</w:t>
      </w:r>
      <w:r>
        <w:rPr>
          <w:rFonts w:ascii="宋体" w:hAnsi="宋体" w:cs="宋体"/>
          <w:bCs/>
          <w:smallCaps/>
          <w:color w:val="000000"/>
          <w:kern w:val="0"/>
          <w:sz w:val="24"/>
          <w:szCs w:val="20"/>
        </w:rPr>
        <w:t>每一股份享有一票表决权。</w:t>
      </w:r>
    </w:p>
    <w:p>
      <w:pPr>
        <w:widowControl/>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股东大会审议影响中小投资者利益的重大事项时，对中小投资者表决应当单独计票。单独计票结果应当及时公开披露。</w:t>
      </w:r>
    </w:p>
    <w:p>
      <w:pPr>
        <w:widowControl/>
        <w:tabs>
          <w:tab w:val="left" w:pos="567"/>
        </w:tabs>
        <w:spacing w:line="320" w:lineRule="exact"/>
        <w:ind w:firstLine="480" w:firstLineChars="200"/>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rPr>
        <w:t>本行持有的本行股份没有表决权，且该部分股份不计入出席股东大会有表决权的股份总数。</w:t>
      </w:r>
    </w:p>
    <w:p>
      <w:pPr>
        <w:widowControl/>
        <w:tabs>
          <w:tab w:val="left" w:pos="567"/>
        </w:tabs>
        <w:spacing w:line="320" w:lineRule="exact"/>
        <w:ind w:firstLine="480" w:firstLineChars="200"/>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rPr>
        <w:t>股东买入</w:t>
      </w:r>
      <w:r>
        <w:rPr>
          <w:rFonts w:hint="eastAsia" w:ascii="宋体" w:hAnsi="宋体" w:cs="宋体"/>
          <w:bCs/>
          <w:smallCaps/>
          <w:color w:val="000000"/>
          <w:kern w:val="0"/>
          <w:sz w:val="24"/>
          <w:szCs w:val="20"/>
          <w:lang w:val="en-US" w:eastAsia="zh-CN"/>
        </w:rPr>
        <w:t>本行</w:t>
      </w:r>
      <w:r>
        <w:rPr>
          <w:rFonts w:hint="eastAsia" w:ascii="宋体" w:hAnsi="宋体" w:cs="宋体"/>
          <w:bCs/>
          <w:smallCaps/>
          <w:color w:val="000000"/>
          <w:kern w:val="0"/>
          <w:sz w:val="24"/>
          <w:szCs w:val="20"/>
        </w:rPr>
        <w:t>有表决权的股份违反《证券法》第六十三条第一款、第二款规定的，该超过规定比例部分的股份在买入后的三十六个月内不得行使表决权，且不计入出席股东大会有表决权的股份总数。</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本行董事会、独立董事</w:t>
      </w:r>
      <w:r>
        <w:rPr>
          <w:rFonts w:hint="eastAsia" w:ascii="宋体" w:hAnsi="宋体" w:cs="宋体"/>
          <w:bCs/>
          <w:smallCaps/>
          <w:color w:val="000000"/>
          <w:kern w:val="0"/>
          <w:sz w:val="24"/>
          <w:szCs w:val="20"/>
          <w:lang w:eastAsia="zh-CN"/>
        </w:rPr>
        <w:t>、</w:t>
      </w:r>
      <w:r>
        <w:rPr>
          <w:rFonts w:hint="eastAsia" w:ascii="宋体" w:hAnsi="宋体" w:cs="宋体"/>
          <w:bCs/>
          <w:smallCaps/>
          <w:color w:val="000000"/>
          <w:kern w:val="0"/>
          <w:sz w:val="24"/>
          <w:szCs w:val="20"/>
        </w:rPr>
        <w:t>持有百分之一以上有表决权股份的股东或者依照法律、行政法规或者中国证监会的规定设立的投资者保护机构可以征集股东投票权。征集股东投票权应当向被征集人充分披露具体投票意向等信息。禁止以有偿或者变相有偿的方式征集股东投票权。</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股东大会决议分为普通决议和特别决议。</w:t>
      </w:r>
    </w:p>
    <w:p>
      <w:pPr>
        <w:widowControl/>
        <w:spacing w:line="320" w:lineRule="exact"/>
        <w:ind w:firstLine="480"/>
        <w:jc w:val="left"/>
        <w:rPr>
          <w:rFonts w:ascii="宋体" w:hAnsi="宋体" w:cs="宋体"/>
          <w:color w:val="000000"/>
          <w:kern w:val="0"/>
          <w:sz w:val="24"/>
        </w:rPr>
      </w:pPr>
      <w:r>
        <w:rPr>
          <w:rFonts w:ascii="宋体" w:hAnsi="宋体" w:cs="宋体"/>
          <w:color w:val="000000"/>
          <w:kern w:val="0"/>
          <w:sz w:val="24"/>
        </w:rPr>
        <w:t>股东大会作出普通决议，应当由出席股东大会的股东（包括股东代理人）所持表决权的</w:t>
      </w:r>
      <w:r>
        <w:rPr>
          <w:rFonts w:hint="eastAsia" w:ascii="宋体" w:hAnsi="宋体" w:cs="宋体"/>
          <w:color w:val="000000"/>
          <w:kern w:val="0"/>
          <w:sz w:val="24"/>
          <w:lang w:val="en-US" w:eastAsia="zh-CN"/>
        </w:rPr>
        <w:t>过半数</w:t>
      </w:r>
      <w:r>
        <w:rPr>
          <w:rFonts w:ascii="宋体" w:hAnsi="宋体" w:cs="宋体"/>
          <w:color w:val="000000"/>
          <w:kern w:val="0"/>
          <w:sz w:val="24"/>
        </w:rPr>
        <w:t>通过。</w:t>
      </w:r>
    </w:p>
    <w:p>
      <w:pPr>
        <w:widowControl/>
        <w:spacing w:line="320" w:lineRule="exact"/>
        <w:ind w:firstLine="480"/>
        <w:jc w:val="left"/>
        <w:rPr>
          <w:rFonts w:ascii="宋体" w:hAnsi="宋体" w:cs="宋体"/>
          <w:color w:val="000000"/>
          <w:kern w:val="0"/>
          <w:sz w:val="24"/>
        </w:rPr>
      </w:pPr>
      <w:r>
        <w:rPr>
          <w:rFonts w:ascii="宋体" w:hAnsi="宋体" w:cs="宋体"/>
          <w:color w:val="000000"/>
          <w:kern w:val="0"/>
          <w:sz w:val="24"/>
        </w:rPr>
        <w:t>股东大会作出特别决议，应当由出席股东大会的股东（包括股东代理人）所持表决权的三分之二以上通过。</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　下列事项由股东大会以普通决议通过：</w:t>
      </w:r>
    </w:p>
    <w:p>
      <w:pPr>
        <w:numPr>
          <w:ilvl w:val="0"/>
          <w:numId w:val="13"/>
        </w:numPr>
        <w:tabs>
          <w:tab w:val="left" w:pos="0"/>
          <w:tab w:val="clear" w:pos="1200"/>
        </w:tabs>
        <w:spacing w:line="320" w:lineRule="exact"/>
        <w:ind w:left="0" w:firstLine="480"/>
        <w:rPr>
          <w:rFonts w:ascii="宋体" w:hAnsi="宋体"/>
          <w:sz w:val="24"/>
        </w:rPr>
      </w:pPr>
      <w:r>
        <w:rPr>
          <w:rFonts w:hint="eastAsia" w:ascii="宋体" w:hAnsi="宋体"/>
          <w:sz w:val="24"/>
        </w:rPr>
        <w:t>本行经营方针、投资计划；</w:t>
      </w:r>
    </w:p>
    <w:p>
      <w:pPr>
        <w:numPr>
          <w:ilvl w:val="0"/>
          <w:numId w:val="13"/>
        </w:numPr>
        <w:tabs>
          <w:tab w:val="left" w:pos="0"/>
          <w:tab w:val="clear" w:pos="1200"/>
        </w:tabs>
        <w:spacing w:line="320" w:lineRule="exact"/>
        <w:ind w:left="0" w:firstLine="480"/>
        <w:rPr>
          <w:rFonts w:ascii="宋体" w:hAnsi="宋体"/>
          <w:sz w:val="24"/>
        </w:rPr>
      </w:pPr>
      <w:r>
        <w:rPr>
          <w:rFonts w:ascii="宋体" w:hAnsi="宋体"/>
          <w:sz w:val="24"/>
        </w:rPr>
        <w:t>董事会和监事会的工作报告；</w:t>
      </w:r>
    </w:p>
    <w:p>
      <w:pPr>
        <w:numPr>
          <w:ilvl w:val="0"/>
          <w:numId w:val="13"/>
        </w:numPr>
        <w:tabs>
          <w:tab w:val="left" w:pos="0"/>
          <w:tab w:val="clear" w:pos="1200"/>
        </w:tabs>
        <w:spacing w:line="320" w:lineRule="exact"/>
        <w:ind w:left="0" w:firstLine="480"/>
        <w:rPr>
          <w:rFonts w:ascii="宋体" w:hAnsi="宋体"/>
          <w:sz w:val="24"/>
        </w:rPr>
      </w:pPr>
      <w:r>
        <w:rPr>
          <w:rFonts w:ascii="宋体" w:hAnsi="宋体"/>
          <w:sz w:val="24"/>
        </w:rPr>
        <w:t>董事会拟定的利润分配方案和弥补亏损方案；</w:t>
      </w:r>
    </w:p>
    <w:p>
      <w:pPr>
        <w:numPr>
          <w:ilvl w:val="0"/>
          <w:numId w:val="13"/>
        </w:numPr>
        <w:tabs>
          <w:tab w:val="left" w:pos="0"/>
          <w:tab w:val="clear" w:pos="1200"/>
        </w:tabs>
        <w:spacing w:line="320" w:lineRule="exact"/>
        <w:ind w:left="0" w:firstLine="480"/>
        <w:rPr>
          <w:rFonts w:ascii="宋体" w:hAnsi="宋体"/>
          <w:sz w:val="24"/>
        </w:rPr>
      </w:pPr>
      <w:r>
        <w:rPr>
          <w:rFonts w:ascii="宋体" w:hAnsi="宋体"/>
          <w:sz w:val="24"/>
        </w:rPr>
        <w:t>董事会和监事会成员的任免</w:t>
      </w:r>
      <w:r>
        <w:rPr>
          <w:rFonts w:hint="eastAsia" w:ascii="宋体" w:hAnsi="宋体"/>
          <w:sz w:val="24"/>
        </w:rPr>
        <w:t>（职工监事除外）</w:t>
      </w:r>
      <w:r>
        <w:rPr>
          <w:rFonts w:ascii="宋体" w:hAnsi="宋体"/>
          <w:sz w:val="24"/>
        </w:rPr>
        <w:t>及其报酬和支付方法；</w:t>
      </w:r>
    </w:p>
    <w:p>
      <w:pPr>
        <w:numPr>
          <w:ilvl w:val="0"/>
          <w:numId w:val="13"/>
        </w:numPr>
        <w:tabs>
          <w:tab w:val="left" w:pos="0"/>
          <w:tab w:val="clear" w:pos="1200"/>
        </w:tabs>
        <w:spacing w:line="320" w:lineRule="exact"/>
        <w:ind w:left="0" w:firstLine="480"/>
        <w:rPr>
          <w:rFonts w:ascii="宋体" w:hAnsi="宋体"/>
          <w:sz w:val="24"/>
        </w:rPr>
      </w:pPr>
      <w:r>
        <w:rPr>
          <w:rFonts w:hint="eastAsia" w:ascii="宋体" w:hAnsi="宋体"/>
          <w:sz w:val="24"/>
        </w:rPr>
        <w:t>本行</w:t>
      </w:r>
      <w:r>
        <w:rPr>
          <w:rFonts w:ascii="宋体" w:hAnsi="宋体"/>
          <w:sz w:val="24"/>
        </w:rPr>
        <w:t>年度</w:t>
      </w:r>
      <w:r>
        <w:rPr>
          <w:rFonts w:hint="eastAsia" w:ascii="宋体" w:hAnsi="宋体"/>
          <w:sz w:val="24"/>
        </w:rPr>
        <w:t>财务</w:t>
      </w:r>
      <w:r>
        <w:rPr>
          <w:rFonts w:ascii="宋体" w:hAnsi="宋体"/>
          <w:sz w:val="24"/>
        </w:rPr>
        <w:t>预算方案、决算方案；</w:t>
      </w:r>
    </w:p>
    <w:p>
      <w:pPr>
        <w:numPr>
          <w:ilvl w:val="0"/>
          <w:numId w:val="13"/>
        </w:numPr>
        <w:tabs>
          <w:tab w:val="left" w:pos="0"/>
          <w:tab w:val="clear" w:pos="1200"/>
        </w:tabs>
        <w:spacing w:line="320" w:lineRule="exact"/>
        <w:ind w:left="0" w:firstLine="480"/>
        <w:rPr>
          <w:rFonts w:ascii="宋体" w:hAnsi="宋体"/>
          <w:sz w:val="24"/>
        </w:rPr>
      </w:pPr>
      <w:r>
        <w:rPr>
          <w:rFonts w:hint="eastAsia" w:ascii="宋体" w:hAnsi="宋体"/>
          <w:sz w:val="24"/>
          <w:lang w:val="en-US" w:eastAsia="zh-CN"/>
        </w:rPr>
        <w:t>本行</w:t>
      </w:r>
      <w:r>
        <w:rPr>
          <w:rFonts w:hint="eastAsia" w:ascii="宋体" w:hAnsi="宋体"/>
          <w:sz w:val="24"/>
        </w:rPr>
        <w:t>年度报告</w:t>
      </w:r>
      <w:r>
        <w:rPr>
          <w:rFonts w:hint="eastAsia" w:ascii="宋体" w:hAnsi="宋体"/>
          <w:sz w:val="24"/>
          <w:lang w:eastAsia="zh-CN"/>
        </w:rPr>
        <w:t>；</w:t>
      </w:r>
    </w:p>
    <w:p>
      <w:pPr>
        <w:numPr>
          <w:ilvl w:val="0"/>
          <w:numId w:val="13"/>
        </w:numPr>
        <w:tabs>
          <w:tab w:val="left" w:pos="0"/>
          <w:tab w:val="clear" w:pos="1200"/>
        </w:tabs>
        <w:spacing w:line="320" w:lineRule="exact"/>
        <w:ind w:left="0" w:firstLine="480"/>
        <w:rPr>
          <w:rFonts w:ascii="宋体" w:hAnsi="宋体"/>
          <w:sz w:val="24"/>
        </w:rPr>
      </w:pPr>
      <w:r>
        <w:rPr>
          <w:rFonts w:hint="eastAsia" w:ascii="宋体" w:hAnsi="宋体"/>
          <w:sz w:val="24"/>
        </w:rPr>
        <w:t>聘任、解聘为</w:t>
      </w:r>
      <w:r>
        <w:rPr>
          <w:rFonts w:hint="eastAsia" w:ascii="宋体" w:hAnsi="宋体"/>
          <w:sz w:val="24"/>
          <w:lang w:val="en-US" w:eastAsia="zh-CN"/>
        </w:rPr>
        <w:t>本行</w:t>
      </w:r>
      <w:r>
        <w:rPr>
          <w:rFonts w:hint="eastAsia" w:ascii="宋体" w:hAnsi="宋体"/>
          <w:sz w:val="24"/>
        </w:rPr>
        <w:t>财务报告进行定期法定审计的会计师事务所；</w:t>
      </w:r>
    </w:p>
    <w:p>
      <w:pPr>
        <w:numPr>
          <w:ilvl w:val="0"/>
          <w:numId w:val="13"/>
        </w:numPr>
        <w:tabs>
          <w:tab w:val="left" w:pos="0"/>
          <w:tab w:val="clear" w:pos="1200"/>
        </w:tabs>
        <w:spacing w:line="320" w:lineRule="exact"/>
        <w:ind w:left="0" w:firstLine="480"/>
        <w:rPr>
          <w:rFonts w:ascii="宋体" w:hAnsi="宋体"/>
          <w:sz w:val="24"/>
        </w:rPr>
      </w:pPr>
      <w:r>
        <w:rPr>
          <w:rFonts w:ascii="宋体" w:hAnsi="宋体"/>
          <w:sz w:val="24"/>
        </w:rPr>
        <w:t>除法律、行政法规或者</w:t>
      </w:r>
      <w:r>
        <w:rPr>
          <w:rFonts w:hint="eastAsia" w:ascii="宋体" w:hAnsi="宋体"/>
          <w:sz w:val="24"/>
        </w:rPr>
        <w:t>本</w:t>
      </w:r>
      <w:r>
        <w:rPr>
          <w:rFonts w:ascii="宋体" w:hAnsi="宋体"/>
          <w:sz w:val="24"/>
        </w:rPr>
        <w:t>章程规定应当以特别决议通过以外的其他事项。</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　下列事项由股东大会以特别决议通过：</w:t>
      </w:r>
    </w:p>
    <w:p>
      <w:pPr>
        <w:widowControl/>
        <w:numPr>
          <w:ilvl w:val="0"/>
          <w:numId w:val="14"/>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本行</w:t>
      </w:r>
      <w:r>
        <w:rPr>
          <w:rFonts w:ascii="宋体" w:hAnsi="宋体" w:cs="宋体"/>
          <w:color w:val="000000"/>
          <w:kern w:val="0"/>
          <w:sz w:val="24"/>
        </w:rPr>
        <w:t>增加或者减少注册资本</w:t>
      </w:r>
      <w:r>
        <w:rPr>
          <w:rFonts w:hint="eastAsia" w:ascii="宋体" w:hAnsi="宋体" w:cs="宋体"/>
          <w:color w:val="000000"/>
          <w:kern w:val="0"/>
          <w:sz w:val="24"/>
        </w:rPr>
        <w:t>、发行债券或其他有价证券及上市方案</w:t>
      </w:r>
      <w:r>
        <w:rPr>
          <w:rFonts w:ascii="宋体" w:hAnsi="宋体" w:cs="宋体"/>
          <w:color w:val="000000"/>
          <w:kern w:val="0"/>
          <w:sz w:val="24"/>
        </w:rPr>
        <w:t>；</w:t>
      </w:r>
    </w:p>
    <w:p>
      <w:pPr>
        <w:widowControl/>
        <w:numPr>
          <w:ilvl w:val="0"/>
          <w:numId w:val="14"/>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本行</w:t>
      </w:r>
      <w:r>
        <w:rPr>
          <w:rFonts w:ascii="宋体" w:hAnsi="宋体" w:cs="宋体"/>
          <w:color w:val="000000"/>
          <w:kern w:val="0"/>
          <w:sz w:val="24"/>
        </w:rPr>
        <w:t>的</w:t>
      </w:r>
      <w:r>
        <w:rPr>
          <w:rFonts w:hint="eastAsia" w:ascii="宋体" w:hAnsi="宋体" w:cs="宋体"/>
          <w:color w:val="000000"/>
          <w:kern w:val="0"/>
          <w:sz w:val="24"/>
        </w:rPr>
        <w:t>分</w:t>
      </w:r>
      <w:r>
        <w:rPr>
          <w:rFonts w:ascii="宋体" w:hAnsi="宋体" w:cs="宋体"/>
          <w:color w:val="000000"/>
          <w:kern w:val="0"/>
          <w:sz w:val="24"/>
        </w:rPr>
        <w:t>立、</w:t>
      </w:r>
      <w:r>
        <w:rPr>
          <w:rFonts w:hint="eastAsia" w:ascii="宋体" w:hAnsi="宋体" w:cs="宋体"/>
          <w:color w:val="000000"/>
          <w:kern w:val="0"/>
          <w:sz w:val="24"/>
          <w:lang w:val="en-US" w:eastAsia="zh-CN"/>
        </w:rPr>
        <w:t>分拆、</w:t>
      </w:r>
      <w:r>
        <w:rPr>
          <w:rFonts w:ascii="宋体" w:hAnsi="宋体" w:cs="宋体"/>
          <w:color w:val="000000"/>
          <w:kern w:val="0"/>
          <w:sz w:val="24"/>
        </w:rPr>
        <w:t>合并、解散和清算；</w:t>
      </w:r>
    </w:p>
    <w:p>
      <w:pPr>
        <w:widowControl/>
        <w:numPr>
          <w:ilvl w:val="0"/>
          <w:numId w:val="14"/>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本</w:t>
      </w:r>
      <w:r>
        <w:rPr>
          <w:rFonts w:ascii="宋体" w:hAnsi="宋体" w:cs="宋体"/>
          <w:color w:val="000000"/>
          <w:kern w:val="0"/>
          <w:sz w:val="24"/>
        </w:rPr>
        <w:t>章程的修改；</w:t>
      </w:r>
    </w:p>
    <w:p>
      <w:pPr>
        <w:widowControl/>
        <w:numPr>
          <w:ilvl w:val="0"/>
          <w:numId w:val="14"/>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回购本</w:t>
      </w:r>
      <w:r>
        <w:rPr>
          <w:rFonts w:hint="eastAsia" w:ascii="宋体" w:hAnsi="宋体" w:cs="宋体"/>
          <w:color w:val="000000"/>
          <w:kern w:val="0"/>
          <w:sz w:val="24"/>
        </w:rPr>
        <w:t>行</w:t>
      </w:r>
      <w:r>
        <w:rPr>
          <w:rFonts w:ascii="宋体" w:hAnsi="宋体" w:cs="宋体"/>
          <w:color w:val="000000"/>
          <w:kern w:val="0"/>
          <w:sz w:val="24"/>
        </w:rPr>
        <w:t>股票；</w:t>
      </w:r>
    </w:p>
    <w:p>
      <w:pPr>
        <w:widowControl/>
        <w:numPr>
          <w:ilvl w:val="0"/>
          <w:numId w:val="14"/>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sz w:val="24"/>
        </w:rPr>
        <w:t>本章程第一百二十七条涉及的由本行股东大会审议批准的重大投资及重大资产购置与处置方案</w:t>
      </w:r>
      <w:r>
        <w:rPr>
          <w:rFonts w:hint="eastAsia" w:ascii="宋体" w:hAnsi="宋体" w:cs="宋体"/>
          <w:color w:val="000000"/>
          <w:kern w:val="0"/>
          <w:sz w:val="24"/>
        </w:rPr>
        <w:t>；</w:t>
      </w:r>
    </w:p>
    <w:p>
      <w:pPr>
        <w:widowControl/>
        <w:numPr>
          <w:ilvl w:val="0"/>
          <w:numId w:val="14"/>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股东大会议事规则、董事会、监事会议事规则；</w:t>
      </w:r>
    </w:p>
    <w:p>
      <w:pPr>
        <w:widowControl/>
        <w:numPr>
          <w:ilvl w:val="0"/>
          <w:numId w:val="14"/>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股权激励计划；</w:t>
      </w:r>
    </w:p>
    <w:p>
      <w:pPr>
        <w:widowControl/>
        <w:numPr>
          <w:ilvl w:val="0"/>
          <w:numId w:val="14"/>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lang w:val="en-US" w:eastAsia="zh-CN"/>
        </w:rPr>
        <w:t>罢免独立董事；</w:t>
      </w:r>
    </w:p>
    <w:p>
      <w:pPr>
        <w:widowControl/>
        <w:numPr>
          <w:ilvl w:val="0"/>
          <w:numId w:val="14"/>
        </w:numPr>
        <w:tabs>
          <w:tab w:val="left" w:pos="0"/>
          <w:tab w:val="clear" w:pos="1200"/>
        </w:tabs>
        <w:spacing w:line="320" w:lineRule="exact"/>
        <w:ind w:left="0" w:firstLine="480"/>
        <w:jc w:val="left"/>
        <w:rPr>
          <w:rFonts w:ascii="宋体" w:hAnsi="宋体" w:cs="宋体"/>
          <w:bCs/>
          <w:smallCaps/>
          <w:color w:val="000000"/>
          <w:kern w:val="0"/>
          <w:sz w:val="24"/>
          <w:szCs w:val="20"/>
        </w:rPr>
      </w:pPr>
      <w:r>
        <w:rPr>
          <w:rFonts w:hint="eastAsia" w:ascii="宋体" w:hAnsi="宋体" w:cs="宋体"/>
          <w:color w:val="000000"/>
          <w:kern w:val="0"/>
          <w:sz w:val="24"/>
        </w:rPr>
        <w:t>法律、行政法规或本章程规定的，以及</w:t>
      </w:r>
      <w:r>
        <w:rPr>
          <w:rFonts w:ascii="宋体" w:hAnsi="宋体" w:cs="宋体"/>
          <w:color w:val="000000"/>
          <w:kern w:val="0"/>
          <w:sz w:val="24"/>
        </w:rPr>
        <w:t>股东大会以普通决议认定会对</w:t>
      </w:r>
      <w:r>
        <w:rPr>
          <w:rFonts w:hint="eastAsia" w:ascii="宋体" w:hAnsi="宋体" w:cs="宋体"/>
          <w:color w:val="000000"/>
          <w:kern w:val="0"/>
          <w:sz w:val="24"/>
        </w:rPr>
        <w:t>本行</w:t>
      </w:r>
      <w:r>
        <w:rPr>
          <w:rFonts w:ascii="宋体" w:hAnsi="宋体" w:cs="宋体"/>
          <w:color w:val="000000"/>
          <w:kern w:val="0"/>
          <w:sz w:val="24"/>
        </w:rPr>
        <w:t>产生重大影响的、需要以特别决议通过的其他事项。</w:t>
      </w:r>
      <w:r>
        <w:rPr>
          <w:rFonts w:ascii="宋体" w:hAnsi="宋体" w:cs="宋体"/>
          <w:bCs/>
          <w:smallCaps/>
          <w:color w:val="000000"/>
          <w:kern w:val="0"/>
          <w:sz w:val="24"/>
          <w:szCs w:val="20"/>
        </w:rPr>
        <w:t>　</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除本行处于危机等特殊情况外，</w:t>
      </w:r>
      <w:r>
        <w:rPr>
          <w:rFonts w:ascii="宋体" w:hAnsi="宋体" w:cs="宋体"/>
          <w:bCs/>
          <w:smallCaps/>
          <w:color w:val="000000"/>
          <w:kern w:val="0"/>
          <w:sz w:val="24"/>
          <w:szCs w:val="20"/>
        </w:rPr>
        <w:t>非经股东大会以特别决议批准，</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不得与董事、</w:t>
      </w:r>
      <w:r>
        <w:rPr>
          <w:rFonts w:hint="eastAsia" w:ascii="宋体" w:hAnsi="宋体" w:cs="宋体"/>
          <w:bCs/>
          <w:smallCaps/>
          <w:color w:val="000000"/>
          <w:kern w:val="0"/>
          <w:sz w:val="24"/>
          <w:szCs w:val="20"/>
        </w:rPr>
        <w:t>高级管理人员</w:t>
      </w:r>
      <w:r>
        <w:rPr>
          <w:rFonts w:ascii="宋体" w:hAnsi="宋体" w:cs="宋体"/>
          <w:bCs/>
          <w:smallCaps/>
          <w:color w:val="000000"/>
          <w:kern w:val="0"/>
          <w:sz w:val="24"/>
          <w:szCs w:val="20"/>
        </w:rPr>
        <w:t>以外的人订立将</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全部或者重要业务的管理交予该人负责的合同。</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董事、监事提名及选举的程序为：</w:t>
      </w:r>
    </w:p>
    <w:p>
      <w:pPr>
        <w:widowControl/>
        <w:numPr>
          <w:ilvl w:val="0"/>
          <w:numId w:val="15"/>
        </w:numPr>
        <w:spacing w:line="320" w:lineRule="exact"/>
        <w:ind w:left="0" w:firstLine="480"/>
        <w:jc w:val="left"/>
        <w:rPr>
          <w:rFonts w:hint="eastAsia" w:ascii="宋体" w:hAnsi="宋体" w:cs="宋体"/>
          <w:color w:val="000000"/>
          <w:kern w:val="0"/>
          <w:sz w:val="24"/>
        </w:rPr>
      </w:pPr>
      <w:r>
        <w:rPr>
          <w:rFonts w:hint="eastAsia" w:ascii="宋体" w:hAnsi="宋体" w:cs="宋体"/>
          <w:color w:val="000000"/>
          <w:kern w:val="0"/>
          <w:sz w:val="24"/>
        </w:rPr>
        <w:t>在本行章程规定的董事会、监事会人数范围内，按照拟选任人数，采用以下方式提名董事、监事：</w:t>
      </w:r>
    </w:p>
    <w:p>
      <w:pPr>
        <w:widowControl/>
        <w:numPr>
          <w:ilvl w:val="-1"/>
          <w:numId w:val="0"/>
        </w:numPr>
        <w:spacing w:line="320" w:lineRule="exact"/>
        <w:ind w:left="0" w:firstLine="480" w:firstLineChars="200"/>
        <w:jc w:val="left"/>
        <w:rPr>
          <w:rFonts w:hint="eastAsia" w:ascii="宋体" w:hAnsi="宋体" w:cs="宋体"/>
          <w:color w:val="000000"/>
          <w:kern w:val="0"/>
          <w:sz w:val="24"/>
        </w:rPr>
      </w:pPr>
      <w:r>
        <w:rPr>
          <w:rFonts w:hint="eastAsia" w:ascii="宋体" w:hAnsi="宋体" w:cs="宋体"/>
          <w:color w:val="000000"/>
          <w:kern w:val="0"/>
          <w:sz w:val="24"/>
        </w:rPr>
        <w:t>1</w:t>
      </w:r>
      <w:r>
        <w:rPr>
          <w:rFonts w:hint="eastAsia" w:ascii="宋体" w:hAnsi="宋体" w:cs="宋体"/>
          <w:color w:val="000000"/>
          <w:kern w:val="0"/>
          <w:sz w:val="24"/>
          <w:lang w:eastAsia="zh-CN"/>
        </w:rPr>
        <w:t>.</w:t>
      </w:r>
      <w:r>
        <w:rPr>
          <w:rFonts w:hint="eastAsia" w:ascii="宋体" w:hAnsi="宋体" w:cs="宋体"/>
          <w:color w:val="000000"/>
          <w:kern w:val="0"/>
          <w:sz w:val="24"/>
        </w:rPr>
        <w:t>单独或者合计持有本行有表决权股份总数百分之一以上股东、董事会提名委员会、监事会可以提出独立董事候选人。已经提名非独立董事的股东及其关联方不得再提名独立董事。</w:t>
      </w:r>
    </w:p>
    <w:p>
      <w:pPr>
        <w:widowControl/>
        <w:numPr>
          <w:ilvl w:val="-1"/>
          <w:numId w:val="0"/>
        </w:numPr>
        <w:spacing w:line="320" w:lineRule="exact"/>
        <w:ind w:left="0" w:firstLine="480" w:firstLineChars="200"/>
        <w:jc w:val="left"/>
        <w:rPr>
          <w:rFonts w:hint="default" w:ascii="宋体" w:hAnsi="宋体" w:eastAsia="宋体" w:cs="宋体"/>
          <w:color w:val="000000"/>
          <w:kern w:val="0"/>
          <w:sz w:val="24"/>
          <w:lang w:val="en-US" w:eastAsia="zh-CN"/>
        </w:rPr>
      </w:pPr>
      <w:r>
        <w:rPr>
          <w:rFonts w:hint="eastAsia" w:ascii="宋体" w:hAnsi="宋体" w:cs="宋体"/>
          <w:color w:val="000000"/>
          <w:kern w:val="0"/>
          <w:sz w:val="24"/>
        </w:rPr>
        <w:t>2</w:t>
      </w:r>
      <w:r>
        <w:rPr>
          <w:rFonts w:hint="eastAsia" w:ascii="宋体" w:hAnsi="宋体" w:cs="宋体"/>
          <w:color w:val="000000"/>
          <w:kern w:val="0"/>
          <w:sz w:val="24"/>
          <w:lang w:eastAsia="zh-CN"/>
        </w:rPr>
        <w:t>.</w:t>
      </w:r>
      <w:r>
        <w:rPr>
          <w:rFonts w:hint="eastAsia" w:ascii="宋体" w:hAnsi="宋体" w:cs="宋体"/>
          <w:color w:val="000000"/>
          <w:kern w:val="0"/>
          <w:sz w:val="24"/>
        </w:rPr>
        <w:t>单独或者合计持有本行有表决权股份总数百分之三以上的股东、董事会提名委员会有权提出非独立董事候选人。同一股东及其关联方提名的董事原则上不得超过董事会成员总数的三分之一。</w:t>
      </w:r>
      <w:r>
        <w:rPr>
          <w:rFonts w:hint="eastAsia" w:ascii="宋体" w:hAnsi="宋体" w:cs="宋体"/>
          <w:color w:val="000000"/>
          <w:kern w:val="0"/>
          <w:sz w:val="24"/>
          <w:lang w:val="en-US" w:eastAsia="zh-CN"/>
        </w:rPr>
        <w:t>国家另有规定的除外。</w:t>
      </w:r>
    </w:p>
    <w:p>
      <w:pPr>
        <w:widowControl/>
        <w:numPr>
          <w:ilvl w:val="0"/>
          <w:numId w:val="0"/>
        </w:numPr>
        <w:spacing w:line="3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3</w:t>
      </w:r>
      <w:r>
        <w:rPr>
          <w:rFonts w:hint="eastAsia" w:ascii="宋体" w:hAnsi="宋体" w:cs="宋体"/>
          <w:color w:val="000000"/>
          <w:kern w:val="0"/>
          <w:sz w:val="24"/>
          <w:lang w:eastAsia="zh-CN"/>
        </w:rPr>
        <w:t>.</w:t>
      </w:r>
      <w:r>
        <w:rPr>
          <w:rFonts w:hint="eastAsia" w:ascii="宋体" w:hAnsi="宋体" w:cs="宋体"/>
          <w:color w:val="000000"/>
          <w:kern w:val="0"/>
          <w:sz w:val="24"/>
        </w:rPr>
        <w:t>股东监事由监事会、单独或合计持有</w:t>
      </w:r>
      <w:r>
        <w:rPr>
          <w:rFonts w:hint="eastAsia" w:ascii="宋体" w:hAnsi="宋体" w:cs="宋体"/>
          <w:color w:val="000000"/>
          <w:kern w:val="0"/>
          <w:sz w:val="24"/>
          <w:lang w:val="en-US" w:eastAsia="zh-CN"/>
        </w:rPr>
        <w:t>本行</w:t>
      </w:r>
      <w:r>
        <w:rPr>
          <w:rFonts w:hint="eastAsia" w:ascii="宋体" w:hAnsi="宋体" w:cs="宋体"/>
          <w:color w:val="000000"/>
          <w:kern w:val="0"/>
          <w:sz w:val="24"/>
        </w:rPr>
        <w:t>有表决权股份总数百分之三以上的股东提名。外部监事由监事会、单独或合计持有</w:t>
      </w:r>
      <w:r>
        <w:rPr>
          <w:rFonts w:hint="eastAsia" w:ascii="宋体" w:hAnsi="宋体" w:cs="宋体"/>
          <w:color w:val="000000"/>
          <w:kern w:val="0"/>
          <w:sz w:val="24"/>
          <w:lang w:val="en-US" w:eastAsia="zh-CN"/>
        </w:rPr>
        <w:t>本行</w:t>
      </w:r>
      <w:r>
        <w:rPr>
          <w:rFonts w:hint="eastAsia" w:ascii="宋体" w:hAnsi="宋体" w:cs="宋体"/>
          <w:color w:val="000000"/>
          <w:kern w:val="0"/>
          <w:sz w:val="24"/>
        </w:rPr>
        <w:t>有表决权股份总数百分之一以上股东提名。职工监事由监事会、本行工会提名。同一股东及其关联人提名的监事原则上不应超过监事会成员总数的三分之一。原则上同一股东只能提出一名外部监事候选人，不应既提名独立董事候选人又提名外部监事候选人</w:t>
      </w:r>
      <w:r>
        <w:rPr>
          <w:rFonts w:hint="eastAsia" w:ascii="宋体" w:hAnsi="宋体" w:cs="宋体"/>
          <w:color w:val="000000"/>
          <w:kern w:val="0"/>
          <w:sz w:val="24"/>
          <w:lang w:val="en-US" w:eastAsia="zh-CN"/>
        </w:rPr>
        <w:t>。</w:t>
      </w:r>
      <w:r>
        <w:rPr>
          <w:rFonts w:hint="eastAsia" w:ascii="宋体" w:hAnsi="宋体" w:cs="宋体"/>
          <w:color w:val="000000"/>
          <w:kern w:val="0"/>
          <w:sz w:val="24"/>
        </w:rPr>
        <w:t>已经提名董事的股东及其关联方不得再提名监事</w:t>
      </w:r>
      <w:r>
        <w:rPr>
          <w:rFonts w:hint="eastAsia" w:ascii="宋体" w:hAnsi="宋体" w:cs="宋体"/>
          <w:color w:val="000000"/>
          <w:kern w:val="0"/>
          <w:sz w:val="24"/>
          <w:lang w:eastAsia="zh-CN"/>
        </w:rPr>
        <w:t>，</w:t>
      </w:r>
      <w:r>
        <w:rPr>
          <w:rFonts w:hint="eastAsia" w:ascii="宋体" w:hAnsi="宋体" w:cs="宋体"/>
          <w:color w:val="000000"/>
          <w:kern w:val="0"/>
          <w:sz w:val="24"/>
        </w:rPr>
        <w:t>国家另有规定的从其规定</w:t>
      </w:r>
      <w:r>
        <w:rPr>
          <w:rFonts w:hint="eastAsia" w:ascii="宋体" w:hAnsi="宋体" w:cs="宋体"/>
          <w:color w:val="000000"/>
          <w:kern w:val="0"/>
          <w:sz w:val="24"/>
          <w:lang w:eastAsia="zh-CN"/>
        </w:rPr>
        <w:t>。</w:t>
      </w:r>
    </w:p>
    <w:p>
      <w:pPr>
        <w:widowControl/>
        <w:numPr>
          <w:ilvl w:val="0"/>
          <w:numId w:val="15"/>
        </w:numPr>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董事会提名委员会、监事会提名委员会分别对董事候选人、监事候选人的任职资格和条件进行初步审核，合格人选提交董事会、监事会审议；经董事会、监事会审议通过后，以书面提案方式向股东大会提出董事候选人、监事候选人；</w:t>
      </w:r>
    </w:p>
    <w:p>
      <w:pPr>
        <w:widowControl/>
        <w:numPr>
          <w:ilvl w:val="0"/>
          <w:numId w:val="15"/>
        </w:numPr>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董事候选人、监事候选人应当在股东大会召开之前作出书面承诺，同意接受提名，承诺公开披露的资料真实、完整并保证当选后切实履行董事、监事义务；</w:t>
      </w:r>
    </w:p>
    <w:p>
      <w:pPr>
        <w:widowControl/>
        <w:numPr>
          <w:ilvl w:val="0"/>
          <w:numId w:val="15"/>
        </w:numPr>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董事会、监事会应当在股东大会召开前依照法律法规和本章程规定向股东披露董事候选人、监事候选人详细资料，保证股东在投票时对候选人有足够的了解；</w:t>
      </w:r>
    </w:p>
    <w:p>
      <w:pPr>
        <w:widowControl/>
        <w:numPr>
          <w:ilvl w:val="0"/>
          <w:numId w:val="15"/>
        </w:numPr>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除采用累积投票制外，股东大会对每位董事候选人、监事候选人逐一进行表决；</w:t>
      </w:r>
    </w:p>
    <w:p>
      <w:pPr>
        <w:widowControl/>
        <w:numPr>
          <w:ilvl w:val="0"/>
          <w:numId w:val="15"/>
        </w:numPr>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遇有临时增补董事、监事的，由董事会提名委员会</w:t>
      </w:r>
      <w:r>
        <w:rPr>
          <w:rFonts w:hint="eastAsia" w:ascii="宋体" w:hAnsi="宋体"/>
          <w:sz w:val="22"/>
        </w:rPr>
        <w:t>、</w:t>
      </w:r>
      <w:r>
        <w:rPr>
          <w:rFonts w:hint="eastAsia" w:ascii="宋体" w:hAnsi="宋体" w:cs="宋体"/>
          <w:color w:val="000000"/>
          <w:kern w:val="0"/>
          <w:sz w:val="24"/>
        </w:rPr>
        <w:t>监事会提名委员会</w:t>
      </w:r>
      <w:r>
        <w:rPr>
          <w:rFonts w:hint="eastAsia" w:ascii="宋体" w:hAnsi="宋体"/>
          <w:sz w:val="22"/>
        </w:rPr>
        <w:t>，</w:t>
      </w:r>
      <w:r>
        <w:rPr>
          <w:rFonts w:hint="eastAsia" w:ascii="宋体" w:hAnsi="宋体" w:cs="宋体"/>
          <w:color w:val="000000"/>
          <w:kern w:val="0"/>
          <w:sz w:val="24"/>
        </w:rPr>
        <w:t>或符合提名条件的股东提出，并分别提交董事会、监事会审议，股东大会予以选举或更换。</w:t>
      </w:r>
    </w:p>
    <w:p>
      <w:pPr>
        <w:widowControl/>
        <w:numPr>
          <w:ilvl w:val="0"/>
          <w:numId w:val="15"/>
        </w:numPr>
        <w:spacing w:line="320" w:lineRule="exact"/>
        <w:ind w:left="0" w:firstLine="480"/>
        <w:jc w:val="left"/>
        <w:rPr>
          <w:rFonts w:ascii="宋体" w:hAnsi="宋体" w:cs="宋体"/>
          <w:bCs/>
          <w:smallCaps/>
          <w:color w:val="000000"/>
          <w:kern w:val="0"/>
          <w:sz w:val="24"/>
          <w:szCs w:val="20"/>
        </w:rPr>
      </w:pPr>
      <w:r>
        <w:rPr>
          <w:rFonts w:hint="eastAsia" w:ascii="宋体" w:hAnsi="宋体" w:cs="宋体"/>
          <w:color w:val="000000"/>
          <w:kern w:val="0"/>
          <w:sz w:val="24"/>
        </w:rPr>
        <w:t>适用法律和本章程对独立董事和外部监事、由职工代表担任的董事和监事的提名方式和程序有特殊规定的，适用其规定。</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股东大会审议有关关联交易事项时，关联股东不应当参与投票表决，其所代表的有表决权的股份数不计入有效表决总数</w:t>
      </w:r>
      <w:r>
        <w:rPr>
          <w:rFonts w:hint="eastAsia" w:ascii="宋体" w:hAnsi="宋体" w:cs="宋体"/>
          <w:bCs/>
          <w:smallCaps/>
          <w:color w:val="000000"/>
          <w:kern w:val="0"/>
          <w:sz w:val="24"/>
          <w:szCs w:val="20"/>
        </w:rPr>
        <w:t>，经其他股东同意或法律法规另有规定的除外。股东大会决议的公告应当充分披露非关联股东的表决情况。</w:t>
      </w:r>
    </w:p>
    <w:p>
      <w:pPr>
        <w:widowControl/>
        <w:tabs>
          <w:tab w:val="left" w:pos="2127"/>
        </w:tabs>
        <w:spacing w:line="3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关联股东的回避和表决程序为：关联股东应主动提出回避申请，其他股东也有权提出该股东回避。董事会应依据有关规定审查该股东是否属于关联股东。</w:t>
      </w:r>
    </w:p>
    <w:p>
      <w:pPr>
        <w:widowControl/>
        <w:tabs>
          <w:tab w:val="left" w:pos="2127"/>
        </w:tabs>
        <w:spacing w:line="320" w:lineRule="exact"/>
        <w:jc w:val="left"/>
        <w:rPr>
          <w:rFonts w:ascii="宋体" w:hAnsi="宋体" w:cs="宋体"/>
          <w:color w:val="000000"/>
          <w:kern w:val="0"/>
          <w:sz w:val="24"/>
        </w:rPr>
      </w:pPr>
      <w:r>
        <w:rPr>
          <w:rFonts w:hint="eastAsia" w:ascii="宋体" w:hAnsi="宋体" w:cs="宋体"/>
          <w:color w:val="000000"/>
          <w:kern w:val="0"/>
          <w:sz w:val="24"/>
        </w:rPr>
        <w:t xml:space="preserve">    应予回避的关联股东可以就该关联交易是否公平、合法及产生的原因等向股东大会作出解释和说明。</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本行应保证股东大会合法、有效的前提下，通过各种方式和途径，优先提供网络形式的投票平台等现代信息技术手段，为股东参加股东大会提供便利。</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除累</w:t>
      </w:r>
      <w:r>
        <w:rPr>
          <w:rFonts w:hint="eastAsia" w:ascii="宋体" w:hAnsi="宋体" w:cs="宋体"/>
          <w:bCs/>
          <w:smallCaps/>
          <w:color w:val="000000"/>
          <w:kern w:val="0"/>
          <w:sz w:val="24"/>
          <w:szCs w:val="20"/>
        </w:rPr>
        <w:t>积</w:t>
      </w:r>
      <w:r>
        <w:rPr>
          <w:rFonts w:ascii="宋体" w:hAnsi="宋体" w:cs="宋体"/>
          <w:bCs/>
          <w:smallCaps/>
          <w:color w:val="000000"/>
          <w:kern w:val="0"/>
          <w:sz w:val="24"/>
          <w:szCs w:val="20"/>
        </w:rPr>
        <w:t>投票制外</w:t>
      </w:r>
      <w:r>
        <w:rPr>
          <w:rFonts w:hint="eastAsia" w:ascii="宋体" w:hAnsi="宋体" w:cs="宋体"/>
          <w:bCs/>
          <w:smallCaps/>
          <w:color w:val="000000"/>
          <w:kern w:val="0"/>
          <w:sz w:val="24"/>
          <w:szCs w:val="20"/>
        </w:rPr>
        <w:t>，</w:t>
      </w:r>
      <w:r>
        <w:rPr>
          <w:rFonts w:ascii="宋体" w:hAnsi="宋体" w:cs="宋体"/>
          <w:bCs/>
          <w:smallCaps/>
          <w:color w:val="000000"/>
          <w:kern w:val="0"/>
          <w:sz w:val="24"/>
          <w:szCs w:val="20"/>
        </w:rPr>
        <w:t>股东大会对所有提案进行逐项表决</w:t>
      </w:r>
      <w:r>
        <w:rPr>
          <w:rFonts w:hint="eastAsia" w:ascii="宋体" w:hAnsi="宋体" w:cs="宋体"/>
          <w:bCs/>
          <w:smallCaps/>
          <w:color w:val="000000"/>
          <w:kern w:val="0"/>
          <w:sz w:val="24"/>
          <w:szCs w:val="20"/>
        </w:rPr>
        <w:t>，</w:t>
      </w:r>
      <w:r>
        <w:rPr>
          <w:rFonts w:ascii="宋体" w:hAnsi="宋体" w:cs="宋体"/>
          <w:bCs/>
          <w:smallCaps/>
          <w:color w:val="000000"/>
          <w:kern w:val="0"/>
          <w:sz w:val="24"/>
          <w:szCs w:val="20"/>
        </w:rPr>
        <w:t>对同一事项有不同提案的</w:t>
      </w:r>
      <w:r>
        <w:rPr>
          <w:rFonts w:hint="eastAsia" w:ascii="宋体" w:hAnsi="宋体" w:cs="宋体"/>
          <w:bCs/>
          <w:smallCaps/>
          <w:color w:val="000000"/>
          <w:kern w:val="0"/>
          <w:sz w:val="24"/>
          <w:szCs w:val="20"/>
        </w:rPr>
        <w:t>，</w:t>
      </w:r>
      <w:r>
        <w:rPr>
          <w:rFonts w:ascii="宋体" w:hAnsi="宋体" w:cs="宋体"/>
          <w:bCs/>
          <w:smallCaps/>
          <w:color w:val="000000"/>
          <w:kern w:val="0"/>
          <w:sz w:val="24"/>
          <w:szCs w:val="20"/>
        </w:rPr>
        <w:t>将按提案提出的顺序进行表决</w:t>
      </w:r>
      <w:r>
        <w:rPr>
          <w:rFonts w:hint="eastAsia" w:ascii="宋体" w:hAnsi="宋体" w:cs="宋体"/>
          <w:bCs/>
          <w:smallCaps/>
          <w:color w:val="000000"/>
          <w:kern w:val="0"/>
          <w:sz w:val="24"/>
          <w:szCs w:val="20"/>
        </w:rPr>
        <w:t>。</w:t>
      </w:r>
      <w:r>
        <w:rPr>
          <w:rFonts w:ascii="宋体" w:hAnsi="宋体" w:cs="宋体"/>
          <w:bCs/>
          <w:smallCaps/>
          <w:color w:val="000000"/>
          <w:kern w:val="0"/>
          <w:sz w:val="24"/>
          <w:szCs w:val="20"/>
        </w:rPr>
        <w:t>除因不可抗力等特殊原因导致股东大会终止或不能作出决议外</w:t>
      </w:r>
      <w:r>
        <w:rPr>
          <w:rFonts w:hint="eastAsia" w:ascii="宋体" w:hAnsi="宋体" w:cs="宋体"/>
          <w:bCs/>
          <w:smallCaps/>
          <w:color w:val="000000"/>
          <w:kern w:val="0"/>
          <w:sz w:val="24"/>
          <w:szCs w:val="20"/>
        </w:rPr>
        <w:t>，</w:t>
      </w:r>
      <w:r>
        <w:rPr>
          <w:rFonts w:ascii="宋体" w:hAnsi="宋体" w:cs="宋体"/>
          <w:bCs/>
          <w:smallCaps/>
          <w:color w:val="000000"/>
          <w:kern w:val="0"/>
          <w:sz w:val="24"/>
          <w:szCs w:val="20"/>
        </w:rPr>
        <w:t>股东大会将不会对提案进行搁置或不予表决</w:t>
      </w:r>
      <w:r>
        <w:rPr>
          <w:rFonts w:hint="eastAsia" w:ascii="宋体" w:hAnsi="宋体" w:cs="宋体"/>
          <w:bCs/>
          <w:smallCaps/>
          <w:color w:val="000000"/>
          <w:kern w:val="0"/>
          <w:sz w:val="24"/>
          <w:szCs w:val="20"/>
        </w:rPr>
        <w:t>。</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股东大会审议提案时，不得对提案进行修改，否则，有关变更应当被视为一个新的提案，不能在本次股东大会上进行表决。</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同一表决权只能选择现场、网络或其他表决方式中的一种。同一表决权出现重复表决的以第一次投票结果为准。</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股东大会采取记名投票方式投票表决。出席股东大会的股东，应当对提交表决的提案发表以下意见之一：同意、反对或弃权。</w:t>
      </w:r>
    </w:p>
    <w:p>
      <w:pPr>
        <w:widowControl/>
        <w:tabs>
          <w:tab w:val="left" w:pos="2127"/>
        </w:tabs>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未填、错填、字迹无法辨认的表决票、未投的表决票均视为投票人放弃表决权利，其所持股份数的表决结果应计为“弃权”。</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股东大会对提案进行表决前，应当推举两名股东代表参加计票和监票。审议事项与股东有利害关系的，相关股东及代理人不得参加计票、监票。 </w:t>
      </w:r>
    </w:p>
    <w:p>
      <w:pPr>
        <w:widowControl/>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股东大会对提案进行表决时，应当由律师、股东代表与监事代表共同负责计票、监票，并当场公布表决结果，决议的表决结果载入会议记录。</w:t>
      </w:r>
    </w:p>
    <w:p>
      <w:pPr>
        <w:widowControl/>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 xml:space="preserve">    通过网络或其他方式投票的本行股东或其代理人</w:t>
      </w:r>
      <w:r>
        <w:rPr>
          <w:rFonts w:hint="eastAsia" w:ascii="宋体" w:hAnsi="宋体" w:cs="宋体"/>
          <w:bCs/>
          <w:smallCaps/>
          <w:color w:val="000000"/>
          <w:kern w:val="0"/>
          <w:sz w:val="24"/>
          <w:szCs w:val="20"/>
        </w:rPr>
        <w:t>，</w:t>
      </w:r>
      <w:r>
        <w:rPr>
          <w:rFonts w:ascii="宋体" w:hAnsi="宋体" w:cs="宋体"/>
          <w:bCs/>
          <w:smallCaps/>
          <w:color w:val="000000"/>
          <w:kern w:val="0"/>
          <w:sz w:val="24"/>
          <w:szCs w:val="20"/>
        </w:rPr>
        <w:t>有权通过相应的投票系统查验自己的投票结果</w:t>
      </w:r>
      <w:r>
        <w:rPr>
          <w:rFonts w:hint="eastAsia" w:ascii="宋体" w:hAnsi="宋体" w:cs="宋体"/>
          <w:bCs/>
          <w:smallCaps/>
          <w:color w:val="000000"/>
          <w:kern w:val="0"/>
          <w:sz w:val="24"/>
          <w:szCs w:val="20"/>
        </w:rPr>
        <w:t>。</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股东大会现场结束时间不得早于网络或其他方式，会议主持人应当宣布每一提案的表决情况和结果，并根据表决结果宣布提案是否通过。</w:t>
      </w:r>
    </w:p>
    <w:p>
      <w:pPr>
        <w:widowControl/>
        <w:tabs>
          <w:tab w:val="left" w:pos="2127"/>
        </w:tabs>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在正式公布表决结果前，股东大会现场、网络及其他表决方式中所涉及的本行、计票人、监票人、主要股东等相关各方对表决情况均负有保密义务。</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会议主持人如果对提交表决的决议结果有任何怀疑，可以对所投票数组织点票；如果会议主持人未进行点票，出席会议的股东或者股东代理人对会议主持人宣布结果有异议的，有权在宣布表决结果后立即要求点票，会议主持人应当立即组织点票。</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股东大会决议应当及时公告</w:t>
      </w:r>
      <w:r>
        <w:rPr>
          <w:rFonts w:ascii="宋体" w:hAnsi="宋体" w:cs="宋体"/>
          <w:bCs/>
          <w:smallCaps/>
          <w:color w:val="000000"/>
          <w:kern w:val="0"/>
          <w:sz w:val="24"/>
          <w:szCs w:val="20"/>
        </w:rPr>
        <w:t>，</w:t>
      </w:r>
      <w:r>
        <w:rPr>
          <w:rFonts w:hint="eastAsia" w:ascii="宋体" w:hAnsi="宋体" w:cs="宋体"/>
          <w:bCs/>
          <w:smallCaps/>
          <w:color w:val="000000"/>
          <w:kern w:val="0"/>
          <w:sz w:val="24"/>
          <w:szCs w:val="20"/>
        </w:rPr>
        <w:t>公告中应列明出席会议的股东和代理人人数、所持有表决权的股份总数及占本行有表决权股份总数的比例、表决方式、每项提案的表决结果和通过的各项决议的详细内容。</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提案未获通过，或者本次股东大会变更前次股东大会决议的，应当在股东大会决议公告中作特别提示。</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股东大会通过有关董事、监事选举提案的，新任董事、监事任期自股东大会决议通过之日起开始计算。</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股东大会通过有关派现、送股或资本公积转增股本提案的，本行将在股东大会结束后两个月内实施具体方案。</w:t>
      </w:r>
    </w:p>
    <w:p>
      <w:pPr>
        <w:widowControl/>
        <w:numPr>
          <w:ilvl w:val="0"/>
          <w:numId w:val="1"/>
        </w:numPr>
        <w:spacing w:before="100" w:beforeAutospacing="1" w:after="100" w:afterAutospacing="1" w:line="320" w:lineRule="exact"/>
        <w:jc w:val="center"/>
        <w:outlineLvl w:val="0"/>
        <w:rPr>
          <w:rFonts w:ascii="宋体" w:hAnsi="宋体" w:cs="宋体"/>
          <w:b/>
          <w:bCs/>
          <w:smallCaps/>
          <w:color w:val="000000"/>
          <w:kern w:val="0"/>
          <w:sz w:val="24"/>
        </w:rPr>
      </w:pPr>
      <w:bookmarkStart w:id="42" w:name="_Toc41895456"/>
      <w:bookmarkStart w:id="43" w:name="_Toc1406"/>
      <w:bookmarkStart w:id="44" w:name="_Toc32419"/>
      <w:r>
        <w:rPr>
          <w:rFonts w:hint="eastAsia" w:ascii="宋体" w:hAnsi="宋体" w:cs="宋体"/>
          <w:b/>
          <w:bCs/>
          <w:smallCaps/>
          <w:color w:val="000000"/>
          <w:kern w:val="0"/>
          <w:sz w:val="24"/>
        </w:rPr>
        <w:t>董事和</w:t>
      </w:r>
      <w:r>
        <w:rPr>
          <w:rFonts w:ascii="宋体" w:hAnsi="宋体" w:cs="宋体"/>
          <w:b/>
          <w:bCs/>
          <w:smallCaps/>
          <w:color w:val="000000"/>
          <w:kern w:val="0"/>
          <w:sz w:val="24"/>
        </w:rPr>
        <w:t>董事会</w:t>
      </w:r>
      <w:bookmarkEnd w:id="42"/>
      <w:bookmarkEnd w:id="43"/>
      <w:bookmarkEnd w:id="44"/>
    </w:p>
    <w:p>
      <w:pPr>
        <w:widowControl/>
        <w:spacing w:before="100" w:beforeAutospacing="1" w:after="100" w:afterAutospacing="1" w:line="320" w:lineRule="exact"/>
        <w:jc w:val="center"/>
        <w:outlineLvl w:val="1"/>
        <w:rPr>
          <w:rFonts w:ascii="宋体" w:hAnsi="宋体" w:cs="宋体"/>
          <w:b/>
          <w:bCs/>
          <w:smallCaps/>
          <w:color w:val="000000"/>
          <w:kern w:val="0"/>
          <w:sz w:val="24"/>
        </w:rPr>
      </w:pPr>
      <w:bookmarkStart w:id="45" w:name="_Toc41895457"/>
      <w:bookmarkStart w:id="46" w:name="_Toc16222"/>
      <w:bookmarkStart w:id="47" w:name="_Toc23761"/>
      <w:r>
        <w:rPr>
          <w:rFonts w:ascii="宋体" w:hAnsi="宋体" w:cs="宋体"/>
          <w:b/>
          <w:bCs/>
          <w:smallCaps/>
          <w:color w:val="000000"/>
          <w:kern w:val="0"/>
          <w:sz w:val="24"/>
        </w:rPr>
        <w:t>第一节　董事</w:t>
      </w:r>
      <w:bookmarkEnd w:id="45"/>
      <w:bookmarkEnd w:id="46"/>
      <w:bookmarkEnd w:id="47"/>
    </w:p>
    <w:p>
      <w:pPr>
        <w:widowControl/>
        <w:numPr>
          <w:ilvl w:val="0"/>
          <w:numId w:val="2"/>
        </w:numPr>
        <w:tabs>
          <w:tab w:val="left" w:pos="2127"/>
          <w:tab w:val="clear" w:pos="1920"/>
        </w:tabs>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董事为自然人。董事无需持有</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股份。</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董事应当具备履行职责所必需的专业知识和工作经验，符合银行业监督管理机构规定的条件，并须经任职资格许可。</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有下列情形之一的人员，</w:t>
      </w:r>
      <w:r>
        <w:rPr>
          <w:rFonts w:ascii="宋体" w:hAnsi="宋体" w:cs="宋体"/>
          <w:bCs/>
          <w:smallCaps/>
          <w:color w:val="000000"/>
          <w:kern w:val="0"/>
          <w:sz w:val="24"/>
          <w:szCs w:val="20"/>
        </w:rPr>
        <w:t>不得担任</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的董事</w:t>
      </w:r>
      <w:r>
        <w:rPr>
          <w:rFonts w:hint="eastAsia" w:ascii="宋体" w:hAnsi="宋体" w:cs="宋体"/>
          <w:bCs/>
          <w:smallCaps/>
          <w:color w:val="000000"/>
          <w:kern w:val="0"/>
          <w:sz w:val="24"/>
          <w:szCs w:val="20"/>
        </w:rPr>
        <w:t>：</w:t>
      </w:r>
    </w:p>
    <w:p>
      <w:pPr>
        <w:widowControl/>
        <w:numPr>
          <w:ilvl w:val="0"/>
          <w:numId w:val="16"/>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有故意或重大过失犯罪记录的；</w:t>
      </w:r>
    </w:p>
    <w:p>
      <w:pPr>
        <w:widowControl/>
        <w:numPr>
          <w:ilvl w:val="0"/>
          <w:numId w:val="16"/>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有违反社会公德的不良行为，造成恶劣影响的；</w:t>
      </w:r>
    </w:p>
    <w:p>
      <w:pPr>
        <w:widowControl/>
        <w:numPr>
          <w:ilvl w:val="0"/>
          <w:numId w:val="16"/>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对曾任职机构违法违规经营活动或重大损失负有个人责任或直接领导责任，情节严重的；</w:t>
      </w:r>
    </w:p>
    <w:p>
      <w:pPr>
        <w:widowControl/>
        <w:numPr>
          <w:ilvl w:val="0"/>
          <w:numId w:val="16"/>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担任或曾任被接管、撤销、宣告破产或吊销营业执照的机构的董事或高级管理人员的，但能够证明本人对曾任职机构被接管、撤销、宣告破产或吊销营业执照不负有个人责任的除外；</w:t>
      </w:r>
    </w:p>
    <w:p>
      <w:pPr>
        <w:widowControl/>
        <w:numPr>
          <w:ilvl w:val="0"/>
          <w:numId w:val="16"/>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因违反职业道德、操守或者工作严重失职，造成重大损失或恶劣影响的；</w:t>
      </w:r>
    </w:p>
    <w:p>
      <w:pPr>
        <w:widowControl/>
        <w:numPr>
          <w:ilvl w:val="0"/>
          <w:numId w:val="16"/>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指使、参与所任职机构不配合依法监管或案件查处的；</w:t>
      </w:r>
    </w:p>
    <w:p>
      <w:pPr>
        <w:widowControl/>
        <w:numPr>
          <w:ilvl w:val="0"/>
          <w:numId w:val="16"/>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被取消终身的董事和高级管理人员任职资格，或受到监管机构或其他金融管理部门处罚累计达到2次以上的；</w:t>
      </w:r>
    </w:p>
    <w:p>
      <w:pPr>
        <w:widowControl/>
        <w:numPr>
          <w:ilvl w:val="0"/>
          <w:numId w:val="16"/>
        </w:numPr>
        <w:tabs>
          <w:tab w:val="left" w:pos="0"/>
          <w:tab w:val="clear" w:pos="1200"/>
        </w:tabs>
        <w:spacing w:line="320" w:lineRule="exact"/>
        <w:ind w:left="0" w:firstLine="480"/>
        <w:jc w:val="left"/>
        <w:rPr>
          <w:rStyle w:val="21"/>
          <w:rFonts w:ascii="宋体" w:hAnsi="宋体" w:cs="宋体"/>
          <w:sz w:val="24"/>
          <w:szCs w:val="24"/>
          <w:lang w:val="zh-CN"/>
        </w:rPr>
      </w:pPr>
      <w:r>
        <w:rPr>
          <w:rFonts w:hint="eastAsia" w:ascii="宋体" w:hAnsi="宋体" w:cs="宋体"/>
          <w:color w:val="000000"/>
          <w:kern w:val="0"/>
          <w:sz w:val="24"/>
        </w:rPr>
        <w:t>不具备本章程规定的任职资格条件，采取不正当手段以获得任职资格核准的；</w:t>
      </w:r>
    </w:p>
    <w:p>
      <w:pPr>
        <w:widowControl/>
        <w:numPr>
          <w:ilvl w:val="0"/>
          <w:numId w:val="16"/>
        </w:numPr>
        <w:tabs>
          <w:tab w:val="left" w:pos="0"/>
          <w:tab w:val="clear" w:pos="1200"/>
        </w:tabs>
        <w:spacing w:line="320" w:lineRule="exact"/>
        <w:ind w:left="0" w:firstLine="480"/>
        <w:jc w:val="left"/>
        <w:rPr>
          <w:rStyle w:val="21"/>
          <w:rFonts w:ascii="宋体" w:hAnsi="宋体" w:cs="宋体"/>
          <w:sz w:val="24"/>
          <w:szCs w:val="24"/>
          <w:lang w:val="zh-CN"/>
        </w:rPr>
      </w:pPr>
      <w:r>
        <w:rPr>
          <w:rStyle w:val="21"/>
          <w:rFonts w:hint="eastAsia" w:ascii="宋体" w:hAnsi="宋体" w:cs="宋体"/>
          <w:sz w:val="24"/>
          <w:szCs w:val="24"/>
          <w:lang w:val="zh-CN"/>
        </w:rPr>
        <w:t>截至申请任职资格时，本人或其配偶仍有数额较大的逾期债务未能偿还，包括但不限于在</w:t>
      </w:r>
      <w:r>
        <w:rPr>
          <w:rStyle w:val="21"/>
          <w:rFonts w:hint="eastAsia" w:ascii="宋体" w:hAnsi="宋体" w:cs="宋体"/>
          <w:sz w:val="24"/>
          <w:szCs w:val="24"/>
        </w:rPr>
        <w:t>本行</w:t>
      </w:r>
      <w:r>
        <w:rPr>
          <w:rStyle w:val="21"/>
          <w:rFonts w:hint="eastAsia" w:ascii="宋体" w:hAnsi="宋体" w:cs="宋体"/>
          <w:sz w:val="24"/>
          <w:szCs w:val="24"/>
          <w:lang w:val="zh-CN"/>
        </w:rPr>
        <w:t>的逾期贷款；</w:t>
      </w:r>
    </w:p>
    <w:p>
      <w:pPr>
        <w:widowControl/>
        <w:numPr>
          <w:ilvl w:val="0"/>
          <w:numId w:val="16"/>
        </w:numPr>
        <w:tabs>
          <w:tab w:val="left" w:pos="0"/>
          <w:tab w:val="clear" w:pos="1200"/>
        </w:tabs>
        <w:spacing w:line="320" w:lineRule="exact"/>
        <w:ind w:left="0" w:firstLine="480"/>
        <w:jc w:val="left"/>
        <w:rPr>
          <w:rStyle w:val="21"/>
          <w:rFonts w:ascii="宋体" w:hAnsi="宋体" w:cs="宋体"/>
          <w:sz w:val="24"/>
          <w:szCs w:val="24"/>
          <w:lang w:val="zh-CN"/>
        </w:rPr>
      </w:pPr>
      <w:r>
        <w:rPr>
          <w:rStyle w:val="21"/>
          <w:rFonts w:hint="eastAsia" w:ascii="宋体" w:hAnsi="宋体" w:cs="宋体"/>
          <w:sz w:val="24"/>
          <w:szCs w:val="24"/>
          <w:lang w:val="zh-CN"/>
        </w:rPr>
        <w:t>本人及其近亲属合并持有</w:t>
      </w:r>
      <w:r>
        <w:rPr>
          <w:rStyle w:val="21"/>
          <w:rFonts w:hint="eastAsia" w:ascii="宋体" w:hAnsi="宋体" w:cs="宋体"/>
          <w:sz w:val="24"/>
          <w:szCs w:val="24"/>
        </w:rPr>
        <w:t>本行</w:t>
      </w:r>
      <w:r>
        <w:rPr>
          <w:rStyle w:val="21"/>
          <w:rFonts w:hint="eastAsia" w:ascii="宋体" w:hAnsi="宋体" w:cs="宋体"/>
          <w:sz w:val="24"/>
          <w:szCs w:val="24"/>
          <w:lang w:val="zh-CN"/>
        </w:rPr>
        <w:t>5％以上股份，且从</w:t>
      </w:r>
      <w:r>
        <w:rPr>
          <w:rStyle w:val="21"/>
          <w:rFonts w:hint="eastAsia" w:ascii="宋体" w:hAnsi="宋体" w:cs="宋体"/>
          <w:sz w:val="24"/>
          <w:szCs w:val="24"/>
        </w:rPr>
        <w:t>本行</w:t>
      </w:r>
      <w:r>
        <w:rPr>
          <w:rStyle w:val="21"/>
          <w:rFonts w:hint="eastAsia" w:ascii="宋体" w:hAnsi="宋体" w:cs="宋体"/>
          <w:sz w:val="24"/>
          <w:szCs w:val="24"/>
          <w:lang w:val="zh-CN"/>
        </w:rPr>
        <w:t>获得的授信总额明显超过其持有的</w:t>
      </w:r>
      <w:r>
        <w:rPr>
          <w:rStyle w:val="21"/>
          <w:rFonts w:hint="eastAsia" w:ascii="宋体" w:hAnsi="宋体" w:cs="宋体"/>
          <w:sz w:val="24"/>
          <w:szCs w:val="24"/>
        </w:rPr>
        <w:t>本行</w:t>
      </w:r>
      <w:r>
        <w:rPr>
          <w:rStyle w:val="21"/>
          <w:rFonts w:hint="eastAsia" w:ascii="宋体" w:hAnsi="宋体" w:cs="宋体"/>
          <w:sz w:val="24"/>
          <w:szCs w:val="24"/>
          <w:lang w:val="zh-CN"/>
        </w:rPr>
        <w:t>股权净值；</w:t>
      </w:r>
    </w:p>
    <w:p>
      <w:pPr>
        <w:widowControl/>
        <w:numPr>
          <w:ilvl w:val="0"/>
          <w:numId w:val="16"/>
        </w:numPr>
        <w:tabs>
          <w:tab w:val="left" w:pos="0"/>
          <w:tab w:val="clear" w:pos="1200"/>
        </w:tabs>
        <w:spacing w:line="320" w:lineRule="exact"/>
        <w:ind w:left="0" w:firstLine="480"/>
        <w:jc w:val="left"/>
        <w:rPr>
          <w:rStyle w:val="21"/>
          <w:rFonts w:ascii="宋体" w:hAnsi="宋体" w:cs="宋体"/>
          <w:sz w:val="24"/>
          <w:szCs w:val="24"/>
          <w:lang w:val="zh-CN"/>
        </w:rPr>
      </w:pPr>
      <w:r>
        <w:rPr>
          <w:rStyle w:val="21"/>
          <w:rFonts w:hint="eastAsia" w:ascii="宋体" w:hAnsi="宋体" w:cs="宋体"/>
          <w:sz w:val="24"/>
          <w:szCs w:val="24"/>
          <w:lang w:val="zh-CN"/>
        </w:rPr>
        <w:t>本人及其所控股的股东单位合并持有</w:t>
      </w:r>
      <w:r>
        <w:rPr>
          <w:rStyle w:val="21"/>
          <w:rFonts w:hint="eastAsia" w:ascii="宋体" w:hAnsi="宋体" w:cs="宋体"/>
          <w:sz w:val="24"/>
          <w:szCs w:val="24"/>
        </w:rPr>
        <w:t>本行</w:t>
      </w:r>
      <w:r>
        <w:rPr>
          <w:rStyle w:val="21"/>
          <w:rFonts w:hint="eastAsia" w:ascii="宋体" w:hAnsi="宋体" w:cs="宋体"/>
          <w:sz w:val="24"/>
          <w:szCs w:val="24"/>
          <w:lang w:val="zh-CN"/>
        </w:rPr>
        <w:t>5％以上股份，且从</w:t>
      </w:r>
      <w:r>
        <w:rPr>
          <w:rStyle w:val="21"/>
          <w:rFonts w:hint="eastAsia" w:ascii="宋体" w:hAnsi="宋体" w:cs="宋体"/>
          <w:sz w:val="24"/>
          <w:szCs w:val="24"/>
        </w:rPr>
        <w:t>本行</w:t>
      </w:r>
      <w:r>
        <w:rPr>
          <w:rStyle w:val="21"/>
          <w:rFonts w:hint="eastAsia" w:ascii="宋体" w:hAnsi="宋体" w:cs="宋体"/>
          <w:sz w:val="24"/>
          <w:szCs w:val="24"/>
          <w:lang w:val="zh-CN"/>
        </w:rPr>
        <w:t>获得的授信总额明显超过其持有的</w:t>
      </w:r>
      <w:r>
        <w:rPr>
          <w:rStyle w:val="21"/>
          <w:rFonts w:hint="eastAsia" w:ascii="宋体" w:hAnsi="宋体" w:cs="宋体"/>
          <w:sz w:val="24"/>
          <w:szCs w:val="24"/>
        </w:rPr>
        <w:t>本行</w:t>
      </w:r>
      <w:r>
        <w:rPr>
          <w:rStyle w:val="21"/>
          <w:rFonts w:hint="eastAsia" w:ascii="宋体" w:hAnsi="宋体" w:cs="宋体"/>
          <w:sz w:val="24"/>
          <w:szCs w:val="24"/>
          <w:lang w:val="zh-CN"/>
        </w:rPr>
        <w:t>股权净值；</w:t>
      </w:r>
    </w:p>
    <w:p>
      <w:pPr>
        <w:widowControl/>
        <w:numPr>
          <w:ilvl w:val="0"/>
          <w:numId w:val="16"/>
        </w:numPr>
        <w:tabs>
          <w:tab w:val="left" w:pos="0"/>
          <w:tab w:val="clear" w:pos="1200"/>
        </w:tabs>
        <w:spacing w:line="320" w:lineRule="exact"/>
        <w:ind w:left="0" w:firstLine="480"/>
        <w:jc w:val="left"/>
        <w:rPr>
          <w:rStyle w:val="21"/>
          <w:rFonts w:ascii="宋体" w:hAnsi="宋体" w:cs="宋体"/>
          <w:sz w:val="24"/>
          <w:szCs w:val="24"/>
          <w:lang w:val="zh-CN"/>
        </w:rPr>
      </w:pPr>
      <w:r>
        <w:rPr>
          <w:rStyle w:val="21"/>
          <w:rFonts w:hint="eastAsia" w:ascii="宋体" w:hAnsi="宋体" w:cs="宋体"/>
          <w:sz w:val="24"/>
          <w:szCs w:val="24"/>
          <w:lang w:val="zh-CN"/>
        </w:rPr>
        <w:t>本人或其配偶在持有</w:t>
      </w:r>
      <w:r>
        <w:rPr>
          <w:rStyle w:val="21"/>
          <w:rFonts w:hint="eastAsia" w:ascii="宋体" w:hAnsi="宋体" w:cs="宋体"/>
          <w:sz w:val="24"/>
          <w:szCs w:val="24"/>
        </w:rPr>
        <w:t>本行</w:t>
      </w:r>
      <w:r>
        <w:rPr>
          <w:rStyle w:val="21"/>
          <w:rFonts w:hint="eastAsia" w:ascii="宋体" w:hAnsi="宋体" w:cs="宋体"/>
          <w:sz w:val="24"/>
          <w:szCs w:val="24"/>
          <w:lang w:val="zh-CN"/>
        </w:rPr>
        <w:t>5％以上股份的股东单位任职，且该股东单位从</w:t>
      </w:r>
      <w:r>
        <w:rPr>
          <w:rStyle w:val="21"/>
          <w:rFonts w:hint="eastAsia" w:ascii="宋体" w:hAnsi="宋体" w:cs="宋体"/>
          <w:sz w:val="24"/>
          <w:szCs w:val="24"/>
        </w:rPr>
        <w:t>本行</w:t>
      </w:r>
      <w:r>
        <w:rPr>
          <w:rStyle w:val="21"/>
          <w:rFonts w:hint="eastAsia" w:ascii="宋体" w:hAnsi="宋体" w:cs="宋体"/>
          <w:sz w:val="24"/>
          <w:szCs w:val="24"/>
          <w:lang w:val="zh-CN"/>
        </w:rPr>
        <w:t>获得的授信总额明显超过其持有的</w:t>
      </w:r>
      <w:r>
        <w:rPr>
          <w:rStyle w:val="21"/>
          <w:rFonts w:hint="eastAsia" w:ascii="宋体" w:hAnsi="宋体" w:cs="宋体"/>
          <w:sz w:val="24"/>
          <w:szCs w:val="24"/>
        </w:rPr>
        <w:t>本行</w:t>
      </w:r>
      <w:r>
        <w:rPr>
          <w:rStyle w:val="21"/>
          <w:rFonts w:hint="eastAsia" w:ascii="宋体" w:hAnsi="宋体" w:cs="宋体"/>
          <w:sz w:val="24"/>
          <w:szCs w:val="24"/>
          <w:lang w:val="zh-CN"/>
        </w:rPr>
        <w:t>股权净值，但能够证明授信与本人及其配偶没有关系的除外；</w:t>
      </w:r>
    </w:p>
    <w:p>
      <w:pPr>
        <w:widowControl/>
        <w:numPr>
          <w:ilvl w:val="0"/>
          <w:numId w:val="16"/>
        </w:numPr>
        <w:tabs>
          <w:tab w:val="left" w:pos="0"/>
          <w:tab w:val="clear" w:pos="1200"/>
        </w:tabs>
        <w:spacing w:line="320" w:lineRule="exact"/>
        <w:ind w:left="0" w:firstLine="480"/>
        <w:jc w:val="left"/>
        <w:rPr>
          <w:rFonts w:ascii="宋体" w:hAnsi="宋体" w:cs="宋体"/>
          <w:color w:val="000000"/>
          <w:kern w:val="0"/>
          <w:sz w:val="24"/>
        </w:rPr>
      </w:pPr>
      <w:r>
        <w:rPr>
          <w:rStyle w:val="21"/>
          <w:rFonts w:hint="eastAsia" w:ascii="宋体" w:hAnsi="宋体" w:cs="宋体"/>
          <w:sz w:val="24"/>
          <w:szCs w:val="24"/>
          <w:lang w:val="zh-CN"/>
        </w:rPr>
        <w:t>存在其他所任职务与其在</w:t>
      </w:r>
      <w:r>
        <w:rPr>
          <w:rStyle w:val="21"/>
          <w:rFonts w:hint="eastAsia" w:ascii="宋体" w:hAnsi="宋体" w:cs="宋体"/>
          <w:sz w:val="24"/>
          <w:szCs w:val="24"/>
        </w:rPr>
        <w:t>本行</w:t>
      </w:r>
      <w:r>
        <w:rPr>
          <w:rStyle w:val="21"/>
          <w:rFonts w:hint="eastAsia" w:ascii="宋体" w:hAnsi="宋体" w:cs="宋体"/>
          <w:sz w:val="24"/>
          <w:szCs w:val="24"/>
          <w:lang w:val="zh-CN"/>
        </w:rPr>
        <w:t>拟任、现任职务有明显利益冲突，或明显分散其在</w:t>
      </w:r>
      <w:r>
        <w:rPr>
          <w:rStyle w:val="21"/>
          <w:rFonts w:hint="eastAsia" w:ascii="宋体" w:hAnsi="宋体" w:cs="宋体"/>
          <w:sz w:val="24"/>
          <w:szCs w:val="24"/>
        </w:rPr>
        <w:t>本行</w:t>
      </w:r>
      <w:r>
        <w:rPr>
          <w:rStyle w:val="21"/>
          <w:rFonts w:hint="eastAsia" w:ascii="宋体" w:hAnsi="宋体" w:cs="宋体"/>
          <w:sz w:val="24"/>
          <w:szCs w:val="24"/>
          <w:lang w:val="zh-CN"/>
        </w:rPr>
        <w:t>履职时间和精力的情形；</w:t>
      </w:r>
    </w:p>
    <w:p>
      <w:pPr>
        <w:widowControl/>
        <w:numPr>
          <w:ilvl w:val="0"/>
          <w:numId w:val="16"/>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《公司法》第一百四十六条规定的情形；</w:t>
      </w:r>
    </w:p>
    <w:p>
      <w:pPr>
        <w:widowControl/>
        <w:numPr>
          <w:ilvl w:val="0"/>
          <w:numId w:val="16"/>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被国务院证券监督管理机构处以证券市场禁入处罚</w:t>
      </w:r>
      <w:r>
        <w:rPr>
          <w:rFonts w:hint="eastAsia" w:ascii="宋体" w:hAnsi="宋体" w:cs="宋体"/>
          <w:color w:val="000000"/>
          <w:kern w:val="0"/>
          <w:sz w:val="24"/>
        </w:rPr>
        <w:t>，</w:t>
      </w:r>
      <w:r>
        <w:rPr>
          <w:rFonts w:ascii="宋体" w:hAnsi="宋体" w:cs="宋体"/>
          <w:color w:val="000000"/>
          <w:kern w:val="0"/>
          <w:sz w:val="24"/>
        </w:rPr>
        <w:t>期限未满的</w:t>
      </w:r>
      <w:r>
        <w:rPr>
          <w:rFonts w:hint="eastAsia" w:ascii="宋体" w:hAnsi="宋体" w:cs="宋体"/>
          <w:color w:val="000000"/>
          <w:kern w:val="0"/>
          <w:sz w:val="24"/>
        </w:rPr>
        <w:t>；</w:t>
      </w:r>
    </w:p>
    <w:p>
      <w:pPr>
        <w:widowControl/>
        <w:numPr>
          <w:ilvl w:val="0"/>
          <w:numId w:val="16"/>
        </w:numPr>
        <w:tabs>
          <w:tab w:val="left" w:pos="0"/>
          <w:tab w:val="clear" w:pos="1200"/>
        </w:tabs>
        <w:spacing w:line="320" w:lineRule="exact"/>
        <w:jc w:val="left"/>
        <w:rPr>
          <w:rFonts w:ascii="宋体" w:hAnsi="宋体" w:cs="宋体"/>
          <w:color w:val="000000"/>
          <w:kern w:val="0"/>
          <w:sz w:val="24"/>
        </w:rPr>
      </w:pPr>
      <w:r>
        <w:rPr>
          <w:rFonts w:hint="eastAsia" w:ascii="宋体" w:hAnsi="宋体" w:cs="宋体"/>
          <w:color w:val="000000"/>
          <w:kern w:val="0"/>
          <w:sz w:val="24"/>
        </w:rPr>
        <w:t>法律、行政法规及部门规章规定的其他情形。</w:t>
      </w:r>
    </w:p>
    <w:p>
      <w:pPr>
        <w:widowControl/>
        <w:spacing w:line="3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违反本条规定选举、委派董事的，该选举、委派或者聘任无效。董事在任职期间出现违反本条情形的，公司解除其职务。</w:t>
      </w:r>
    </w:p>
    <w:p>
      <w:pPr>
        <w:widowControl/>
        <w:numPr>
          <w:ilvl w:val="0"/>
          <w:numId w:val="2"/>
        </w:numPr>
        <w:tabs>
          <w:tab w:val="left" w:pos="2127"/>
          <w:tab w:val="clear" w:pos="1920"/>
        </w:tabs>
        <w:spacing w:line="320" w:lineRule="exact"/>
        <w:jc w:val="left"/>
        <w:rPr>
          <w:rFonts w:ascii="宋体" w:hAnsi="宋体" w:cs="宋体"/>
          <w:bCs/>
          <w:smallCaps/>
          <w:color w:val="000000"/>
          <w:kern w:val="0"/>
          <w:sz w:val="24"/>
        </w:rPr>
      </w:pPr>
      <w:r>
        <w:rPr>
          <w:rFonts w:ascii="宋体" w:hAnsi="宋体" w:cs="宋体"/>
          <w:bCs/>
          <w:smallCaps/>
          <w:color w:val="000000"/>
          <w:kern w:val="0"/>
          <w:sz w:val="24"/>
        </w:rPr>
        <w:t>董事由股东大会选举或更换，并可在任期届满前由股东大会解除其职务</w:t>
      </w:r>
      <w:r>
        <w:rPr>
          <w:rFonts w:hint="eastAsia" w:ascii="宋体" w:hAnsi="宋体" w:cs="宋体"/>
          <w:bCs/>
          <w:smallCaps/>
          <w:color w:val="000000"/>
          <w:kern w:val="0"/>
          <w:sz w:val="24"/>
        </w:rPr>
        <w:t>。董事任期三年，</w:t>
      </w:r>
      <w:r>
        <w:rPr>
          <w:rFonts w:ascii="宋体" w:hAnsi="宋体" w:cs="宋体"/>
          <w:bCs/>
          <w:smallCaps/>
          <w:color w:val="000000"/>
          <w:kern w:val="0"/>
          <w:sz w:val="24"/>
        </w:rPr>
        <w:t>任期届满可连选连任。</w:t>
      </w:r>
    </w:p>
    <w:p>
      <w:pPr>
        <w:widowControl/>
        <w:tabs>
          <w:tab w:val="left" w:pos="2127"/>
        </w:tabs>
        <w:spacing w:line="320" w:lineRule="exact"/>
        <w:ind w:firstLine="480" w:firstLineChars="200"/>
        <w:jc w:val="left"/>
        <w:rPr>
          <w:rFonts w:ascii="宋体" w:hAnsi="宋体" w:cs="宋体"/>
          <w:bCs/>
          <w:smallCaps/>
          <w:color w:val="000000"/>
          <w:kern w:val="0"/>
          <w:sz w:val="24"/>
        </w:rPr>
      </w:pPr>
      <w:r>
        <w:rPr>
          <w:rFonts w:hint="eastAsia" w:ascii="宋体" w:hAnsi="宋体" w:cs="宋体"/>
          <w:bCs/>
          <w:smallCaps/>
          <w:color w:val="000000"/>
          <w:kern w:val="0"/>
          <w:sz w:val="24"/>
        </w:rPr>
        <w:t>董事任期从就任之日起计算，至本届董事会任期届满时为止。董事任期届满未及时改选，在改选出的董事就任前，原董事仍应当依照法律、行政法规、部门规章和本章程的规定，履行董事职务。</w:t>
      </w:r>
    </w:p>
    <w:p>
      <w:pPr>
        <w:widowControl/>
        <w:tabs>
          <w:tab w:val="left" w:pos="2127"/>
        </w:tabs>
        <w:spacing w:line="320" w:lineRule="exact"/>
        <w:ind w:firstLine="480" w:firstLineChars="200"/>
        <w:jc w:val="left"/>
        <w:rPr>
          <w:rFonts w:ascii="宋体" w:hAnsi="宋体" w:cs="宋体"/>
          <w:bCs/>
          <w:smallCaps/>
          <w:color w:val="000000"/>
          <w:kern w:val="0"/>
          <w:sz w:val="24"/>
        </w:rPr>
      </w:pPr>
      <w:r>
        <w:rPr>
          <w:rFonts w:hint="eastAsia"/>
          <w:sz w:val="24"/>
        </w:rPr>
        <w:t>董事可以由行长或者其他高级管理人员兼任，但兼任行长或者其他高级管理人员职务的董事以及由职工代表担任的董事，总计不得超过公司董事总数的1/2</w:t>
      </w:r>
      <w:r>
        <w:rPr>
          <w:rFonts w:hint="eastAsia" w:ascii="宋体" w:hAnsi="宋体" w:cs="宋体"/>
          <w:bCs/>
          <w:smallCaps/>
          <w:color w:val="000000"/>
          <w:kern w:val="0"/>
          <w:sz w:val="24"/>
        </w:rPr>
        <w:t>。</w:t>
      </w:r>
    </w:p>
    <w:p>
      <w:pPr>
        <w:widowControl/>
        <w:numPr>
          <w:ilvl w:val="0"/>
          <w:numId w:val="2"/>
        </w:numPr>
        <w:tabs>
          <w:tab w:val="left" w:pos="0"/>
          <w:tab w:val="left" w:pos="2127"/>
          <w:tab w:val="clear" w:pos="1920"/>
        </w:tabs>
        <w:spacing w:line="320" w:lineRule="exact"/>
        <w:ind w:firstLine="420" w:firstLineChars="175"/>
        <w:jc w:val="left"/>
        <w:rPr>
          <w:rFonts w:ascii="宋体" w:hAnsi="宋体" w:cs="宋体"/>
          <w:bCs/>
          <w:smallCaps/>
          <w:color w:val="000000"/>
          <w:kern w:val="0"/>
          <w:sz w:val="24"/>
        </w:rPr>
      </w:pPr>
      <w:r>
        <w:rPr>
          <w:rFonts w:ascii="宋体" w:hAnsi="宋体" w:cs="宋体"/>
          <w:bCs/>
          <w:smallCaps/>
          <w:color w:val="000000"/>
          <w:kern w:val="0"/>
          <w:sz w:val="24"/>
        </w:rPr>
        <w:t>董事应当遵守法律、行政法规和</w:t>
      </w:r>
      <w:r>
        <w:rPr>
          <w:rFonts w:hint="eastAsia" w:ascii="宋体" w:hAnsi="宋体" w:cs="宋体"/>
          <w:bCs/>
          <w:smallCaps/>
          <w:color w:val="000000"/>
          <w:kern w:val="0"/>
          <w:sz w:val="24"/>
        </w:rPr>
        <w:t>本章程</w:t>
      </w:r>
      <w:r>
        <w:rPr>
          <w:rFonts w:ascii="宋体" w:hAnsi="宋体" w:cs="宋体"/>
          <w:bCs/>
          <w:smallCaps/>
          <w:color w:val="000000"/>
          <w:kern w:val="0"/>
          <w:sz w:val="24"/>
        </w:rPr>
        <w:t>，对</w:t>
      </w:r>
      <w:r>
        <w:rPr>
          <w:rFonts w:hint="eastAsia" w:ascii="宋体" w:hAnsi="宋体" w:cs="宋体"/>
          <w:bCs/>
          <w:smallCaps/>
          <w:color w:val="000000"/>
          <w:kern w:val="0"/>
          <w:sz w:val="24"/>
        </w:rPr>
        <w:t>本行</w:t>
      </w:r>
      <w:r>
        <w:rPr>
          <w:rFonts w:ascii="宋体" w:hAnsi="宋体" w:cs="宋体"/>
          <w:bCs/>
          <w:smallCaps/>
          <w:color w:val="000000"/>
          <w:kern w:val="0"/>
          <w:sz w:val="24"/>
        </w:rPr>
        <w:t>负有忠实义务</w:t>
      </w:r>
      <w:r>
        <w:rPr>
          <w:rFonts w:hint="eastAsia" w:ascii="宋体" w:hAnsi="宋体" w:cs="宋体"/>
          <w:bCs/>
          <w:smallCaps/>
          <w:color w:val="000000"/>
          <w:kern w:val="0"/>
          <w:sz w:val="24"/>
        </w:rPr>
        <w:t>，</w:t>
      </w:r>
      <w:r>
        <w:rPr>
          <w:rFonts w:ascii="宋体" w:hAnsi="宋体" w:cs="宋体"/>
          <w:bCs/>
          <w:smallCaps/>
          <w:color w:val="000000"/>
          <w:kern w:val="0"/>
          <w:sz w:val="24"/>
        </w:rPr>
        <w:t>不得有下列行为：</w:t>
      </w:r>
    </w:p>
    <w:p>
      <w:pPr>
        <w:widowControl/>
        <w:numPr>
          <w:ilvl w:val="0"/>
          <w:numId w:val="17"/>
        </w:numPr>
        <w:tabs>
          <w:tab w:val="left" w:pos="0"/>
          <w:tab w:val="left" w:pos="567"/>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利用职权收受贿赂或者其他非法收入，侵占本行的财产；</w:t>
      </w:r>
    </w:p>
    <w:p>
      <w:pPr>
        <w:widowControl/>
        <w:numPr>
          <w:ilvl w:val="0"/>
          <w:numId w:val="17"/>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挪用</w:t>
      </w:r>
      <w:r>
        <w:rPr>
          <w:rFonts w:hint="eastAsia" w:ascii="宋体" w:hAnsi="宋体" w:cs="宋体"/>
          <w:color w:val="000000"/>
          <w:kern w:val="0"/>
          <w:sz w:val="24"/>
        </w:rPr>
        <w:t>本行</w:t>
      </w:r>
      <w:r>
        <w:rPr>
          <w:rFonts w:ascii="宋体" w:hAnsi="宋体" w:cs="宋体"/>
          <w:color w:val="000000"/>
          <w:kern w:val="0"/>
          <w:sz w:val="24"/>
        </w:rPr>
        <w:t xml:space="preserve">资金； </w:t>
      </w:r>
    </w:p>
    <w:p>
      <w:pPr>
        <w:widowControl/>
        <w:numPr>
          <w:ilvl w:val="0"/>
          <w:numId w:val="17"/>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将</w:t>
      </w:r>
      <w:r>
        <w:rPr>
          <w:rFonts w:hint="eastAsia" w:ascii="宋体" w:hAnsi="宋体" w:cs="宋体"/>
          <w:color w:val="000000"/>
          <w:kern w:val="0"/>
          <w:sz w:val="24"/>
        </w:rPr>
        <w:t>本行</w:t>
      </w:r>
      <w:r>
        <w:rPr>
          <w:rFonts w:ascii="宋体" w:hAnsi="宋体" w:cs="宋体"/>
          <w:color w:val="000000"/>
          <w:kern w:val="0"/>
          <w:sz w:val="24"/>
        </w:rPr>
        <w:t xml:space="preserve">资金以其个人名义或者以其他个人名义开立账户存储； </w:t>
      </w:r>
    </w:p>
    <w:p>
      <w:pPr>
        <w:widowControl/>
        <w:numPr>
          <w:ilvl w:val="0"/>
          <w:numId w:val="17"/>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违反</w:t>
      </w:r>
      <w:r>
        <w:rPr>
          <w:rFonts w:hint="eastAsia" w:ascii="宋体" w:hAnsi="宋体" w:cs="宋体"/>
          <w:color w:val="000000"/>
          <w:kern w:val="0"/>
          <w:sz w:val="24"/>
        </w:rPr>
        <w:t>本章程</w:t>
      </w:r>
      <w:r>
        <w:rPr>
          <w:rFonts w:ascii="宋体" w:hAnsi="宋体" w:cs="宋体"/>
          <w:color w:val="000000"/>
          <w:kern w:val="0"/>
          <w:sz w:val="24"/>
        </w:rPr>
        <w:t>的规定，未经股东大会或者董事会同意，将</w:t>
      </w:r>
      <w:r>
        <w:rPr>
          <w:rFonts w:hint="eastAsia" w:ascii="宋体" w:hAnsi="宋体" w:cs="宋体"/>
          <w:color w:val="000000"/>
          <w:kern w:val="0"/>
          <w:sz w:val="24"/>
        </w:rPr>
        <w:t>本行</w:t>
      </w:r>
      <w:r>
        <w:rPr>
          <w:rFonts w:ascii="宋体" w:hAnsi="宋体" w:cs="宋体"/>
          <w:color w:val="000000"/>
          <w:kern w:val="0"/>
          <w:sz w:val="24"/>
        </w:rPr>
        <w:t>资金借贷给他人或者以</w:t>
      </w:r>
      <w:r>
        <w:rPr>
          <w:rFonts w:hint="eastAsia" w:ascii="宋体" w:hAnsi="宋体" w:cs="宋体"/>
          <w:color w:val="000000"/>
          <w:kern w:val="0"/>
          <w:sz w:val="24"/>
        </w:rPr>
        <w:t>本行</w:t>
      </w:r>
      <w:r>
        <w:rPr>
          <w:rFonts w:ascii="宋体" w:hAnsi="宋体" w:cs="宋体"/>
          <w:color w:val="000000"/>
          <w:kern w:val="0"/>
          <w:sz w:val="24"/>
        </w:rPr>
        <w:t xml:space="preserve">财产为他人提供担保； </w:t>
      </w:r>
    </w:p>
    <w:p>
      <w:pPr>
        <w:widowControl/>
        <w:numPr>
          <w:ilvl w:val="0"/>
          <w:numId w:val="17"/>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违反</w:t>
      </w:r>
      <w:r>
        <w:rPr>
          <w:rFonts w:hint="eastAsia" w:ascii="宋体" w:hAnsi="宋体" w:cs="宋体"/>
          <w:color w:val="000000"/>
          <w:kern w:val="0"/>
          <w:sz w:val="24"/>
        </w:rPr>
        <w:t>本章程</w:t>
      </w:r>
      <w:r>
        <w:rPr>
          <w:rFonts w:ascii="宋体" w:hAnsi="宋体" w:cs="宋体"/>
          <w:color w:val="000000"/>
          <w:kern w:val="0"/>
          <w:sz w:val="24"/>
        </w:rPr>
        <w:t>的规定或者未经股东大会同意，与</w:t>
      </w:r>
      <w:r>
        <w:rPr>
          <w:rFonts w:hint="eastAsia" w:ascii="宋体" w:hAnsi="宋体" w:cs="宋体"/>
          <w:color w:val="000000"/>
          <w:kern w:val="0"/>
          <w:sz w:val="24"/>
        </w:rPr>
        <w:t>本行</w:t>
      </w:r>
      <w:r>
        <w:rPr>
          <w:rFonts w:ascii="宋体" w:hAnsi="宋体" w:cs="宋体"/>
          <w:color w:val="000000"/>
          <w:kern w:val="0"/>
          <w:sz w:val="24"/>
        </w:rPr>
        <w:t>订立合同或者进行交易；</w:t>
      </w:r>
    </w:p>
    <w:p>
      <w:pPr>
        <w:widowControl/>
        <w:numPr>
          <w:ilvl w:val="0"/>
          <w:numId w:val="17"/>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未经股东大会同意，利用职务便利为自己或者他人谋取属于</w:t>
      </w:r>
      <w:r>
        <w:rPr>
          <w:rFonts w:hint="eastAsia" w:ascii="宋体" w:hAnsi="宋体" w:cs="宋体"/>
          <w:color w:val="000000"/>
          <w:kern w:val="0"/>
          <w:sz w:val="24"/>
        </w:rPr>
        <w:t>本行</w:t>
      </w:r>
      <w:r>
        <w:rPr>
          <w:rFonts w:ascii="宋体" w:hAnsi="宋体" w:cs="宋体"/>
          <w:color w:val="000000"/>
          <w:kern w:val="0"/>
          <w:sz w:val="24"/>
        </w:rPr>
        <w:t>的商业机会，自营或者为他人经营与</w:t>
      </w:r>
      <w:r>
        <w:rPr>
          <w:rFonts w:hint="eastAsia" w:ascii="宋体" w:hAnsi="宋体" w:cs="宋体"/>
          <w:color w:val="000000"/>
          <w:kern w:val="0"/>
          <w:sz w:val="24"/>
        </w:rPr>
        <w:t>本行</w:t>
      </w:r>
      <w:r>
        <w:rPr>
          <w:rFonts w:ascii="宋体" w:hAnsi="宋体" w:cs="宋体"/>
          <w:color w:val="000000"/>
          <w:kern w:val="0"/>
          <w:sz w:val="24"/>
        </w:rPr>
        <w:t>同类的业务；</w:t>
      </w:r>
    </w:p>
    <w:p>
      <w:pPr>
        <w:widowControl/>
        <w:numPr>
          <w:ilvl w:val="0"/>
          <w:numId w:val="17"/>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接受与本行交易的佣金归为己有；</w:t>
      </w:r>
    </w:p>
    <w:p>
      <w:pPr>
        <w:widowControl/>
        <w:numPr>
          <w:ilvl w:val="0"/>
          <w:numId w:val="17"/>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擅自披露</w:t>
      </w:r>
      <w:r>
        <w:rPr>
          <w:rFonts w:hint="eastAsia" w:ascii="宋体" w:hAnsi="宋体" w:cs="宋体"/>
          <w:color w:val="000000"/>
          <w:kern w:val="0"/>
          <w:sz w:val="24"/>
        </w:rPr>
        <w:t>本行</w:t>
      </w:r>
      <w:r>
        <w:rPr>
          <w:rFonts w:ascii="宋体" w:hAnsi="宋体" w:cs="宋体"/>
          <w:color w:val="000000"/>
          <w:kern w:val="0"/>
          <w:sz w:val="24"/>
        </w:rPr>
        <w:t>秘密；</w:t>
      </w:r>
    </w:p>
    <w:p>
      <w:pPr>
        <w:widowControl/>
        <w:numPr>
          <w:ilvl w:val="0"/>
          <w:numId w:val="17"/>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利用其关联关系损害本行利益；</w:t>
      </w:r>
    </w:p>
    <w:p>
      <w:pPr>
        <w:widowControl/>
        <w:numPr>
          <w:ilvl w:val="0"/>
          <w:numId w:val="17"/>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违反</w:t>
      </w:r>
      <w:r>
        <w:rPr>
          <w:rFonts w:hint="eastAsia" w:ascii="宋体" w:hAnsi="宋体" w:cs="宋体"/>
          <w:color w:val="000000"/>
          <w:kern w:val="0"/>
          <w:sz w:val="24"/>
        </w:rPr>
        <w:t>法律、行政法规、部门规章及本章程规定的</w:t>
      </w:r>
      <w:r>
        <w:rPr>
          <w:rFonts w:ascii="宋体" w:hAnsi="宋体" w:cs="宋体"/>
          <w:color w:val="000000"/>
          <w:kern w:val="0"/>
          <w:sz w:val="24"/>
        </w:rPr>
        <w:t>对</w:t>
      </w:r>
      <w:r>
        <w:rPr>
          <w:rFonts w:hint="eastAsia" w:ascii="宋体" w:hAnsi="宋体" w:cs="宋体"/>
          <w:color w:val="000000"/>
          <w:kern w:val="0"/>
          <w:sz w:val="24"/>
        </w:rPr>
        <w:t>本行的其他</w:t>
      </w:r>
      <w:r>
        <w:rPr>
          <w:rFonts w:ascii="宋体" w:hAnsi="宋体" w:cs="宋体"/>
          <w:color w:val="000000"/>
          <w:kern w:val="0"/>
          <w:sz w:val="24"/>
        </w:rPr>
        <w:t>忠实义务。</w:t>
      </w:r>
    </w:p>
    <w:p>
      <w:pPr>
        <w:widowControl/>
        <w:spacing w:line="320" w:lineRule="exact"/>
        <w:ind w:firstLine="470" w:firstLineChars="196"/>
        <w:jc w:val="left"/>
        <w:rPr>
          <w:sz w:val="24"/>
        </w:rPr>
      </w:pPr>
      <w:r>
        <w:rPr>
          <w:sz w:val="24"/>
        </w:rPr>
        <w:t>董事违反前款规定所得的收入应当归</w:t>
      </w:r>
      <w:r>
        <w:rPr>
          <w:rFonts w:hint="eastAsia"/>
          <w:sz w:val="24"/>
        </w:rPr>
        <w:t>本行</w:t>
      </w:r>
      <w:r>
        <w:rPr>
          <w:sz w:val="24"/>
        </w:rPr>
        <w:t>所有。</w:t>
      </w:r>
      <w:r>
        <w:rPr>
          <w:rFonts w:hint="eastAsia"/>
          <w:sz w:val="24"/>
        </w:rPr>
        <w:t xml:space="preserve">给本行造成损失的，应当承担赔偿责任。 </w:t>
      </w:r>
    </w:p>
    <w:p>
      <w:pPr>
        <w:widowControl/>
        <w:numPr>
          <w:ilvl w:val="0"/>
          <w:numId w:val="2"/>
        </w:numPr>
        <w:tabs>
          <w:tab w:val="left" w:pos="2268"/>
          <w:tab w:val="clear" w:pos="1920"/>
        </w:tabs>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董事应当遵守法律、行政法规和本章程，对本行负有下列勤勉义务： </w:t>
      </w:r>
    </w:p>
    <w:p>
      <w:pPr>
        <w:widowControl/>
        <w:spacing w:line="320" w:lineRule="exact"/>
        <w:ind w:firstLine="424" w:firstLineChars="177"/>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（一）应谨慎、认真、勤勉地行使本行赋予的权利，以保证本行的商业行为符合国家法律、行政法规以及国家各项经济政策的要求，商业活动不超过营业执照规定的业务范围； </w:t>
      </w:r>
    </w:p>
    <w:p>
      <w:pPr>
        <w:widowControl/>
        <w:spacing w:line="320" w:lineRule="exact"/>
        <w:ind w:firstLine="424" w:firstLineChars="177"/>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（二）</w:t>
      </w:r>
      <w:r>
        <w:rPr>
          <w:rFonts w:hint="eastAsia" w:ascii="宋体" w:hAnsi="宋体" w:cs="宋体"/>
          <w:bCs/>
          <w:smallCaps/>
          <w:color w:val="000000"/>
          <w:kern w:val="0"/>
          <w:sz w:val="24"/>
          <w:szCs w:val="20"/>
          <w:lang w:val="en-US" w:eastAsia="zh-CN"/>
        </w:rPr>
        <w:t>在履行职责时，</w:t>
      </w:r>
      <w:r>
        <w:rPr>
          <w:rFonts w:hint="eastAsia" w:ascii="宋体" w:hAnsi="宋体" w:cs="宋体"/>
          <w:bCs/>
          <w:smallCaps/>
          <w:color w:val="000000"/>
          <w:kern w:val="0"/>
          <w:sz w:val="24"/>
          <w:szCs w:val="20"/>
        </w:rPr>
        <w:t xml:space="preserve">对本行和全体股东负责，应公平对待所有股东； </w:t>
      </w:r>
    </w:p>
    <w:p>
      <w:pPr>
        <w:widowControl/>
        <w:spacing w:line="320" w:lineRule="exact"/>
        <w:ind w:firstLine="424" w:firstLineChars="177"/>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（三）及时</w:t>
      </w:r>
      <w:r>
        <w:rPr>
          <w:rFonts w:hint="eastAsia" w:ascii="宋体" w:hAnsi="宋体" w:cs="宋体"/>
          <w:bCs/>
          <w:smallCaps/>
          <w:color w:val="000000"/>
          <w:kern w:val="0"/>
          <w:sz w:val="24"/>
          <w:szCs w:val="20"/>
          <w:lang w:val="en-US" w:eastAsia="zh-CN"/>
        </w:rPr>
        <w:t>持续地</w:t>
      </w:r>
      <w:r>
        <w:rPr>
          <w:rFonts w:hint="eastAsia" w:ascii="宋体" w:hAnsi="宋体" w:cs="宋体"/>
          <w:bCs/>
          <w:smallCaps/>
          <w:color w:val="000000"/>
          <w:kern w:val="0"/>
          <w:sz w:val="24"/>
          <w:szCs w:val="20"/>
        </w:rPr>
        <w:t>了解本行业务经营管理状况</w:t>
      </w:r>
      <w:r>
        <w:rPr>
          <w:rFonts w:hint="eastAsia" w:ascii="宋体" w:hAnsi="宋体" w:cs="宋体"/>
          <w:bCs/>
          <w:smallCaps/>
          <w:color w:val="000000"/>
          <w:kern w:val="0"/>
          <w:sz w:val="24"/>
          <w:szCs w:val="20"/>
          <w:lang w:eastAsia="zh-CN"/>
        </w:rPr>
        <w:t>，</w:t>
      </w:r>
      <w:r>
        <w:rPr>
          <w:rFonts w:hint="eastAsia" w:ascii="宋体" w:hAnsi="宋体" w:cs="宋体"/>
          <w:bCs/>
          <w:smallCaps/>
          <w:color w:val="000000"/>
          <w:kern w:val="0"/>
          <w:sz w:val="24"/>
          <w:szCs w:val="20"/>
        </w:rPr>
        <w:t xml:space="preserve">有权要求高级管理层全面、及时、准确地提供反映本行经营管理情况的相关资料或就有关问题作出说明；对高级管理层执行股东大会、董事会决议情况进行监督； </w:t>
      </w:r>
    </w:p>
    <w:p>
      <w:pPr>
        <w:widowControl/>
        <w:spacing w:line="320" w:lineRule="exact"/>
        <w:ind w:firstLine="424" w:firstLineChars="177"/>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（四）应当对本行证券发行文件和定期报告签署书面确认意见。保证本行所披露的信息真实、准确、完整； </w:t>
      </w:r>
    </w:p>
    <w:p>
      <w:pPr>
        <w:widowControl/>
        <w:spacing w:line="320" w:lineRule="exact"/>
        <w:ind w:firstLine="424" w:firstLineChars="177"/>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rPr>
        <w:t>（五）应当如实向监事会提供有关情况和资料，不得妨碍监事会或者监事行使职权；</w:t>
      </w:r>
    </w:p>
    <w:p>
      <w:pPr>
        <w:widowControl/>
        <w:spacing w:line="320" w:lineRule="exact"/>
        <w:ind w:firstLine="424" w:firstLineChars="177"/>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lang w:eastAsia="zh-CN"/>
        </w:rPr>
        <w:t>（</w:t>
      </w:r>
      <w:r>
        <w:rPr>
          <w:rFonts w:hint="eastAsia" w:ascii="宋体" w:hAnsi="宋体" w:cs="宋体"/>
          <w:bCs/>
          <w:smallCaps/>
          <w:color w:val="000000"/>
          <w:kern w:val="0"/>
          <w:sz w:val="24"/>
          <w:szCs w:val="20"/>
          <w:lang w:val="en-US" w:eastAsia="zh-CN"/>
        </w:rPr>
        <w:t>六</w:t>
      </w:r>
      <w:r>
        <w:rPr>
          <w:rFonts w:hint="eastAsia" w:ascii="宋体" w:hAnsi="宋体" w:cs="宋体"/>
          <w:bCs/>
          <w:smallCaps/>
          <w:color w:val="000000"/>
          <w:kern w:val="0"/>
          <w:sz w:val="24"/>
          <w:szCs w:val="20"/>
          <w:lang w:eastAsia="zh-CN"/>
        </w:rPr>
        <w:t>）</w:t>
      </w:r>
      <w:r>
        <w:rPr>
          <w:rFonts w:hint="eastAsia" w:ascii="宋体" w:hAnsi="宋体" w:cs="宋体"/>
          <w:bCs/>
          <w:smallCaps/>
          <w:color w:val="000000"/>
          <w:kern w:val="0"/>
          <w:sz w:val="24"/>
          <w:szCs w:val="20"/>
        </w:rPr>
        <w:t>按时参加董事会会议，对董事会审议事项进行充分审查，独立、专业、客观地发表意见，在审慎判断的基础上独立作出表决；</w:t>
      </w:r>
    </w:p>
    <w:p>
      <w:pPr>
        <w:widowControl/>
        <w:spacing w:line="320" w:lineRule="exact"/>
        <w:ind w:firstLine="424" w:firstLineChars="177"/>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rPr>
        <w:t>（</w:t>
      </w:r>
      <w:r>
        <w:rPr>
          <w:rFonts w:hint="eastAsia" w:ascii="宋体" w:hAnsi="宋体" w:cs="宋体"/>
          <w:bCs/>
          <w:smallCaps/>
          <w:color w:val="000000"/>
          <w:kern w:val="0"/>
          <w:sz w:val="24"/>
          <w:szCs w:val="20"/>
          <w:lang w:val="en-US" w:eastAsia="zh-CN"/>
        </w:rPr>
        <w:t>七</w:t>
      </w:r>
      <w:r>
        <w:rPr>
          <w:rFonts w:hint="eastAsia" w:ascii="宋体" w:hAnsi="宋体" w:cs="宋体"/>
          <w:bCs/>
          <w:smallCaps/>
          <w:color w:val="000000"/>
          <w:kern w:val="0"/>
          <w:sz w:val="24"/>
          <w:szCs w:val="20"/>
        </w:rPr>
        <w:t>）对董事会决议承担责任；</w:t>
      </w:r>
    </w:p>
    <w:p>
      <w:pPr>
        <w:widowControl/>
        <w:spacing w:line="320" w:lineRule="exact"/>
        <w:ind w:firstLine="424" w:firstLineChars="177"/>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rPr>
        <w:t>（</w:t>
      </w:r>
      <w:r>
        <w:rPr>
          <w:rFonts w:hint="eastAsia" w:ascii="宋体" w:hAnsi="宋体" w:cs="宋体"/>
          <w:bCs/>
          <w:smallCaps/>
          <w:color w:val="000000"/>
          <w:kern w:val="0"/>
          <w:sz w:val="24"/>
          <w:szCs w:val="20"/>
          <w:lang w:val="en-US" w:eastAsia="zh-CN"/>
        </w:rPr>
        <w:t>八</w:t>
      </w:r>
      <w:r>
        <w:rPr>
          <w:rFonts w:hint="eastAsia" w:ascii="宋体" w:hAnsi="宋体" w:cs="宋体"/>
          <w:bCs/>
          <w:smallCaps/>
          <w:color w:val="000000"/>
          <w:kern w:val="0"/>
          <w:sz w:val="24"/>
          <w:szCs w:val="20"/>
        </w:rPr>
        <w:t>）积极参加</w:t>
      </w:r>
      <w:r>
        <w:rPr>
          <w:rFonts w:hint="eastAsia" w:ascii="宋体" w:hAnsi="宋体" w:cs="宋体"/>
          <w:bCs/>
          <w:smallCaps/>
          <w:color w:val="000000"/>
          <w:kern w:val="0"/>
          <w:sz w:val="24"/>
          <w:szCs w:val="20"/>
          <w:lang w:val="en-US" w:eastAsia="zh-CN"/>
        </w:rPr>
        <w:t>本行</w:t>
      </w:r>
      <w:r>
        <w:rPr>
          <w:rFonts w:hint="eastAsia" w:ascii="宋体" w:hAnsi="宋体" w:cs="宋体"/>
          <w:bCs/>
          <w:smallCaps/>
          <w:color w:val="000000"/>
          <w:kern w:val="0"/>
          <w:sz w:val="24"/>
          <w:szCs w:val="20"/>
        </w:rPr>
        <w:t>和监管机构等组织的培训，了解董事的权利和义务，熟悉有关法律法规及监管规定，持续具备履行职责所需的专业知识和能力；</w:t>
      </w:r>
    </w:p>
    <w:p>
      <w:pPr>
        <w:widowControl/>
        <w:spacing w:line="320" w:lineRule="exact"/>
        <w:ind w:firstLine="424" w:firstLineChars="177"/>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w:t>
      </w:r>
      <w:r>
        <w:rPr>
          <w:rFonts w:hint="eastAsia" w:ascii="宋体" w:hAnsi="宋体" w:cs="宋体"/>
          <w:bCs/>
          <w:smallCaps/>
          <w:color w:val="000000"/>
          <w:kern w:val="0"/>
          <w:sz w:val="24"/>
          <w:szCs w:val="20"/>
          <w:lang w:val="en-US" w:eastAsia="zh-CN"/>
        </w:rPr>
        <w:t>九</w:t>
      </w:r>
      <w:r>
        <w:rPr>
          <w:rFonts w:hint="eastAsia" w:ascii="宋体" w:hAnsi="宋体" w:cs="宋体"/>
          <w:bCs/>
          <w:smallCaps/>
          <w:color w:val="000000"/>
          <w:kern w:val="0"/>
          <w:sz w:val="24"/>
          <w:szCs w:val="20"/>
        </w:rPr>
        <w:t>）执行高标准的职业道德准则，并考虑利益相关者的合法权益</w:t>
      </w:r>
      <w:r>
        <w:rPr>
          <w:rFonts w:hint="eastAsia" w:ascii="宋体" w:hAnsi="宋体" w:cs="宋体"/>
          <w:bCs/>
          <w:smallCaps/>
          <w:color w:val="000000"/>
          <w:kern w:val="0"/>
          <w:sz w:val="24"/>
          <w:szCs w:val="20"/>
          <w:lang w:eastAsia="zh-CN"/>
        </w:rPr>
        <w:t>；</w:t>
      </w:r>
      <w:r>
        <w:rPr>
          <w:rFonts w:hint="eastAsia" w:ascii="宋体" w:hAnsi="宋体" w:cs="宋体"/>
          <w:bCs/>
          <w:smallCaps/>
          <w:color w:val="000000"/>
          <w:kern w:val="0"/>
          <w:sz w:val="24"/>
          <w:szCs w:val="20"/>
        </w:rPr>
        <w:t xml:space="preserve"> </w:t>
      </w:r>
    </w:p>
    <w:p>
      <w:pPr>
        <w:widowControl/>
        <w:spacing w:line="320" w:lineRule="exact"/>
        <w:ind w:firstLine="424" w:firstLineChars="177"/>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w:t>
      </w:r>
      <w:r>
        <w:rPr>
          <w:rFonts w:hint="eastAsia" w:ascii="宋体" w:hAnsi="宋体" w:cs="宋体"/>
          <w:bCs/>
          <w:smallCaps/>
          <w:color w:val="000000"/>
          <w:kern w:val="0"/>
          <w:sz w:val="24"/>
          <w:szCs w:val="20"/>
          <w:lang w:val="en-US" w:eastAsia="zh-CN"/>
        </w:rPr>
        <w:t>十</w:t>
      </w:r>
      <w:r>
        <w:rPr>
          <w:rFonts w:hint="eastAsia" w:ascii="宋体" w:hAnsi="宋体" w:cs="宋体"/>
          <w:bCs/>
          <w:smallCaps/>
          <w:color w:val="000000"/>
          <w:kern w:val="0"/>
          <w:sz w:val="24"/>
          <w:szCs w:val="20"/>
        </w:rPr>
        <w:t>）法律、行政法规、部门规章及本章程规定的其他勤勉义务。</w:t>
      </w:r>
    </w:p>
    <w:p>
      <w:pPr>
        <w:widowControl/>
        <w:numPr>
          <w:ilvl w:val="0"/>
          <w:numId w:val="2"/>
        </w:numPr>
        <w:tabs>
          <w:tab w:val="left" w:pos="2268"/>
          <w:tab w:val="clear" w:pos="1920"/>
        </w:tabs>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未经</w:t>
      </w:r>
      <w:r>
        <w:rPr>
          <w:rFonts w:hint="eastAsia" w:ascii="宋体" w:hAnsi="宋体" w:cs="宋体"/>
          <w:bCs/>
          <w:smallCaps/>
          <w:color w:val="000000"/>
          <w:kern w:val="0"/>
          <w:sz w:val="24"/>
          <w:szCs w:val="20"/>
        </w:rPr>
        <w:t>本章程</w:t>
      </w:r>
      <w:r>
        <w:rPr>
          <w:rFonts w:ascii="宋体" w:hAnsi="宋体" w:cs="宋体"/>
          <w:bCs/>
          <w:smallCaps/>
          <w:color w:val="000000"/>
          <w:kern w:val="0"/>
          <w:sz w:val="24"/>
          <w:szCs w:val="20"/>
        </w:rPr>
        <w:t>规定或者董事会的合法授权，任何董事不得以个人名义代表</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或者董事会行事。董事以其个人名义行事时，在第三方会合理地认为该董事代表</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或者董事会行事的情况下，该董事应当事先声明其立场和身份。</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　董事</w:t>
      </w:r>
      <w:r>
        <w:rPr>
          <w:rFonts w:hint="eastAsia" w:ascii="宋体" w:hAnsi="宋体" w:cs="宋体"/>
          <w:bCs/>
          <w:smallCaps/>
          <w:color w:val="000000"/>
          <w:kern w:val="0"/>
          <w:sz w:val="24"/>
          <w:szCs w:val="20"/>
        </w:rPr>
        <w:t>应当投入足够的时间履行职责。董事应当每年亲自出席至少三分之二以上的董事会</w:t>
      </w:r>
      <w:r>
        <w:rPr>
          <w:rFonts w:hint="eastAsia" w:ascii="宋体" w:hAnsi="宋体" w:cs="宋体"/>
          <w:bCs/>
          <w:smallCaps/>
          <w:color w:val="000000"/>
          <w:kern w:val="0"/>
          <w:sz w:val="24"/>
          <w:szCs w:val="20"/>
          <w:lang w:val="en-US" w:eastAsia="zh-CN"/>
        </w:rPr>
        <w:t>现场</w:t>
      </w:r>
      <w:r>
        <w:rPr>
          <w:rFonts w:hint="eastAsia" w:ascii="宋体" w:hAnsi="宋体" w:cs="宋体"/>
          <w:bCs/>
          <w:smallCaps/>
          <w:color w:val="000000"/>
          <w:kern w:val="0"/>
          <w:sz w:val="24"/>
          <w:szCs w:val="20"/>
        </w:rPr>
        <w:t>会议</w:t>
      </w:r>
      <w:r>
        <w:rPr>
          <w:rFonts w:ascii="宋体" w:hAnsi="宋体" w:cs="宋体"/>
          <w:bCs/>
          <w:smallCaps/>
          <w:color w:val="000000"/>
          <w:kern w:val="0"/>
          <w:sz w:val="24"/>
          <w:szCs w:val="20"/>
        </w:rPr>
        <w:t>。</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董事连续二次未能亲自出席，也不书面委托其他董事出席董事会会议，视为不能履行职责，董事会应当建议股东大会予以撤换。</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　董事可以在任期届满以前提出辞职。董事辞职应当向董事会提交书面辞职报告。董事会将在</w:t>
      </w:r>
      <w:r>
        <w:rPr>
          <w:rFonts w:hint="eastAsia" w:ascii="宋体" w:hAnsi="宋体" w:cs="宋体"/>
          <w:bCs/>
          <w:smallCaps/>
          <w:color w:val="000000"/>
          <w:kern w:val="0"/>
          <w:sz w:val="24"/>
          <w:szCs w:val="20"/>
        </w:rPr>
        <w:t>2日内披露有关情况。</w:t>
      </w:r>
    </w:p>
    <w:p>
      <w:pPr>
        <w:widowControl/>
        <w:numPr>
          <w:ilvl w:val="0"/>
          <w:numId w:val="2"/>
        </w:numPr>
        <w:spacing w:line="320" w:lineRule="exact"/>
        <w:jc w:val="left"/>
        <w:rPr>
          <w:rFonts w:hint="eastAsia" w:ascii="宋体" w:hAnsi="宋体" w:cs="宋体"/>
          <w:bCs/>
          <w:smallCaps/>
          <w:color w:val="000000"/>
          <w:kern w:val="0"/>
          <w:sz w:val="24"/>
          <w:szCs w:val="20"/>
        </w:rPr>
      </w:pPr>
      <w:r>
        <w:rPr>
          <w:rFonts w:ascii="宋体" w:hAnsi="宋体" w:cs="宋体"/>
          <w:bCs/>
          <w:smallCaps/>
          <w:color w:val="000000"/>
          <w:kern w:val="0"/>
          <w:sz w:val="24"/>
          <w:szCs w:val="20"/>
        </w:rPr>
        <w:t>　</w:t>
      </w:r>
      <w:r>
        <w:rPr>
          <w:rFonts w:hint="eastAsia" w:ascii="宋体" w:hAnsi="宋体" w:cs="宋体"/>
          <w:bCs/>
          <w:smallCaps/>
          <w:color w:val="000000"/>
          <w:kern w:val="0"/>
          <w:sz w:val="24"/>
          <w:szCs w:val="20"/>
        </w:rPr>
        <w:t>因</w:t>
      </w:r>
      <w:r>
        <w:rPr>
          <w:rFonts w:hint="eastAsia" w:ascii="宋体" w:hAnsi="宋体" w:cs="宋体"/>
          <w:bCs/>
          <w:smallCaps/>
          <w:color w:val="000000"/>
          <w:kern w:val="0"/>
          <w:sz w:val="24"/>
          <w:szCs w:val="20"/>
          <w:lang w:val="en-US" w:eastAsia="zh-CN"/>
        </w:rPr>
        <w:t>换届或</w:t>
      </w:r>
      <w:r>
        <w:rPr>
          <w:rFonts w:hint="eastAsia" w:ascii="宋体" w:hAnsi="宋体" w:cs="宋体"/>
          <w:bCs/>
          <w:smallCaps/>
          <w:color w:val="000000"/>
          <w:kern w:val="0"/>
          <w:sz w:val="24"/>
          <w:szCs w:val="20"/>
        </w:rPr>
        <w:t>董事辞职导致董事会人数低于公司法规定的最低人数或</w:t>
      </w:r>
      <w:r>
        <w:rPr>
          <w:rFonts w:hint="eastAsia" w:ascii="宋体" w:hAnsi="宋体" w:cs="宋体"/>
          <w:bCs/>
          <w:smallCaps/>
          <w:color w:val="000000"/>
          <w:kern w:val="0"/>
          <w:sz w:val="24"/>
          <w:szCs w:val="20"/>
          <w:lang w:val="en-US" w:eastAsia="zh-CN"/>
        </w:rPr>
        <w:t>本</w:t>
      </w:r>
      <w:r>
        <w:rPr>
          <w:rFonts w:hint="eastAsia" w:ascii="宋体" w:hAnsi="宋体" w:cs="宋体"/>
          <w:bCs/>
          <w:smallCaps/>
          <w:color w:val="000000"/>
          <w:kern w:val="0"/>
          <w:sz w:val="24"/>
          <w:szCs w:val="20"/>
        </w:rPr>
        <w:t>章程规定人数的三分之二时，在新的董事就任前，</w:t>
      </w:r>
      <w:r>
        <w:rPr>
          <w:rFonts w:hint="eastAsia" w:ascii="宋体" w:hAnsi="宋体" w:cs="宋体"/>
          <w:bCs/>
          <w:smallCaps/>
          <w:color w:val="000000"/>
          <w:kern w:val="0"/>
          <w:sz w:val="24"/>
          <w:szCs w:val="20"/>
          <w:lang w:val="en-US" w:eastAsia="zh-CN"/>
        </w:rPr>
        <w:t>任期届满或</w:t>
      </w:r>
      <w:r>
        <w:rPr>
          <w:rFonts w:hint="eastAsia" w:ascii="宋体" w:hAnsi="宋体" w:cs="宋体"/>
          <w:bCs/>
          <w:smallCaps/>
          <w:color w:val="000000"/>
          <w:kern w:val="0"/>
          <w:sz w:val="24"/>
          <w:szCs w:val="20"/>
          <w:highlight w:val="none"/>
        </w:rPr>
        <w:t>提出辞职的董事应当继续履行职责。</w:t>
      </w:r>
      <w:r>
        <w:rPr>
          <w:rFonts w:hint="eastAsia" w:ascii="宋体" w:hAnsi="宋体" w:cs="宋体"/>
          <w:bCs/>
          <w:smallCaps/>
          <w:color w:val="000000"/>
          <w:kern w:val="0"/>
          <w:sz w:val="24"/>
          <w:szCs w:val="20"/>
          <w:highlight w:val="none"/>
          <w:lang w:val="en-US" w:eastAsia="zh-CN"/>
        </w:rPr>
        <w:t>银行</w:t>
      </w:r>
      <w:r>
        <w:rPr>
          <w:rFonts w:hint="eastAsia" w:ascii="宋体" w:hAnsi="宋体" w:cs="宋体"/>
          <w:bCs/>
          <w:smallCaps/>
          <w:color w:val="000000"/>
          <w:kern w:val="0"/>
          <w:sz w:val="24"/>
          <w:szCs w:val="20"/>
          <w:highlight w:val="none"/>
        </w:rPr>
        <w:t>正在进行重大风险处置的，董事未经监管</w:t>
      </w:r>
      <w:r>
        <w:rPr>
          <w:rFonts w:hint="eastAsia" w:ascii="宋体" w:hAnsi="宋体" w:cs="宋体"/>
          <w:bCs/>
          <w:smallCaps/>
          <w:color w:val="000000"/>
          <w:kern w:val="0"/>
          <w:sz w:val="24"/>
          <w:szCs w:val="20"/>
        </w:rPr>
        <w:t>机构批准不得辞职。</w:t>
      </w:r>
    </w:p>
    <w:p>
      <w:pPr>
        <w:widowControl/>
        <w:numPr>
          <w:ilvl w:val="-1"/>
          <w:numId w:val="0"/>
        </w:numPr>
        <w:spacing w:line="320" w:lineRule="exact"/>
        <w:ind w:left="0" w:firstLine="480" w:firstLineChars="200"/>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rPr>
        <w:t>除前款所列情形外，董事辞职自辞职报告送达董事会时生效。</w:t>
      </w:r>
    </w:p>
    <w:p>
      <w:pPr>
        <w:widowControl/>
        <w:numPr>
          <w:ilvl w:val="-1"/>
          <w:numId w:val="0"/>
        </w:numPr>
        <w:spacing w:line="320" w:lineRule="exact"/>
        <w:ind w:left="0" w:firstLine="480" w:firstLineChars="200"/>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rPr>
        <w:t>因董事被股东大会罢免、死亡、独立董事丧失独立性辞职，或者存在其他不能履行董事职责的情况，导致董事会人数低于公司法规定的最低人数或董事会表决所需最低人数时，董事会职权应当由股东大会行使，直至董事会人数符合要求。</w:t>
      </w:r>
    </w:p>
    <w:p>
      <w:pPr>
        <w:widowControl/>
        <w:numPr>
          <w:ilvl w:val="0"/>
          <w:numId w:val="0"/>
        </w:numPr>
        <w:spacing w:line="320" w:lineRule="exact"/>
        <w:ind w:firstLine="480" w:firstLineChars="200"/>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rPr>
        <w:t>董事任期届满，或董事会人数低于公司法规定的最低人数或</w:t>
      </w:r>
      <w:r>
        <w:rPr>
          <w:rFonts w:hint="eastAsia" w:ascii="宋体" w:hAnsi="宋体" w:cs="宋体"/>
          <w:bCs/>
          <w:smallCaps/>
          <w:color w:val="000000"/>
          <w:kern w:val="0"/>
          <w:sz w:val="24"/>
          <w:szCs w:val="20"/>
          <w:lang w:val="en-US" w:eastAsia="zh-CN"/>
        </w:rPr>
        <w:t>本</w:t>
      </w:r>
      <w:r>
        <w:rPr>
          <w:rFonts w:hint="eastAsia" w:ascii="宋体" w:hAnsi="宋体" w:cs="宋体"/>
          <w:bCs/>
          <w:smallCaps/>
          <w:color w:val="000000"/>
          <w:kern w:val="0"/>
          <w:sz w:val="24"/>
          <w:szCs w:val="20"/>
        </w:rPr>
        <w:t>章程规定人数的三分之二时，</w:t>
      </w:r>
      <w:r>
        <w:rPr>
          <w:rFonts w:hint="eastAsia" w:ascii="宋体" w:hAnsi="宋体" w:cs="宋体"/>
          <w:bCs/>
          <w:smallCaps/>
          <w:color w:val="000000"/>
          <w:kern w:val="0"/>
          <w:sz w:val="24"/>
          <w:szCs w:val="20"/>
          <w:lang w:val="en-US" w:eastAsia="zh-CN"/>
        </w:rPr>
        <w:t>本行</w:t>
      </w:r>
      <w:r>
        <w:rPr>
          <w:rFonts w:hint="eastAsia" w:ascii="宋体" w:hAnsi="宋体" w:cs="宋体"/>
          <w:bCs/>
          <w:smallCaps/>
          <w:color w:val="000000"/>
          <w:kern w:val="0"/>
          <w:sz w:val="24"/>
          <w:szCs w:val="20"/>
        </w:rPr>
        <w:t>应当及时启动董事选举程序，召开股东大会选举董事。</w:t>
      </w:r>
    </w:p>
    <w:p>
      <w:pPr>
        <w:widowControl/>
        <w:numPr>
          <w:ilvl w:val="0"/>
          <w:numId w:val="0"/>
        </w:numPr>
        <w:spacing w:line="320" w:lineRule="exact"/>
        <w:ind w:firstLine="480" w:firstLineChars="200"/>
        <w:jc w:val="left"/>
        <w:rPr>
          <w:rFonts w:hint="eastAsia" w:ascii="宋体" w:hAnsi="宋体" w:eastAsia="宋体" w:cs="宋体"/>
          <w:b w:val="0"/>
          <w:bCs/>
          <w:smallCaps/>
          <w:color w:val="000000"/>
          <w:kern w:val="0"/>
          <w:sz w:val="24"/>
          <w:szCs w:val="20"/>
          <w:lang w:eastAsia="zh-CN"/>
        </w:rPr>
      </w:pPr>
      <w:r>
        <w:rPr>
          <w:rFonts w:hint="eastAsia" w:ascii="宋体" w:hAnsi="宋体" w:cs="宋体"/>
          <w:bCs/>
          <w:smallCaps/>
          <w:color w:val="000000"/>
          <w:kern w:val="0"/>
          <w:sz w:val="24"/>
          <w:szCs w:val="20"/>
        </w:rPr>
        <w:t>在选举的新任</w:t>
      </w:r>
      <w:r>
        <w:rPr>
          <w:rFonts w:hint="eastAsia" w:ascii="宋体" w:hAnsi="宋体" w:cs="宋体"/>
          <w:bCs/>
          <w:smallCaps/>
          <w:color w:val="000000"/>
          <w:kern w:val="0"/>
          <w:sz w:val="24"/>
          <w:szCs w:val="20"/>
          <w:lang w:val="en-US" w:eastAsia="zh-CN"/>
        </w:rPr>
        <w:t>独立</w:t>
      </w:r>
      <w:r>
        <w:rPr>
          <w:rFonts w:hint="eastAsia" w:ascii="宋体" w:hAnsi="宋体" w:cs="宋体"/>
          <w:bCs/>
          <w:smallCaps/>
          <w:color w:val="000000"/>
          <w:kern w:val="0"/>
          <w:sz w:val="24"/>
          <w:szCs w:val="20"/>
        </w:rPr>
        <w:t>董事获得任职资格核准前，除本条第三款所述情形外，原</w:t>
      </w:r>
      <w:r>
        <w:rPr>
          <w:rFonts w:hint="eastAsia" w:ascii="宋体" w:hAnsi="宋体" w:cs="宋体"/>
          <w:bCs/>
          <w:smallCaps/>
          <w:color w:val="000000"/>
          <w:kern w:val="0"/>
          <w:sz w:val="24"/>
          <w:szCs w:val="20"/>
          <w:lang w:val="en-US" w:eastAsia="zh-CN"/>
        </w:rPr>
        <w:t>独立</w:t>
      </w:r>
      <w:r>
        <w:rPr>
          <w:rFonts w:hint="eastAsia" w:ascii="宋体" w:hAnsi="宋体" w:cs="宋体"/>
          <w:bCs/>
          <w:smallCaps/>
          <w:color w:val="000000"/>
          <w:kern w:val="0"/>
          <w:sz w:val="24"/>
          <w:szCs w:val="20"/>
        </w:rPr>
        <w:t>董事应当继续履职</w:t>
      </w:r>
      <w:r>
        <w:rPr>
          <w:rFonts w:hint="eastAsia" w:ascii="宋体" w:hAnsi="宋体" w:cs="宋体"/>
          <w:b w:val="0"/>
          <w:bCs/>
          <w:smallCaps/>
          <w:color w:val="000000"/>
          <w:kern w:val="0"/>
          <w:sz w:val="24"/>
          <w:szCs w:val="20"/>
        </w:rPr>
        <w:t>。</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 w:val="0"/>
          <w:bCs/>
          <w:smallCaps/>
          <w:color w:val="000000"/>
          <w:kern w:val="0"/>
          <w:sz w:val="24"/>
          <w:szCs w:val="20"/>
        </w:rPr>
        <w:t>　</w:t>
      </w:r>
      <w:r>
        <w:rPr>
          <w:rFonts w:ascii="宋体" w:hAnsi="宋体" w:cs="宋体"/>
          <w:bCs/>
          <w:smallCaps/>
          <w:color w:val="000000"/>
          <w:kern w:val="0"/>
          <w:sz w:val="24"/>
          <w:szCs w:val="20"/>
        </w:rPr>
        <w:t>董事</w:t>
      </w:r>
      <w:r>
        <w:rPr>
          <w:rFonts w:hint="eastAsia" w:ascii="宋体" w:hAnsi="宋体" w:cs="宋体"/>
          <w:bCs/>
          <w:smallCaps/>
          <w:color w:val="000000"/>
          <w:kern w:val="0"/>
          <w:sz w:val="24"/>
          <w:szCs w:val="20"/>
        </w:rPr>
        <w:t>辞职生效或者任期届满，应向董事会办妥所有移交手续，其对公司和股东承担的忠实义务，在任期结束后并不当然解除，在本章程规定的合理期限内仍然有效</w:t>
      </w:r>
      <w:r>
        <w:rPr>
          <w:rFonts w:ascii="宋体" w:hAnsi="宋体" w:cs="宋体"/>
          <w:bCs/>
          <w:smallCaps/>
          <w:color w:val="000000"/>
          <w:kern w:val="0"/>
          <w:sz w:val="24"/>
          <w:szCs w:val="20"/>
        </w:rPr>
        <w:t>。</w:t>
      </w:r>
    </w:p>
    <w:p>
      <w:pPr>
        <w:widowControl/>
        <w:numPr>
          <w:ilvl w:val="0"/>
          <w:numId w:val="2"/>
        </w:numPr>
        <w:spacing w:line="320" w:lineRule="exact"/>
        <w:jc w:val="left"/>
        <w:rPr>
          <w:rFonts w:ascii="宋体" w:hAnsi="宋体" w:cs="宋体"/>
          <w:color w:val="000000"/>
          <w:kern w:val="0"/>
          <w:sz w:val="24"/>
        </w:rPr>
      </w:pPr>
      <w:r>
        <w:rPr>
          <w:rFonts w:ascii="宋体" w:hAnsi="宋体" w:cs="宋体"/>
          <w:bCs/>
          <w:smallCaps/>
          <w:color w:val="000000"/>
          <w:kern w:val="0"/>
          <w:sz w:val="24"/>
          <w:szCs w:val="20"/>
        </w:rPr>
        <w:t>　任职尚未结束的董事，对因其擅自离职</w:t>
      </w:r>
      <w:r>
        <w:rPr>
          <w:rFonts w:hint="eastAsia" w:ascii="宋体" w:hAnsi="宋体" w:cs="宋体"/>
          <w:bCs/>
          <w:smallCaps/>
          <w:color w:val="000000"/>
          <w:kern w:val="0"/>
          <w:sz w:val="24"/>
          <w:szCs w:val="20"/>
        </w:rPr>
        <w:t>使本行</w:t>
      </w:r>
      <w:r>
        <w:rPr>
          <w:rFonts w:ascii="宋体" w:hAnsi="宋体" w:cs="宋体"/>
          <w:bCs/>
          <w:smallCaps/>
          <w:color w:val="000000"/>
          <w:kern w:val="0"/>
          <w:sz w:val="24"/>
          <w:szCs w:val="20"/>
        </w:rPr>
        <w:t>造成的损失，应当承担赔偿责任。</w:t>
      </w:r>
    </w:p>
    <w:p>
      <w:pPr>
        <w:widowControl/>
        <w:numPr>
          <w:ilvl w:val="255"/>
          <w:numId w:val="0"/>
        </w:numPr>
        <w:spacing w:line="320" w:lineRule="exact"/>
        <w:ind w:firstLine="480" w:firstLineChars="200"/>
        <w:jc w:val="left"/>
        <w:rPr>
          <w:rFonts w:ascii="宋体" w:hAnsi="宋体" w:cs="宋体"/>
          <w:color w:val="000000"/>
          <w:kern w:val="0"/>
          <w:sz w:val="24"/>
        </w:rPr>
      </w:pPr>
      <w:r>
        <w:rPr>
          <w:rFonts w:ascii="宋体" w:hAnsi="宋体" w:cs="宋体"/>
          <w:bCs/>
          <w:smallCaps/>
          <w:color w:val="000000"/>
          <w:kern w:val="0"/>
          <w:sz w:val="24"/>
          <w:szCs w:val="20"/>
        </w:rPr>
        <w:t>董事执行</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职务时违反法律</w:t>
      </w:r>
      <w:r>
        <w:rPr>
          <w:rFonts w:hint="eastAsia" w:ascii="宋体" w:hAnsi="宋体" w:cs="宋体"/>
          <w:bCs/>
          <w:smallCaps/>
          <w:color w:val="000000"/>
          <w:kern w:val="0"/>
          <w:sz w:val="24"/>
          <w:szCs w:val="20"/>
        </w:rPr>
        <w:t>、行政</w:t>
      </w:r>
      <w:r>
        <w:rPr>
          <w:rFonts w:ascii="宋体" w:hAnsi="宋体" w:cs="宋体"/>
          <w:bCs/>
          <w:smallCaps/>
          <w:color w:val="000000"/>
          <w:kern w:val="0"/>
          <w:sz w:val="24"/>
          <w:szCs w:val="20"/>
        </w:rPr>
        <w:t>法规</w:t>
      </w:r>
      <w:r>
        <w:rPr>
          <w:rFonts w:hint="eastAsia" w:ascii="宋体" w:hAnsi="宋体" w:cs="宋体"/>
          <w:bCs/>
          <w:smallCaps/>
          <w:color w:val="000000"/>
          <w:kern w:val="0"/>
          <w:sz w:val="24"/>
          <w:szCs w:val="20"/>
        </w:rPr>
        <w:t>、</w:t>
      </w:r>
      <w:r>
        <w:rPr>
          <w:rFonts w:ascii="宋体" w:hAnsi="宋体" w:cs="宋体"/>
          <w:bCs/>
          <w:smallCaps/>
          <w:color w:val="000000"/>
          <w:kern w:val="0"/>
          <w:sz w:val="24"/>
          <w:szCs w:val="20"/>
        </w:rPr>
        <w:t>部门规章或本章程的规定</w:t>
      </w:r>
      <w:r>
        <w:rPr>
          <w:rFonts w:hint="eastAsia" w:ascii="宋体" w:hAnsi="宋体" w:cs="宋体"/>
          <w:bCs/>
          <w:smallCaps/>
          <w:color w:val="000000"/>
          <w:kern w:val="0"/>
          <w:sz w:val="24"/>
          <w:szCs w:val="20"/>
        </w:rPr>
        <w:t>，</w:t>
      </w:r>
      <w:r>
        <w:rPr>
          <w:rFonts w:ascii="宋体" w:hAnsi="宋体" w:cs="宋体"/>
          <w:bCs/>
          <w:smallCaps/>
          <w:color w:val="000000"/>
          <w:kern w:val="0"/>
          <w:sz w:val="24"/>
          <w:szCs w:val="20"/>
        </w:rPr>
        <w:t>给本行造成损失的</w:t>
      </w:r>
      <w:r>
        <w:rPr>
          <w:rFonts w:hint="eastAsia" w:ascii="宋体" w:hAnsi="宋体" w:cs="宋体"/>
          <w:bCs/>
          <w:smallCaps/>
          <w:color w:val="000000"/>
          <w:kern w:val="0"/>
          <w:sz w:val="24"/>
          <w:szCs w:val="20"/>
        </w:rPr>
        <w:t>，</w:t>
      </w:r>
      <w:r>
        <w:rPr>
          <w:rFonts w:ascii="宋体" w:hAnsi="宋体" w:cs="宋体"/>
          <w:bCs/>
          <w:smallCaps/>
          <w:color w:val="000000"/>
          <w:kern w:val="0"/>
          <w:sz w:val="24"/>
          <w:szCs w:val="20"/>
        </w:rPr>
        <w:t>应当承担赔偿责任</w:t>
      </w:r>
      <w:r>
        <w:rPr>
          <w:rFonts w:hint="eastAsia" w:ascii="宋体" w:hAnsi="宋体" w:cs="宋体"/>
          <w:bCs/>
          <w:smallCaps/>
          <w:color w:val="000000"/>
          <w:kern w:val="0"/>
          <w:sz w:val="24"/>
          <w:szCs w:val="20"/>
        </w:rPr>
        <w:t>。</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　本节有关董事义务的规定，适用于</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监事</w:t>
      </w:r>
      <w:r>
        <w:rPr>
          <w:rFonts w:hint="eastAsia" w:ascii="宋体" w:hAnsi="宋体" w:cs="宋体"/>
          <w:bCs/>
          <w:smallCaps/>
          <w:color w:val="000000"/>
          <w:kern w:val="0"/>
          <w:sz w:val="24"/>
          <w:szCs w:val="20"/>
        </w:rPr>
        <w:t>、高级管理人员</w:t>
      </w:r>
      <w:r>
        <w:rPr>
          <w:rFonts w:ascii="宋体" w:hAnsi="宋体" w:cs="宋体"/>
          <w:bCs/>
          <w:smallCaps/>
          <w:color w:val="000000"/>
          <w:kern w:val="0"/>
          <w:sz w:val="24"/>
          <w:szCs w:val="20"/>
        </w:rPr>
        <w:t>。</w:t>
      </w:r>
    </w:p>
    <w:p>
      <w:pPr>
        <w:widowControl/>
        <w:spacing w:before="100" w:beforeAutospacing="1" w:after="100" w:afterAutospacing="1" w:line="320" w:lineRule="exact"/>
        <w:jc w:val="center"/>
        <w:outlineLvl w:val="1"/>
        <w:rPr>
          <w:rFonts w:ascii="宋体" w:hAnsi="宋体" w:cs="宋体"/>
          <w:b/>
          <w:bCs/>
          <w:color w:val="000000"/>
          <w:kern w:val="0"/>
          <w:sz w:val="24"/>
        </w:rPr>
      </w:pPr>
      <w:r>
        <w:rPr>
          <w:rFonts w:ascii="宋体" w:hAnsi="宋体" w:cs="宋体"/>
          <w:b/>
          <w:bCs/>
          <w:color w:val="000000"/>
          <w:kern w:val="0"/>
          <w:sz w:val="24"/>
        </w:rPr>
        <w:tab/>
      </w:r>
      <w:bookmarkStart w:id="48" w:name="_Toc8056"/>
      <w:bookmarkStart w:id="49" w:name="_Toc13369"/>
      <w:bookmarkStart w:id="50" w:name="_Toc41895458"/>
      <w:r>
        <w:rPr>
          <w:rFonts w:hint="eastAsia" w:ascii="宋体" w:hAnsi="宋体" w:cs="宋体"/>
          <w:b/>
          <w:bCs/>
          <w:smallCaps/>
          <w:color w:val="000000"/>
          <w:kern w:val="0"/>
          <w:sz w:val="24"/>
        </w:rPr>
        <w:t>第二节  独立董事</w:t>
      </w:r>
      <w:bookmarkEnd w:id="48"/>
      <w:bookmarkEnd w:id="49"/>
      <w:bookmarkEnd w:id="50"/>
      <w:r>
        <w:rPr>
          <w:rFonts w:ascii="宋体" w:hAnsi="宋体" w:cs="宋体"/>
          <w:b/>
          <w:bCs/>
          <w:color w:val="000000"/>
          <w:kern w:val="0"/>
          <w:sz w:val="24"/>
        </w:rPr>
        <w:tab/>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本行董事会成员中应当有三分之一以上独立董事</w:t>
      </w:r>
      <w:r>
        <w:rPr>
          <w:rFonts w:ascii="宋体" w:hAnsi="宋体" w:cs="宋体"/>
          <w:bCs/>
          <w:smallCaps/>
          <w:color w:val="000000"/>
          <w:kern w:val="0"/>
          <w:sz w:val="24"/>
          <w:szCs w:val="20"/>
        </w:rPr>
        <w:t>。独立董事</w:t>
      </w:r>
      <w:r>
        <w:rPr>
          <w:rFonts w:hint="eastAsia" w:ascii="宋体" w:hAnsi="宋体" w:cs="宋体"/>
          <w:bCs/>
          <w:smallCaps/>
          <w:color w:val="000000"/>
          <w:kern w:val="0"/>
          <w:sz w:val="24"/>
          <w:szCs w:val="20"/>
        </w:rPr>
        <w:t>应当符合下列基本条件，并须经任职资格许可：</w:t>
      </w:r>
    </w:p>
    <w:p>
      <w:pPr>
        <w:widowControl/>
        <w:numPr>
          <w:ilvl w:val="0"/>
          <w:numId w:val="18"/>
        </w:numPr>
        <w:tabs>
          <w:tab w:val="left" w:pos="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根据法律、行政法规及其他有关规定，具备担任本行董事的资格；</w:t>
      </w:r>
    </w:p>
    <w:p>
      <w:pPr>
        <w:widowControl/>
        <w:numPr>
          <w:ilvl w:val="0"/>
          <w:numId w:val="18"/>
        </w:numPr>
        <w:tabs>
          <w:tab w:val="left" w:pos="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具备本科（含本科）以上学历或相关专业中级以上职称并具有五年以上法律、经济、金融、财务或者其他有利于履行独立董事职责的工作经验；</w:t>
      </w:r>
    </w:p>
    <w:p>
      <w:pPr>
        <w:widowControl/>
        <w:numPr>
          <w:ilvl w:val="0"/>
          <w:numId w:val="18"/>
        </w:numPr>
        <w:tabs>
          <w:tab w:val="left" w:pos="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熟悉商业银行经营管理相关的法律、法规；</w:t>
      </w:r>
    </w:p>
    <w:p>
      <w:pPr>
        <w:widowControl/>
        <w:numPr>
          <w:ilvl w:val="0"/>
          <w:numId w:val="18"/>
        </w:numPr>
        <w:tabs>
          <w:tab w:val="left" w:pos="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能够阅读、理解和分析银行的信贷统计报表和财务报表；</w:t>
      </w:r>
    </w:p>
    <w:p>
      <w:pPr>
        <w:widowControl/>
        <w:numPr>
          <w:ilvl w:val="0"/>
          <w:numId w:val="18"/>
        </w:numPr>
        <w:tabs>
          <w:tab w:val="left" w:pos="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不属于本节第一百一十二、一百一十三条规定情形的人员。</w:t>
      </w:r>
    </w:p>
    <w:p>
      <w:pPr>
        <w:widowControl/>
        <w:numPr>
          <w:ilvl w:val="0"/>
          <w:numId w:val="2"/>
        </w:numPr>
        <w:spacing w:line="320" w:lineRule="exact"/>
        <w:jc w:val="left"/>
        <w:rPr>
          <w:kern w:val="0"/>
          <w:sz w:val="24"/>
        </w:rPr>
      </w:pPr>
      <w:r>
        <w:rPr>
          <w:rFonts w:hint="eastAsia"/>
          <w:kern w:val="0"/>
          <w:sz w:val="24"/>
        </w:rPr>
        <w:t xml:space="preserve">  董事会提名委员会向董事会提出独立董事候选人建议名单；监事会、单独持有或者合并持有本行有表决权股份总数的百分之一以上的股东可以向董事会提出独立董事候选人；已经提名</w:t>
      </w:r>
      <w:r>
        <w:rPr>
          <w:rFonts w:hint="eastAsia"/>
          <w:kern w:val="0"/>
          <w:sz w:val="24"/>
          <w:lang w:val="en-US" w:eastAsia="zh-CN"/>
        </w:rPr>
        <w:t>非独立</w:t>
      </w:r>
      <w:r>
        <w:rPr>
          <w:rFonts w:hint="eastAsia"/>
          <w:kern w:val="0"/>
          <w:sz w:val="24"/>
        </w:rPr>
        <w:t>董事的股东</w:t>
      </w:r>
      <w:r>
        <w:rPr>
          <w:rFonts w:hint="eastAsia"/>
          <w:kern w:val="0"/>
          <w:sz w:val="24"/>
          <w:lang w:val="en-US" w:eastAsia="zh-CN"/>
        </w:rPr>
        <w:t>及其关联方</w:t>
      </w:r>
      <w:r>
        <w:rPr>
          <w:rFonts w:hint="eastAsia"/>
          <w:kern w:val="0"/>
          <w:sz w:val="24"/>
        </w:rPr>
        <w:t>不得再提名独立董事；董事会提名委员会对候选人任职资格及条件进行初步审议；董事会作出决议后提交股东大会普通决议审议通过。</w:t>
      </w:r>
    </w:p>
    <w:p>
      <w:pPr>
        <w:widowControl/>
        <w:spacing w:line="320" w:lineRule="exact"/>
        <w:ind w:firstLine="480" w:firstLineChars="200"/>
        <w:jc w:val="left"/>
        <w:rPr>
          <w:kern w:val="0"/>
          <w:sz w:val="24"/>
        </w:rPr>
      </w:pPr>
      <w:r>
        <w:rPr>
          <w:rFonts w:hint="eastAsia"/>
          <w:kern w:val="0"/>
          <w:sz w:val="24"/>
        </w:rPr>
        <w:t>任职期间被银行业监督管理机构取消任职资格的独立董事，其职务自任职资格被取消之日起当然解除。</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拟任、现任独立董事还不得存在下列情形： </w:t>
      </w:r>
    </w:p>
    <w:p>
      <w:pPr>
        <w:widowControl/>
        <w:numPr>
          <w:ilvl w:val="0"/>
          <w:numId w:val="19"/>
        </w:numPr>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本人及其近亲属合并持有本行1%以上股份或股权的股东；</w:t>
      </w:r>
    </w:p>
    <w:p>
      <w:pPr>
        <w:widowControl/>
        <w:numPr>
          <w:ilvl w:val="0"/>
          <w:numId w:val="19"/>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本人或其近亲属在持有本行1%以上股份或股权的股东单位任职的人员；</w:t>
      </w:r>
    </w:p>
    <w:p>
      <w:pPr>
        <w:widowControl/>
        <w:numPr>
          <w:ilvl w:val="0"/>
          <w:numId w:val="19"/>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本人或其近亲属在本行、本行控股或者实际控制的机构任职；</w:t>
      </w:r>
    </w:p>
    <w:p>
      <w:pPr>
        <w:widowControl/>
        <w:numPr>
          <w:ilvl w:val="0"/>
          <w:numId w:val="19"/>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本人或其近亲属在不能按期偿还本行贷款的机构任职；</w:t>
      </w:r>
    </w:p>
    <w:p>
      <w:pPr>
        <w:widowControl/>
        <w:numPr>
          <w:ilvl w:val="0"/>
          <w:numId w:val="19"/>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本人或其近亲属任职的机构与本行存在因法律、会计、审计、管理咨询、担保合作等方面的业务联系或债权债务等方面的利益关系，以致于妨碍其履职独立性的情形；</w:t>
      </w:r>
    </w:p>
    <w:p>
      <w:pPr>
        <w:widowControl/>
        <w:numPr>
          <w:ilvl w:val="0"/>
          <w:numId w:val="19"/>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本人或其近亲属可能被本行主要股东</w:t>
      </w:r>
      <w:r>
        <w:rPr>
          <w:rFonts w:hint="eastAsia" w:ascii="宋体" w:hAnsi="宋体" w:cs="宋体"/>
          <w:color w:val="000000"/>
          <w:kern w:val="0"/>
          <w:sz w:val="24"/>
        </w:rPr>
        <w:t>、</w:t>
      </w:r>
      <w:r>
        <w:rPr>
          <w:rFonts w:ascii="宋体" w:hAnsi="宋体" w:cs="宋体"/>
          <w:color w:val="000000"/>
          <w:kern w:val="0"/>
          <w:sz w:val="24"/>
        </w:rPr>
        <w:t>高管层控制或施加重大影响</w:t>
      </w:r>
      <w:r>
        <w:rPr>
          <w:rFonts w:hint="eastAsia" w:ascii="宋体" w:hAnsi="宋体" w:cs="宋体"/>
          <w:color w:val="000000"/>
          <w:kern w:val="0"/>
          <w:sz w:val="24"/>
        </w:rPr>
        <w:t>，</w:t>
      </w:r>
      <w:r>
        <w:rPr>
          <w:rFonts w:ascii="宋体" w:hAnsi="宋体" w:cs="宋体"/>
          <w:color w:val="000000"/>
          <w:kern w:val="0"/>
          <w:sz w:val="24"/>
        </w:rPr>
        <w:t>以致于妨碍其履职独立性的其他情形</w:t>
      </w:r>
      <w:r>
        <w:rPr>
          <w:rFonts w:hint="eastAsia" w:ascii="宋体" w:hAnsi="宋体" w:cs="宋体"/>
          <w:color w:val="000000"/>
          <w:kern w:val="0"/>
          <w:sz w:val="24"/>
        </w:rPr>
        <w:t>。</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有下列情形之一的，不得担任本行的独立董事：</w:t>
      </w:r>
    </w:p>
    <w:p>
      <w:pPr>
        <w:widowControl/>
        <w:numPr>
          <w:ilvl w:val="0"/>
          <w:numId w:val="20"/>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因犯有贪污、贿赂、侵占财产、挪用财产罪或者破坏市场经济秩序罪，被判处刑罚，或者因犯罪被剥夺政治权利的；</w:t>
      </w:r>
    </w:p>
    <w:p>
      <w:pPr>
        <w:widowControl/>
        <w:numPr>
          <w:ilvl w:val="0"/>
          <w:numId w:val="20"/>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担任因经营不善破产清算的公司、企业的董事或者厂长、经理，并对该公司、企业的破产负有个人责任的；</w:t>
      </w:r>
    </w:p>
    <w:p>
      <w:pPr>
        <w:widowControl/>
        <w:numPr>
          <w:ilvl w:val="0"/>
          <w:numId w:val="20"/>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担任因违法被吊销营业执照的公司、企业的法定代表人，并负有个人责任的；</w:t>
      </w:r>
    </w:p>
    <w:p>
      <w:pPr>
        <w:widowControl/>
        <w:numPr>
          <w:ilvl w:val="0"/>
          <w:numId w:val="20"/>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个人所负数额较大的债务到期未清偿的；</w:t>
      </w:r>
    </w:p>
    <w:p>
      <w:pPr>
        <w:widowControl/>
        <w:numPr>
          <w:ilvl w:val="0"/>
          <w:numId w:val="20"/>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因未能勤勉尽职被原任职单位罢免职务的；</w:t>
      </w:r>
    </w:p>
    <w:p>
      <w:pPr>
        <w:widowControl/>
        <w:numPr>
          <w:ilvl w:val="0"/>
          <w:numId w:val="20"/>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曾经担任高风险金融机构主要负责人且不能证明其对金融机构撤销或资产损失不负有责任的。</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独立董事应当保证有足够的时间和精力有效履行职责，一名自然人最多同时在五家境内外企业担任独立董事。同时在银行保险机构担任独立董事的，相关机构应当不具有关联关系</w:t>
      </w:r>
      <w:r>
        <w:rPr>
          <w:rFonts w:hint="eastAsia" w:ascii="宋体" w:hAnsi="宋体" w:cs="宋体"/>
          <w:bCs/>
          <w:smallCaps/>
          <w:color w:val="000000"/>
          <w:kern w:val="0"/>
          <w:sz w:val="24"/>
          <w:szCs w:val="20"/>
          <w:lang w:eastAsia="zh-CN"/>
        </w:rPr>
        <w:t>，</w:t>
      </w:r>
      <w:r>
        <w:rPr>
          <w:rFonts w:hint="eastAsia" w:ascii="宋体" w:hAnsi="宋体" w:cs="宋体"/>
          <w:bCs/>
          <w:smallCaps/>
          <w:color w:val="000000"/>
          <w:kern w:val="0"/>
          <w:sz w:val="24"/>
          <w:szCs w:val="20"/>
          <w:lang w:val="en-US" w:eastAsia="zh-CN"/>
        </w:rPr>
        <w:t>不存在利益冲突</w:t>
      </w:r>
      <w:r>
        <w:rPr>
          <w:rFonts w:hint="eastAsia" w:ascii="宋体" w:hAnsi="宋体" w:cs="宋体"/>
          <w:bCs/>
          <w:smallCaps/>
          <w:color w:val="000000"/>
          <w:kern w:val="0"/>
          <w:sz w:val="24"/>
          <w:szCs w:val="20"/>
          <w:lang w:eastAsia="zh-CN"/>
        </w:rPr>
        <w:t>。</w:t>
      </w:r>
      <w:r>
        <w:rPr>
          <w:rFonts w:hint="eastAsia" w:ascii="宋体" w:hAnsi="宋体" w:cs="宋体"/>
          <w:bCs/>
          <w:smallCaps/>
          <w:color w:val="000000"/>
          <w:kern w:val="0"/>
          <w:sz w:val="24"/>
          <w:szCs w:val="20"/>
        </w:rPr>
        <w:t>独立董事不应在超过两家商业银行同时任职。独立董事如在本行以外的其他金融机构任职，应事先书面告知本行，并承诺其拟任职务与在本行的任职不存在利益冲突。独立董事依法独立履行职责，不受本行股东或其他与本行有利害关系的单位或个人的影响。</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独立董事在本行任职时间累计不得超过六年。</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独立董事和董事会专门委员会主任委员每年为本行工作的时间不少于十五个工作日；担任审计与消费者权益保护委员会、风险控制与关联交易管理委员会负责人的董事每年在为本行工作的时间不少于二十个工作日。</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独立董事可以书面委托其他独立董事出席董事会议，但每年至少应当亲自出席董事会议总数的三分之二。</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独立董事有下列情形之一的，由董事会或监事会提请股东大会予以罢免：</w:t>
      </w:r>
    </w:p>
    <w:p>
      <w:pPr>
        <w:widowControl/>
        <w:numPr>
          <w:ilvl w:val="0"/>
          <w:numId w:val="21"/>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因职务变动不符合独立董事任职资格条件且本人未提出辞职的；</w:t>
      </w:r>
    </w:p>
    <w:p>
      <w:pPr>
        <w:widowControl/>
        <w:numPr>
          <w:ilvl w:val="0"/>
          <w:numId w:val="21"/>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一年内亲自出席董事会会议的次数少于董事会会议总数的三分之二的；</w:t>
      </w:r>
    </w:p>
    <w:p>
      <w:pPr>
        <w:widowControl/>
        <w:numPr>
          <w:ilvl w:val="0"/>
          <w:numId w:val="21"/>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独立董事连续三次未亲自出席董事会会议的；</w:t>
      </w:r>
    </w:p>
    <w:p>
      <w:pPr>
        <w:widowControl/>
        <w:numPr>
          <w:ilvl w:val="0"/>
          <w:numId w:val="21"/>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法律、法规规定不适合继续担任独立董事的其他情形。</w:t>
      </w:r>
    </w:p>
    <w:p>
      <w:pPr>
        <w:widowControl/>
        <w:numPr>
          <w:ilvl w:val="-1"/>
          <w:numId w:val="0"/>
        </w:numPr>
        <w:tabs>
          <w:tab w:val="left" w:pos="0"/>
        </w:tabs>
        <w:spacing w:line="320" w:lineRule="exact"/>
        <w:ind w:left="0" w:firstLine="0"/>
        <w:jc w:val="left"/>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 xml:space="preserve">     独立董事连续三次未亲自出席董事会会议的，视为不履行职责，本行应当在三个月内召开股东大会罢免其职务并选举新的独立董事。</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董事会或监事会提请罢免独立董事的提案应当由全体董事或监事的三分之二以上表决通过方可提请股东大会审议。若董事会或监事会一方已通过提请罢免独立董事提案，则另一方在通过该提案后可与其联名提交同一提案。</w:t>
      </w:r>
    </w:p>
    <w:p>
      <w:pPr>
        <w:widowControl/>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独立董事在董事会或监事会提出罢免提案前可以向董事会或监事会解释有关情况，进行陈述和辩解。</w:t>
      </w:r>
    </w:p>
    <w:p>
      <w:pPr>
        <w:widowControl/>
        <w:tabs>
          <w:tab w:val="left" w:pos="426"/>
        </w:tabs>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董事会、监事会提请股东大会罢免的独立董事应当在股东大会会议召开前1个月内向银行业监督管理机构等有关监管机构报告并向被提出罢免提案的独立董事本人发出书面通知，</w:t>
      </w:r>
      <w:r>
        <w:rPr>
          <w:rFonts w:hint="eastAsia"/>
          <w:color w:val="000000"/>
          <w:sz w:val="24"/>
        </w:rPr>
        <w:t>被提出罢免提案的</w:t>
      </w:r>
      <w:r>
        <w:rPr>
          <w:rFonts w:hint="eastAsia" w:ascii="宋体" w:hAnsi="宋体" w:cs="宋体"/>
          <w:bCs/>
          <w:smallCaps/>
          <w:color w:val="000000"/>
          <w:kern w:val="0"/>
          <w:sz w:val="24"/>
          <w:szCs w:val="20"/>
        </w:rPr>
        <w:t>独立董事有权在股东大会表决前以口头或书面形式陈述意见，并有权将该意见在股东大会会议召开5日前报送银行业监督管理机构。股东大会应当依法审议独立董事陈述的意见后进行表决。</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独立董事在任期届满前可以提出辞职。独立董事辞职应向董事会提交书面辞职报告，对任何与其辞职有关或其认为有必要引起本行股东和债权人注意的情况进行说明。</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如因独立董事辞职导致本行董事会中独立董事人数低于本章程规定的要求时，该独立董事的辞职报告应当在下任独立董事填补其缺额后生效。</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　</w:t>
      </w:r>
      <w:r>
        <w:rPr>
          <w:rFonts w:hint="eastAsia" w:ascii="宋体" w:hAnsi="宋体" w:cs="宋体"/>
          <w:bCs/>
          <w:smallCaps/>
          <w:color w:val="000000"/>
          <w:kern w:val="0"/>
          <w:sz w:val="24"/>
          <w:szCs w:val="20"/>
        </w:rPr>
        <w:t xml:space="preserve">  独立董事除享有《公司法》和其他相关法律、法规赋予董事的基本职权外，经二分之一独立董事一致同意，还可向董事会提请召开临时股东大会。 </w:t>
      </w:r>
    </w:p>
    <w:p>
      <w:pPr>
        <w:widowControl/>
        <w:numPr>
          <w:ilvl w:val="0"/>
          <w:numId w:val="2"/>
        </w:numPr>
        <w:spacing w:line="320" w:lineRule="exact"/>
        <w:jc w:val="left"/>
        <w:rPr>
          <w:rFonts w:ascii="宋体" w:hAnsi="宋体" w:cs="宋体"/>
          <w:color w:val="000000"/>
          <w:kern w:val="0"/>
          <w:sz w:val="24"/>
        </w:rPr>
      </w:pPr>
      <w:r>
        <w:rPr>
          <w:rFonts w:hint="eastAsia" w:ascii="宋体" w:hAnsi="宋体" w:cs="宋体"/>
          <w:bCs/>
          <w:smallCaps/>
          <w:color w:val="000000"/>
          <w:kern w:val="0"/>
          <w:sz w:val="24"/>
          <w:szCs w:val="20"/>
        </w:rPr>
        <w:t xml:space="preserve">  </w:t>
      </w:r>
      <w:r>
        <w:rPr>
          <w:rFonts w:hint="eastAsia" w:ascii="宋体" w:hAnsi="宋体" w:cs="宋体"/>
          <w:bCs/>
          <w:smallCaps/>
          <w:color w:val="000000"/>
          <w:kern w:val="0"/>
          <w:sz w:val="24"/>
          <w:szCs w:val="20"/>
          <w:lang w:val="en-US" w:eastAsia="zh-CN"/>
        </w:rPr>
        <w:t>独立董事应当对股东大会或者董事会审议事项发表客观、公正的独立意见，尤其应当就以下事项向股东大会或董事会发表意见</w:t>
      </w:r>
      <w:r>
        <w:rPr>
          <w:rFonts w:hint="eastAsia" w:ascii="宋体" w:hAnsi="宋体" w:cs="宋体"/>
          <w:bCs/>
          <w:smallCaps/>
          <w:color w:val="000000"/>
          <w:kern w:val="0"/>
          <w:sz w:val="24"/>
          <w:szCs w:val="20"/>
        </w:rPr>
        <w:t>：</w:t>
      </w:r>
    </w:p>
    <w:p>
      <w:pPr>
        <w:widowControl/>
        <w:numPr>
          <w:ilvl w:val="0"/>
          <w:numId w:val="22"/>
        </w:numPr>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lang w:val="en-US" w:eastAsia="zh-CN"/>
        </w:rPr>
        <w:t>重大关联交易；</w:t>
      </w:r>
    </w:p>
    <w:p>
      <w:pPr>
        <w:widowControl/>
        <w:numPr>
          <w:ilvl w:val="0"/>
          <w:numId w:val="22"/>
        </w:numPr>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提名、任免本行董事；</w:t>
      </w:r>
    </w:p>
    <w:p>
      <w:pPr>
        <w:widowControl/>
        <w:numPr>
          <w:ilvl w:val="0"/>
          <w:numId w:val="22"/>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聘任或解聘本行高级管理人员；</w:t>
      </w:r>
    </w:p>
    <w:p>
      <w:pPr>
        <w:widowControl/>
        <w:numPr>
          <w:ilvl w:val="0"/>
          <w:numId w:val="22"/>
        </w:numPr>
        <w:spacing w:line="320" w:lineRule="exact"/>
        <w:jc w:val="left"/>
        <w:rPr>
          <w:rFonts w:ascii="宋体" w:hAnsi="宋体" w:cs="宋体"/>
          <w:color w:val="000000"/>
          <w:kern w:val="0"/>
          <w:sz w:val="24"/>
        </w:rPr>
      </w:pPr>
      <w:r>
        <w:rPr>
          <w:rFonts w:hint="eastAsia" w:ascii="宋体" w:hAnsi="宋体" w:cs="宋体"/>
          <w:color w:val="000000"/>
          <w:kern w:val="0"/>
          <w:sz w:val="24"/>
        </w:rPr>
        <w:t>本行董事、高级管理人员的薪酬；</w:t>
      </w:r>
    </w:p>
    <w:p>
      <w:pPr>
        <w:widowControl/>
        <w:numPr>
          <w:ilvl w:val="0"/>
          <w:numId w:val="22"/>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lang w:val="en-US" w:eastAsia="zh-CN"/>
        </w:rPr>
        <w:t>利润分配方案；</w:t>
      </w:r>
    </w:p>
    <w:p>
      <w:pPr>
        <w:widowControl/>
        <w:numPr>
          <w:ilvl w:val="0"/>
          <w:numId w:val="22"/>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lang w:val="en-US" w:eastAsia="zh-CN"/>
        </w:rPr>
        <w:t>聘用和解聘为本行财务报告进行定期法定审计的会计师事务所；</w:t>
      </w:r>
    </w:p>
    <w:p>
      <w:pPr>
        <w:widowControl/>
        <w:numPr>
          <w:ilvl w:val="0"/>
          <w:numId w:val="22"/>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其他可能对</w:t>
      </w:r>
      <w:r>
        <w:rPr>
          <w:rFonts w:hint="eastAsia" w:ascii="宋体" w:hAnsi="宋体" w:cs="宋体"/>
          <w:color w:val="000000"/>
          <w:kern w:val="0"/>
          <w:sz w:val="24"/>
          <w:lang w:val="en-US" w:eastAsia="zh-CN"/>
        </w:rPr>
        <w:t>本行</w:t>
      </w:r>
      <w:r>
        <w:rPr>
          <w:rFonts w:hint="eastAsia" w:ascii="宋体" w:hAnsi="宋体" w:cs="宋体"/>
          <w:color w:val="000000"/>
          <w:kern w:val="0"/>
          <w:sz w:val="24"/>
        </w:rPr>
        <w:t>、中小股东、金融消费者合法权益产生重大影响的事项；</w:t>
      </w:r>
    </w:p>
    <w:p>
      <w:pPr>
        <w:widowControl/>
        <w:numPr>
          <w:ilvl w:val="0"/>
          <w:numId w:val="22"/>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lang w:val="en-US" w:eastAsia="zh-CN"/>
        </w:rPr>
        <w:t>法律法规、监管规定或者</w:t>
      </w:r>
      <w:r>
        <w:rPr>
          <w:rFonts w:hint="eastAsia" w:ascii="宋体" w:hAnsi="宋体" w:cs="宋体"/>
          <w:color w:val="000000"/>
          <w:kern w:val="0"/>
          <w:sz w:val="24"/>
        </w:rPr>
        <w:t>本章程规定的其他事项。</w:t>
      </w:r>
    </w:p>
    <w:p>
      <w:pPr>
        <w:widowControl/>
        <w:numPr>
          <w:ilvl w:val="-1"/>
          <w:numId w:val="0"/>
        </w:numPr>
        <w:tabs>
          <w:tab w:val="left" w:pos="0"/>
        </w:tabs>
        <w:spacing w:line="320" w:lineRule="exact"/>
        <w:ind w:left="0" w:firstLine="0"/>
        <w:jc w:val="left"/>
        <w:rPr>
          <w:rFonts w:hint="default" w:ascii="宋体" w:hAnsi="宋体" w:eastAsia="宋体" w:cs="宋体"/>
          <w:color w:val="000000"/>
          <w:kern w:val="0"/>
          <w:sz w:val="24"/>
          <w:lang w:val="en-US" w:eastAsia="zh-CN"/>
        </w:rPr>
      </w:pPr>
      <w:r>
        <w:rPr>
          <w:rFonts w:hint="eastAsia"/>
          <w:lang w:val="en-US" w:eastAsia="zh-CN"/>
        </w:rPr>
        <w:t xml:space="preserve">     </w:t>
      </w:r>
      <w:r>
        <w:rPr>
          <w:rFonts w:hint="eastAsia" w:ascii="宋体" w:hAnsi="宋体" w:cs="宋体"/>
          <w:bCs/>
          <w:smallCaps/>
          <w:color w:val="000000"/>
          <w:kern w:val="0"/>
          <w:sz w:val="24"/>
          <w:szCs w:val="20"/>
          <w:lang w:val="en-US" w:eastAsia="zh-CN"/>
        </w:rPr>
        <w:t>本行独立董事可以推选一名独立董事，负责召集由独立董事参加的专门会议，研究履职相关问题。</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独立董事出现意见分歧无法达成一致时，董事会应将独立董事的意见分别披露。</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本行保证为独立董事提供必要的、有效行使其职权的工作条件。 </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除本节对独立董事有特殊规定的，本章程关于董事的规定均适用于独立董事。</w:t>
      </w:r>
    </w:p>
    <w:p>
      <w:pPr>
        <w:widowControl/>
        <w:spacing w:before="100" w:beforeAutospacing="1" w:after="100" w:afterAutospacing="1" w:line="320" w:lineRule="exact"/>
        <w:jc w:val="center"/>
        <w:outlineLvl w:val="1"/>
        <w:rPr>
          <w:rFonts w:ascii="宋体" w:hAnsi="宋体" w:cs="宋体"/>
          <w:b/>
          <w:bCs/>
          <w:smallCaps/>
          <w:color w:val="000000"/>
          <w:kern w:val="0"/>
          <w:sz w:val="24"/>
        </w:rPr>
      </w:pPr>
      <w:bookmarkStart w:id="51" w:name="_Toc3367"/>
      <w:bookmarkStart w:id="52" w:name="_Toc41895459"/>
      <w:bookmarkStart w:id="53" w:name="_Toc26079"/>
      <w:r>
        <w:rPr>
          <w:rFonts w:ascii="宋体" w:hAnsi="宋体" w:cs="宋体"/>
          <w:b/>
          <w:bCs/>
          <w:smallCaps/>
          <w:color w:val="000000"/>
          <w:kern w:val="0"/>
          <w:sz w:val="24"/>
        </w:rPr>
        <w:t>第</w:t>
      </w:r>
      <w:r>
        <w:rPr>
          <w:rFonts w:hint="eastAsia" w:ascii="宋体" w:hAnsi="宋体" w:cs="宋体"/>
          <w:b/>
          <w:bCs/>
          <w:smallCaps/>
          <w:color w:val="000000"/>
          <w:kern w:val="0"/>
          <w:sz w:val="24"/>
        </w:rPr>
        <w:t>三</w:t>
      </w:r>
      <w:r>
        <w:rPr>
          <w:rFonts w:ascii="宋体" w:hAnsi="宋体" w:cs="宋体"/>
          <w:b/>
          <w:bCs/>
          <w:smallCaps/>
          <w:color w:val="000000"/>
          <w:kern w:val="0"/>
          <w:sz w:val="24"/>
        </w:rPr>
        <w:t>节　董事会</w:t>
      </w:r>
      <w:bookmarkEnd w:id="51"/>
      <w:bookmarkEnd w:id="52"/>
      <w:bookmarkEnd w:id="53"/>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w:t>
      </w:r>
      <w:r>
        <w:rPr>
          <w:rFonts w:ascii="宋体" w:hAnsi="宋体" w:cs="宋体"/>
          <w:bCs/>
          <w:smallCaps/>
          <w:color w:val="000000"/>
          <w:kern w:val="0"/>
          <w:sz w:val="24"/>
          <w:szCs w:val="20"/>
        </w:rPr>
        <w:t>设董事会</w:t>
      </w:r>
      <w:r>
        <w:rPr>
          <w:rFonts w:hint="eastAsia" w:ascii="宋体" w:hAnsi="宋体" w:cs="宋体"/>
          <w:bCs/>
          <w:smallCaps/>
          <w:color w:val="000000"/>
          <w:kern w:val="0"/>
          <w:sz w:val="24"/>
          <w:szCs w:val="20"/>
        </w:rPr>
        <w:t>。董事会是股东大会的执行机构，</w:t>
      </w:r>
      <w:r>
        <w:rPr>
          <w:rFonts w:ascii="宋体" w:hAnsi="宋体" w:cs="宋体"/>
          <w:bCs/>
          <w:smallCaps/>
          <w:color w:val="000000"/>
          <w:kern w:val="0"/>
          <w:sz w:val="24"/>
          <w:szCs w:val="20"/>
        </w:rPr>
        <w:t>对股东大会负责。</w:t>
      </w:r>
      <w:bookmarkStart w:id="54" w:name="93"/>
      <w:r>
        <w:rPr>
          <w:rFonts w:hint="eastAsia" w:ascii="宋体" w:hAnsi="宋体" w:cs="宋体"/>
          <w:bCs/>
          <w:smallCaps/>
          <w:color w:val="000000"/>
          <w:kern w:val="0"/>
          <w:sz w:val="24"/>
          <w:szCs w:val="20"/>
        </w:rPr>
        <w:t>董事会每三年换届一次。</w:t>
      </w:r>
    </w:p>
    <w:p>
      <w:pPr>
        <w:widowControl/>
        <w:spacing w:line="320" w:lineRule="exact"/>
        <w:ind w:firstLine="480" w:firstLineChars="200"/>
        <w:jc w:val="left"/>
        <w:rPr>
          <w:rFonts w:hint="eastAsia" w:ascii="宋体" w:hAnsi="宋体" w:eastAsia="宋体" w:cs="宋体"/>
          <w:sz w:val="24"/>
          <w:szCs w:val="24"/>
        </w:rPr>
      </w:pPr>
      <w:r>
        <w:rPr>
          <w:rFonts w:hint="eastAsia" w:ascii="宋体" w:hAnsi="宋体" w:cs="宋体"/>
          <w:bCs/>
          <w:smallCaps/>
          <w:color w:val="000000"/>
          <w:kern w:val="0"/>
          <w:sz w:val="24"/>
          <w:szCs w:val="20"/>
        </w:rPr>
        <w:t>本行董事会下设审计与消费者权益保护委员会、战略委员会、提名委员会、薪酬委员会、风险控制与关联交易管理委员会。董事会可以根据需要设立其他专门委员会或调整现有专门委员会。专门委员会对董事会负责，依照本章程和董事会授权履行职责，提案应当提交董事会审议决定。专门委员会成员全部由董事组成，其中审计与消费者权益保护委员会、提名委员会、薪酬委员会中独立董事占多数并担任召集人，审计与消费者权益保护委员会的召集人为会计专业人士，风险控制与关联交易管理委员会由独立董事担任召集人</w:t>
      </w:r>
      <w:r>
        <w:rPr>
          <w:rFonts w:hint="eastAsia" w:ascii="宋体" w:hAnsi="宋体" w:cs="宋体"/>
          <w:bCs/>
          <w:smallCaps/>
          <w:color w:val="000000"/>
          <w:kern w:val="0"/>
          <w:sz w:val="24"/>
          <w:szCs w:val="20"/>
          <w:lang w:eastAsia="zh-CN"/>
        </w:rPr>
        <w:t>，</w:t>
      </w:r>
      <w:r>
        <w:rPr>
          <w:rFonts w:hint="eastAsia" w:ascii="宋体" w:hAnsi="宋体" w:cs="宋体"/>
          <w:bCs/>
          <w:smallCaps/>
          <w:color w:val="000000"/>
          <w:kern w:val="0"/>
          <w:sz w:val="24"/>
          <w:szCs w:val="20"/>
          <w:lang w:val="en-US" w:eastAsia="zh-CN"/>
        </w:rPr>
        <w:t>且独立董事占比不低于三分之一</w:t>
      </w:r>
      <w:r>
        <w:rPr>
          <w:rFonts w:hint="eastAsia" w:ascii="宋体" w:hAnsi="宋体" w:cs="宋体"/>
          <w:bCs/>
          <w:smallCaps/>
          <w:color w:val="000000"/>
          <w:kern w:val="0"/>
          <w:sz w:val="24"/>
          <w:szCs w:val="20"/>
        </w:rPr>
        <w:t>。董事会负责制定专门委员会工作规程，规范专门委员会的运作。</w:t>
      </w:r>
      <w:bookmarkEnd w:id="54"/>
      <w:bookmarkStart w:id="55" w:name="94"/>
    </w:p>
    <w:p>
      <w:pPr>
        <w:widowControl/>
        <w:numPr>
          <w:ilvl w:val="0"/>
          <w:numId w:val="2"/>
        </w:numPr>
        <w:spacing w:line="320" w:lineRule="exact"/>
        <w:jc w:val="left"/>
        <w:rPr>
          <w:rFonts w:hint="eastAsia" w:ascii="宋体" w:hAnsi="宋体" w:cs="宋体"/>
          <w:color w:val="000000"/>
          <w:kern w:val="0"/>
          <w:sz w:val="24"/>
        </w:rPr>
      </w:pPr>
      <w:r>
        <w:rPr>
          <w:rFonts w:hint="eastAsia" w:ascii="宋体" w:hAnsi="宋体" w:cs="宋体"/>
          <w:bCs/>
          <w:smallCaps/>
          <w:color w:val="000000"/>
          <w:kern w:val="0"/>
          <w:sz w:val="24"/>
          <w:szCs w:val="20"/>
          <w:lang w:val="en-US" w:eastAsia="zh-CN"/>
        </w:rPr>
        <w:t xml:space="preserve">  </w:t>
      </w:r>
      <w:r>
        <w:rPr>
          <w:rFonts w:hint="eastAsia" w:ascii="宋体" w:hAnsi="宋体" w:cs="宋体"/>
          <w:color w:val="000000"/>
          <w:kern w:val="0"/>
          <w:sz w:val="24"/>
        </w:rPr>
        <w:t>董事会由</w:t>
      </w:r>
      <w:r>
        <w:rPr>
          <w:rFonts w:hint="default" w:ascii="宋体" w:hAnsi="宋体" w:cs="宋体"/>
          <w:color w:val="000000"/>
          <w:kern w:val="0"/>
          <w:sz w:val="24"/>
          <w:lang w:val="en-US" w:eastAsia="zh-CN"/>
        </w:rPr>
        <w:t>13</w:t>
      </w:r>
      <w:r>
        <w:rPr>
          <w:rFonts w:hint="eastAsia" w:ascii="宋体" w:hAnsi="宋体" w:cs="宋体"/>
          <w:color w:val="000000"/>
          <w:kern w:val="0"/>
          <w:sz w:val="24"/>
        </w:rPr>
        <w:t>-</w:t>
      </w:r>
      <w:r>
        <w:rPr>
          <w:rFonts w:hint="default" w:ascii="宋体" w:hAnsi="宋体" w:cs="宋体"/>
          <w:color w:val="000000"/>
          <w:kern w:val="0"/>
          <w:sz w:val="24"/>
          <w:lang w:val="en-US" w:eastAsia="zh-CN"/>
        </w:rPr>
        <w:t>17</w:t>
      </w:r>
      <w:r>
        <w:rPr>
          <w:rFonts w:hint="eastAsia" w:ascii="宋体" w:hAnsi="宋体" w:cs="宋体"/>
          <w:color w:val="000000"/>
          <w:kern w:val="0"/>
          <w:sz w:val="24"/>
        </w:rPr>
        <w:t>名董事组成</w:t>
      </w:r>
      <w:r>
        <w:rPr>
          <w:rFonts w:hint="eastAsia" w:ascii="宋体" w:hAnsi="宋体" w:cs="宋体"/>
          <w:color w:val="000000"/>
          <w:kern w:val="0"/>
          <w:sz w:val="24"/>
          <w:lang w:eastAsia="zh-CN"/>
        </w:rPr>
        <w:t>，</w:t>
      </w:r>
      <w:r>
        <w:rPr>
          <w:rFonts w:hint="eastAsia" w:ascii="宋体" w:hAnsi="宋体" w:cs="宋体"/>
          <w:color w:val="000000"/>
          <w:kern w:val="0"/>
          <w:sz w:val="24"/>
          <w:lang w:val="en-US" w:eastAsia="zh-CN"/>
        </w:rPr>
        <w:t>包括执行董事、非执行董事（含独立董事）</w:t>
      </w:r>
      <w:r>
        <w:rPr>
          <w:rFonts w:hint="eastAsia" w:ascii="宋体" w:hAnsi="宋体" w:cs="宋体"/>
          <w:color w:val="000000"/>
          <w:kern w:val="0"/>
          <w:sz w:val="24"/>
          <w:lang w:eastAsia="zh-CN"/>
        </w:rPr>
        <w:t>。</w:t>
      </w:r>
    </w:p>
    <w:p>
      <w:pPr>
        <w:widowControl/>
        <w:spacing w:line="320" w:lineRule="exact"/>
        <w:ind w:left="480"/>
        <w:jc w:val="left"/>
        <w:rPr>
          <w:rFonts w:ascii="宋体" w:hAnsi="宋体" w:cs="宋体"/>
          <w:color w:val="000000"/>
          <w:kern w:val="0"/>
          <w:sz w:val="24"/>
        </w:rPr>
      </w:pPr>
      <w:r>
        <w:rPr>
          <w:rFonts w:hint="eastAsia" w:ascii="宋体" w:hAnsi="宋体" w:cs="宋体"/>
          <w:color w:val="000000"/>
          <w:kern w:val="0"/>
          <w:sz w:val="24"/>
        </w:rPr>
        <w:t>董事会设董事长一名，由董事会全体董事</w:t>
      </w:r>
      <w:r>
        <w:rPr>
          <w:rFonts w:hint="default" w:ascii="宋体" w:hAnsi="宋体" w:cs="宋体"/>
          <w:color w:val="000000"/>
          <w:kern w:val="0"/>
          <w:sz w:val="24"/>
          <w:lang w:val="en-US"/>
        </w:rPr>
        <w:t>三分之二以上人</w:t>
      </w:r>
      <w:r>
        <w:rPr>
          <w:rFonts w:hint="eastAsia" w:ascii="宋体" w:hAnsi="宋体" w:cs="宋体"/>
          <w:color w:val="000000"/>
          <w:kern w:val="0"/>
          <w:sz w:val="24"/>
        </w:rPr>
        <w:t>数选举产生。</w:t>
      </w:r>
    </w:p>
    <w:p>
      <w:pPr>
        <w:widowControl/>
        <w:ind w:firstLine="480" w:firstLineChars="200"/>
        <w:jc w:val="left"/>
        <w:rPr>
          <w:rFonts w:ascii="宋体" w:hAnsi="宋体" w:cs="宋体"/>
          <w:color w:val="000000"/>
          <w:kern w:val="0"/>
          <w:sz w:val="24"/>
        </w:rPr>
      </w:pPr>
      <w:r>
        <w:rPr>
          <w:rFonts w:hint="eastAsia" w:ascii="宋体" w:hAnsi="宋体" w:cs="宋体"/>
          <w:color w:val="000000"/>
          <w:kern w:val="0"/>
          <w:sz w:val="24"/>
        </w:rPr>
        <w:t>董事会设董事会秘书一名，对董事会负责。</w:t>
      </w:r>
    </w:p>
    <w:p>
      <w:pPr>
        <w:widowControl/>
        <w:ind w:firstLine="480" w:firstLineChars="200"/>
        <w:jc w:val="left"/>
        <w:rPr>
          <w:rFonts w:ascii="宋体" w:hAnsi="宋体" w:cs="宋体"/>
          <w:color w:val="000000"/>
          <w:kern w:val="0"/>
          <w:sz w:val="24"/>
        </w:rPr>
      </w:pPr>
      <w:r>
        <w:rPr>
          <w:rFonts w:ascii="宋体" w:hAnsi="宋体" w:cs="宋体"/>
          <w:color w:val="000000"/>
          <w:kern w:val="0"/>
          <w:sz w:val="24"/>
        </w:rPr>
        <w:t>董事会下设董事会办公室，作为董事会日常办事机构。</w:t>
      </w:r>
      <w:bookmarkEnd w:id="55"/>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董事会行使下列职权</w:t>
      </w:r>
      <w:r>
        <w:rPr>
          <w:rFonts w:hint="eastAsia" w:ascii="宋体" w:hAnsi="宋体" w:cs="宋体"/>
          <w:bCs/>
          <w:smallCaps/>
          <w:color w:val="000000"/>
          <w:kern w:val="0"/>
          <w:sz w:val="24"/>
          <w:szCs w:val="20"/>
        </w:rPr>
        <w:t>：</w:t>
      </w:r>
    </w:p>
    <w:p>
      <w:pPr>
        <w:widowControl/>
        <w:numPr>
          <w:ilvl w:val="0"/>
          <w:numId w:val="23"/>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负责召集股东大会，并向</w:t>
      </w:r>
      <w:r>
        <w:rPr>
          <w:rFonts w:hint="eastAsia" w:ascii="宋体" w:hAnsi="宋体" w:cs="宋体"/>
          <w:color w:val="000000"/>
          <w:kern w:val="0"/>
          <w:sz w:val="24"/>
        </w:rPr>
        <w:t>股东</w:t>
      </w:r>
      <w:r>
        <w:rPr>
          <w:rFonts w:ascii="宋体" w:hAnsi="宋体" w:cs="宋体"/>
          <w:color w:val="000000"/>
          <w:kern w:val="0"/>
          <w:sz w:val="24"/>
        </w:rPr>
        <w:t>大会报告工作；</w:t>
      </w:r>
    </w:p>
    <w:p>
      <w:pPr>
        <w:widowControl/>
        <w:numPr>
          <w:ilvl w:val="0"/>
          <w:numId w:val="23"/>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执行</w:t>
      </w:r>
      <w:r>
        <w:rPr>
          <w:rFonts w:ascii="宋体" w:hAnsi="宋体" w:cs="宋体"/>
          <w:color w:val="000000"/>
          <w:kern w:val="0"/>
          <w:sz w:val="24"/>
        </w:rPr>
        <w:t>股东大会的决议；</w:t>
      </w:r>
    </w:p>
    <w:p>
      <w:pPr>
        <w:widowControl/>
        <w:numPr>
          <w:ilvl w:val="0"/>
          <w:numId w:val="23"/>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制定本行经营发展战略</w:t>
      </w:r>
      <w:r>
        <w:rPr>
          <w:rFonts w:hint="eastAsia" w:ascii="宋体" w:hAnsi="宋体" w:cs="宋体"/>
          <w:color w:val="000000"/>
          <w:kern w:val="0"/>
          <w:sz w:val="24"/>
          <w:lang w:val="en-US" w:eastAsia="zh-CN"/>
        </w:rPr>
        <w:t>并监督战略实施</w:t>
      </w:r>
      <w:r>
        <w:rPr>
          <w:rFonts w:hint="eastAsia" w:ascii="宋体" w:hAnsi="宋体" w:cs="宋体"/>
          <w:color w:val="000000"/>
          <w:kern w:val="0"/>
          <w:sz w:val="24"/>
        </w:rPr>
        <w:t>，</w:t>
      </w:r>
      <w:r>
        <w:rPr>
          <w:rFonts w:ascii="宋体" w:hAnsi="宋体" w:cs="宋体"/>
          <w:color w:val="000000"/>
          <w:kern w:val="0"/>
          <w:sz w:val="24"/>
        </w:rPr>
        <w:t>决定</w:t>
      </w:r>
      <w:r>
        <w:rPr>
          <w:rFonts w:hint="eastAsia" w:ascii="宋体" w:hAnsi="宋体" w:cs="宋体"/>
          <w:color w:val="000000"/>
          <w:kern w:val="0"/>
          <w:sz w:val="24"/>
        </w:rPr>
        <w:t>本行</w:t>
      </w:r>
      <w:r>
        <w:rPr>
          <w:rFonts w:ascii="宋体" w:hAnsi="宋体" w:cs="宋体"/>
          <w:color w:val="000000"/>
          <w:kern w:val="0"/>
          <w:sz w:val="24"/>
        </w:rPr>
        <w:t>的经营计划和投资方案；</w:t>
      </w:r>
    </w:p>
    <w:p>
      <w:pPr>
        <w:widowControl/>
        <w:numPr>
          <w:ilvl w:val="0"/>
          <w:numId w:val="23"/>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制定资本规划，承担资本</w:t>
      </w:r>
      <w:r>
        <w:rPr>
          <w:rFonts w:hint="eastAsia" w:ascii="宋体" w:hAnsi="宋体" w:cs="宋体"/>
          <w:color w:val="000000"/>
          <w:kern w:val="0"/>
          <w:sz w:val="24"/>
          <w:lang w:val="en-US" w:eastAsia="zh-CN"/>
        </w:rPr>
        <w:t>或偿付能力</w:t>
      </w:r>
      <w:r>
        <w:rPr>
          <w:rFonts w:hint="eastAsia" w:ascii="宋体" w:hAnsi="宋体" w:cs="宋体"/>
          <w:color w:val="000000"/>
          <w:kern w:val="0"/>
          <w:sz w:val="24"/>
        </w:rPr>
        <w:t>管理最终责任；</w:t>
      </w:r>
    </w:p>
    <w:p>
      <w:pPr>
        <w:widowControl/>
        <w:numPr>
          <w:ilvl w:val="0"/>
          <w:numId w:val="23"/>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制订</w:t>
      </w:r>
      <w:r>
        <w:rPr>
          <w:rFonts w:hint="eastAsia" w:ascii="宋体" w:hAnsi="宋体" w:cs="宋体"/>
          <w:color w:val="000000"/>
          <w:kern w:val="0"/>
          <w:sz w:val="24"/>
        </w:rPr>
        <w:t>本行</w:t>
      </w:r>
      <w:r>
        <w:rPr>
          <w:rFonts w:ascii="宋体" w:hAnsi="宋体" w:cs="宋体"/>
          <w:color w:val="000000"/>
          <w:kern w:val="0"/>
          <w:sz w:val="24"/>
        </w:rPr>
        <w:t>的年度财务预算方案、决算方案；</w:t>
      </w:r>
    </w:p>
    <w:p>
      <w:pPr>
        <w:widowControl/>
        <w:numPr>
          <w:ilvl w:val="0"/>
          <w:numId w:val="23"/>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制订</w:t>
      </w:r>
      <w:r>
        <w:rPr>
          <w:rFonts w:hint="eastAsia" w:ascii="宋体" w:hAnsi="宋体" w:cs="宋体"/>
          <w:color w:val="000000"/>
          <w:kern w:val="0"/>
          <w:sz w:val="24"/>
        </w:rPr>
        <w:t>本行</w:t>
      </w:r>
      <w:r>
        <w:rPr>
          <w:rFonts w:ascii="宋体" w:hAnsi="宋体" w:cs="宋体"/>
          <w:color w:val="000000"/>
          <w:kern w:val="0"/>
          <w:sz w:val="24"/>
        </w:rPr>
        <w:t>的利润分配方案和弥补亏损方案；</w:t>
      </w:r>
    </w:p>
    <w:p>
      <w:pPr>
        <w:widowControl/>
        <w:numPr>
          <w:ilvl w:val="0"/>
          <w:numId w:val="23"/>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制订</w:t>
      </w:r>
      <w:r>
        <w:rPr>
          <w:rFonts w:hint="eastAsia" w:ascii="宋体" w:hAnsi="宋体" w:cs="宋体"/>
          <w:color w:val="000000"/>
          <w:kern w:val="0"/>
          <w:sz w:val="24"/>
        </w:rPr>
        <w:t>本行</w:t>
      </w:r>
      <w:r>
        <w:rPr>
          <w:rFonts w:ascii="宋体" w:hAnsi="宋体" w:cs="宋体"/>
          <w:color w:val="000000"/>
          <w:kern w:val="0"/>
          <w:sz w:val="24"/>
        </w:rPr>
        <w:t>增加或者减少注册资本、发行债券或其他有价证券及上市方案；</w:t>
      </w:r>
    </w:p>
    <w:p>
      <w:pPr>
        <w:widowControl/>
        <w:numPr>
          <w:ilvl w:val="0"/>
          <w:numId w:val="23"/>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制订合并、分立</w:t>
      </w:r>
      <w:r>
        <w:rPr>
          <w:rFonts w:hint="eastAsia" w:ascii="宋体" w:hAnsi="宋体" w:cs="宋体"/>
          <w:color w:val="000000"/>
          <w:kern w:val="0"/>
          <w:sz w:val="24"/>
        </w:rPr>
        <w:t>、</w:t>
      </w:r>
      <w:r>
        <w:rPr>
          <w:rFonts w:ascii="宋体" w:hAnsi="宋体" w:cs="宋体"/>
          <w:color w:val="000000"/>
          <w:kern w:val="0"/>
          <w:sz w:val="24"/>
        </w:rPr>
        <w:t>解散</w:t>
      </w:r>
      <w:r>
        <w:rPr>
          <w:rFonts w:hint="eastAsia" w:ascii="宋体" w:hAnsi="宋体" w:cs="宋体"/>
          <w:color w:val="000000"/>
          <w:kern w:val="0"/>
          <w:sz w:val="24"/>
        </w:rPr>
        <w:t>及变更公司形式的</w:t>
      </w:r>
      <w:r>
        <w:rPr>
          <w:rFonts w:ascii="宋体" w:hAnsi="宋体" w:cs="宋体"/>
          <w:color w:val="000000"/>
          <w:kern w:val="0"/>
          <w:sz w:val="24"/>
        </w:rPr>
        <w:t>方案；</w:t>
      </w:r>
    </w:p>
    <w:p>
      <w:pPr>
        <w:widowControl/>
        <w:numPr>
          <w:ilvl w:val="0"/>
          <w:numId w:val="23"/>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制订</w:t>
      </w:r>
      <w:r>
        <w:rPr>
          <w:rFonts w:hint="eastAsia" w:ascii="宋体" w:hAnsi="宋体" w:cs="宋体"/>
          <w:color w:val="000000"/>
          <w:kern w:val="0"/>
          <w:sz w:val="24"/>
        </w:rPr>
        <w:t>本行需股东大会审议批准的重大投资、重大资产购置与处置方案</w:t>
      </w:r>
      <w:r>
        <w:rPr>
          <w:rFonts w:ascii="宋体" w:hAnsi="宋体" w:cs="宋体"/>
          <w:color w:val="000000"/>
          <w:kern w:val="0"/>
          <w:sz w:val="24"/>
        </w:rPr>
        <w:t>及回购本</w:t>
      </w:r>
      <w:r>
        <w:rPr>
          <w:rFonts w:hint="eastAsia" w:ascii="宋体" w:hAnsi="宋体" w:cs="宋体"/>
          <w:color w:val="000000"/>
          <w:kern w:val="0"/>
          <w:sz w:val="24"/>
        </w:rPr>
        <w:t>行</w:t>
      </w:r>
      <w:r>
        <w:rPr>
          <w:rFonts w:ascii="宋体" w:hAnsi="宋体" w:cs="宋体"/>
          <w:color w:val="000000"/>
          <w:kern w:val="0"/>
          <w:sz w:val="24"/>
        </w:rPr>
        <w:t>股票方案</w:t>
      </w:r>
      <w:r>
        <w:rPr>
          <w:rFonts w:hint="eastAsia" w:ascii="宋体" w:hAnsi="宋体" w:cs="宋体"/>
          <w:color w:val="000000"/>
          <w:kern w:val="0"/>
          <w:sz w:val="24"/>
        </w:rPr>
        <w:t>；</w:t>
      </w:r>
    </w:p>
    <w:p>
      <w:pPr>
        <w:widowControl/>
        <w:numPr>
          <w:ilvl w:val="0"/>
          <w:numId w:val="23"/>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制订</w:t>
      </w:r>
      <w:r>
        <w:rPr>
          <w:rFonts w:hint="eastAsia" w:ascii="宋体" w:hAnsi="宋体" w:cs="宋体"/>
          <w:color w:val="000000"/>
          <w:kern w:val="0"/>
          <w:sz w:val="24"/>
        </w:rPr>
        <w:t>本章程</w:t>
      </w:r>
      <w:r>
        <w:rPr>
          <w:rFonts w:ascii="宋体" w:hAnsi="宋体" w:cs="宋体"/>
          <w:color w:val="000000"/>
          <w:kern w:val="0"/>
          <w:sz w:val="24"/>
        </w:rPr>
        <w:t>的修改方案</w:t>
      </w:r>
      <w:r>
        <w:rPr>
          <w:rFonts w:hint="eastAsia" w:ascii="宋体" w:hAnsi="宋体" w:cs="宋体"/>
          <w:color w:val="000000"/>
          <w:kern w:val="0"/>
          <w:sz w:val="24"/>
        </w:rPr>
        <w:t>，</w:t>
      </w:r>
      <w:r>
        <w:rPr>
          <w:rFonts w:hint="eastAsia" w:ascii="宋体" w:hAnsi="宋体" w:cs="宋体"/>
          <w:color w:val="000000"/>
          <w:kern w:val="0"/>
          <w:sz w:val="24"/>
          <w:lang w:val="en-US" w:eastAsia="zh-CN"/>
        </w:rPr>
        <w:t>制订</w:t>
      </w:r>
      <w:r>
        <w:rPr>
          <w:rFonts w:hint="eastAsia" w:ascii="宋体" w:hAnsi="宋体" w:cs="宋体"/>
          <w:color w:val="000000"/>
          <w:kern w:val="0"/>
          <w:sz w:val="24"/>
        </w:rPr>
        <w:t>股东大会议事规则、董事会议事规则，审议批准董事会专门委员会工作规则</w:t>
      </w:r>
      <w:r>
        <w:rPr>
          <w:rFonts w:ascii="宋体" w:hAnsi="宋体" w:cs="宋体"/>
          <w:color w:val="000000"/>
          <w:kern w:val="0"/>
          <w:sz w:val="24"/>
        </w:rPr>
        <w:t>；</w:t>
      </w:r>
    </w:p>
    <w:p>
      <w:pPr>
        <w:widowControl/>
        <w:numPr>
          <w:ilvl w:val="0"/>
          <w:numId w:val="23"/>
        </w:numPr>
        <w:tabs>
          <w:tab w:val="left" w:pos="0"/>
          <w:tab w:val="left" w:pos="1276"/>
          <w:tab w:val="left" w:pos="156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决定本节第一百二十七条涉及的由本行董事会审议批准的重大投资及重大资产购置与处置方案；</w:t>
      </w:r>
    </w:p>
    <w:p>
      <w:pPr>
        <w:widowControl/>
        <w:numPr>
          <w:ilvl w:val="0"/>
          <w:numId w:val="23"/>
        </w:numPr>
        <w:tabs>
          <w:tab w:val="left" w:pos="1276"/>
          <w:tab w:val="left" w:pos="1560"/>
        </w:tabs>
        <w:spacing w:line="320" w:lineRule="exact"/>
        <w:jc w:val="left"/>
        <w:rPr>
          <w:rFonts w:ascii="宋体" w:hAnsi="宋体" w:cs="宋体"/>
          <w:color w:val="000000"/>
          <w:kern w:val="0"/>
          <w:sz w:val="24"/>
        </w:rPr>
      </w:pPr>
      <w:r>
        <w:rPr>
          <w:rFonts w:hint="eastAsia" w:ascii="宋体" w:hAnsi="宋体" w:cs="宋体"/>
          <w:color w:val="000000"/>
          <w:kern w:val="0"/>
          <w:sz w:val="24"/>
        </w:rPr>
        <w:t>决定占本行资本总额或股份总额</w:t>
      </w:r>
      <w:r>
        <w:rPr>
          <w:rFonts w:hint="eastAsia" w:ascii="宋体" w:hAnsi="宋体" w:cs="宋体"/>
          <w:color w:val="000000"/>
          <w:kern w:val="0"/>
          <w:sz w:val="24"/>
          <w:lang w:val="en-US" w:eastAsia="zh-CN"/>
        </w:rPr>
        <w:t>5</w:t>
      </w:r>
      <w:r>
        <w:rPr>
          <w:rFonts w:hint="eastAsia" w:ascii="宋体" w:hAnsi="宋体" w:cs="宋体"/>
          <w:color w:val="000000"/>
          <w:kern w:val="0"/>
          <w:sz w:val="24"/>
        </w:rPr>
        <w:t>%以上（含）的重大股权变动；</w:t>
      </w:r>
    </w:p>
    <w:p>
      <w:pPr>
        <w:widowControl/>
        <w:numPr>
          <w:ilvl w:val="0"/>
          <w:numId w:val="23"/>
        </w:numPr>
        <w:tabs>
          <w:tab w:val="left" w:pos="0"/>
          <w:tab w:val="left" w:pos="1276"/>
          <w:tab w:val="left" w:pos="156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决定</w:t>
      </w:r>
      <w:r>
        <w:rPr>
          <w:rFonts w:hint="eastAsia" w:ascii="宋体" w:hAnsi="宋体" w:cs="宋体"/>
          <w:color w:val="000000"/>
          <w:kern w:val="0"/>
          <w:sz w:val="24"/>
        </w:rPr>
        <w:t>本行</w:t>
      </w:r>
      <w:r>
        <w:rPr>
          <w:rFonts w:ascii="宋体" w:hAnsi="宋体" w:cs="宋体"/>
          <w:color w:val="000000"/>
          <w:kern w:val="0"/>
          <w:sz w:val="24"/>
        </w:rPr>
        <w:t>内部</w:t>
      </w:r>
      <w:r>
        <w:rPr>
          <w:rFonts w:hint="eastAsia" w:ascii="宋体" w:hAnsi="宋体" w:cs="宋体"/>
          <w:color w:val="000000"/>
          <w:kern w:val="0"/>
          <w:sz w:val="24"/>
        </w:rPr>
        <w:t>机构和分支机构</w:t>
      </w:r>
      <w:r>
        <w:rPr>
          <w:rFonts w:ascii="宋体" w:hAnsi="宋体" w:cs="宋体"/>
          <w:color w:val="000000"/>
          <w:kern w:val="0"/>
          <w:sz w:val="24"/>
        </w:rPr>
        <w:t>的设置；</w:t>
      </w:r>
    </w:p>
    <w:p>
      <w:pPr>
        <w:widowControl/>
        <w:numPr>
          <w:ilvl w:val="0"/>
          <w:numId w:val="23"/>
        </w:numPr>
        <w:tabs>
          <w:tab w:val="left" w:pos="0"/>
          <w:tab w:val="left" w:pos="1276"/>
          <w:tab w:val="left" w:pos="156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决定</w:t>
      </w:r>
      <w:r>
        <w:rPr>
          <w:rFonts w:ascii="宋体" w:hAnsi="宋体" w:cs="宋体"/>
          <w:color w:val="000000"/>
          <w:kern w:val="0"/>
          <w:sz w:val="24"/>
        </w:rPr>
        <w:t>聘任或者解聘</w:t>
      </w:r>
      <w:r>
        <w:rPr>
          <w:rFonts w:hint="eastAsia" w:ascii="宋体" w:hAnsi="宋体" w:cs="宋体"/>
          <w:color w:val="000000"/>
          <w:kern w:val="0"/>
          <w:sz w:val="24"/>
        </w:rPr>
        <w:t>行长，并</w:t>
      </w:r>
      <w:r>
        <w:rPr>
          <w:rFonts w:ascii="宋体" w:hAnsi="宋体" w:cs="宋体"/>
          <w:color w:val="000000"/>
          <w:kern w:val="0"/>
          <w:sz w:val="24"/>
        </w:rPr>
        <w:t>根据</w:t>
      </w:r>
      <w:r>
        <w:rPr>
          <w:rFonts w:hint="eastAsia" w:ascii="宋体" w:hAnsi="宋体" w:cs="宋体"/>
          <w:color w:val="000000"/>
          <w:kern w:val="0"/>
          <w:sz w:val="24"/>
        </w:rPr>
        <w:t>行长</w:t>
      </w:r>
      <w:r>
        <w:rPr>
          <w:rFonts w:ascii="宋体" w:hAnsi="宋体" w:cs="宋体"/>
          <w:color w:val="000000"/>
          <w:kern w:val="0"/>
          <w:sz w:val="24"/>
        </w:rPr>
        <w:t>的提名，</w:t>
      </w:r>
      <w:r>
        <w:rPr>
          <w:rFonts w:hint="eastAsia" w:ascii="宋体" w:hAnsi="宋体" w:cs="宋体"/>
          <w:color w:val="000000"/>
          <w:kern w:val="0"/>
          <w:sz w:val="24"/>
        </w:rPr>
        <w:t>决定</w:t>
      </w:r>
      <w:r>
        <w:rPr>
          <w:rFonts w:ascii="宋体" w:hAnsi="宋体" w:cs="宋体"/>
          <w:color w:val="000000"/>
          <w:kern w:val="0"/>
          <w:sz w:val="24"/>
        </w:rPr>
        <w:t>聘任或者解聘</w:t>
      </w:r>
      <w:r>
        <w:rPr>
          <w:rFonts w:hint="eastAsia" w:ascii="宋体" w:hAnsi="宋体" w:cs="宋体"/>
          <w:color w:val="000000"/>
          <w:kern w:val="0"/>
          <w:sz w:val="24"/>
        </w:rPr>
        <w:t>除行长及董事会秘书外的高级管理人员。根据董事长的提名，决定聘任或者解聘董事会秘书</w:t>
      </w:r>
      <w:r>
        <w:rPr>
          <w:rFonts w:ascii="宋体" w:hAnsi="宋体" w:cs="宋体"/>
          <w:color w:val="000000"/>
          <w:kern w:val="0"/>
          <w:sz w:val="24"/>
        </w:rPr>
        <w:t>；</w:t>
      </w:r>
    </w:p>
    <w:p>
      <w:pPr>
        <w:widowControl/>
        <w:numPr>
          <w:ilvl w:val="0"/>
          <w:numId w:val="23"/>
        </w:numPr>
        <w:tabs>
          <w:tab w:val="left" w:pos="0"/>
          <w:tab w:val="left" w:pos="1276"/>
          <w:tab w:val="left" w:pos="156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负责本行的薪酬管理制度和政策设计，决定高级管理人员的薪酬和奖惩事项</w:t>
      </w:r>
      <w:r>
        <w:rPr>
          <w:rFonts w:hint="eastAsia" w:ascii="宋体" w:hAnsi="宋体" w:cs="宋体"/>
          <w:color w:val="000000"/>
          <w:kern w:val="0"/>
          <w:sz w:val="24"/>
          <w:lang w:eastAsia="zh-CN"/>
        </w:rPr>
        <w:t>，</w:t>
      </w:r>
      <w:r>
        <w:rPr>
          <w:rFonts w:hint="eastAsia" w:ascii="宋体" w:hAnsi="宋体" w:cs="宋体"/>
          <w:color w:val="000000"/>
          <w:kern w:val="0"/>
          <w:sz w:val="24"/>
          <w:lang w:val="en-US" w:eastAsia="zh-CN"/>
        </w:rPr>
        <w:t>监督高级管理层履行职责</w:t>
      </w:r>
      <w:r>
        <w:rPr>
          <w:rFonts w:hint="eastAsia" w:ascii="宋体" w:hAnsi="宋体" w:cs="宋体"/>
          <w:color w:val="000000"/>
          <w:kern w:val="0"/>
          <w:sz w:val="24"/>
        </w:rPr>
        <w:t>；</w:t>
      </w:r>
    </w:p>
    <w:p>
      <w:pPr>
        <w:widowControl/>
        <w:numPr>
          <w:ilvl w:val="0"/>
          <w:numId w:val="23"/>
        </w:numPr>
        <w:tabs>
          <w:tab w:val="left" w:pos="0"/>
          <w:tab w:val="left" w:pos="1276"/>
          <w:tab w:val="left" w:pos="156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决定</w:t>
      </w:r>
      <w:r>
        <w:rPr>
          <w:rFonts w:hint="eastAsia" w:ascii="宋体" w:hAnsi="宋体" w:cs="宋体"/>
          <w:color w:val="000000"/>
          <w:kern w:val="0"/>
          <w:sz w:val="24"/>
        </w:rPr>
        <w:t>本行</w:t>
      </w:r>
      <w:r>
        <w:rPr>
          <w:rFonts w:ascii="宋体" w:hAnsi="宋体" w:cs="宋体"/>
          <w:color w:val="000000"/>
          <w:kern w:val="0"/>
          <w:sz w:val="24"/>
        </w:rPr>
        <w:t>的基本管理制度；</w:t>
      </w:r>
    </w:p>
    <w:p>
      <w:pPr>
        <w:widowControl/>
        <w:numPr>
          <w:ilvl w:val="0"/>
          <w:numId w:val="23"/>
        </w:numPr>
        <w:tabs>
          <w:tab w:val="left" w:pos="0"/>
          <w:tab w:val="left" w:pos="1276"/>
          <w:tab w:val="left" w:pos="156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负责本行信息披露，并对会计和财务报告的真实性、准确性、完整性和及时性承担最终责任</w:t>
      </w:r>
      <w:r>
        <w:rPr>
          <w:rFonts w:ascii="宋体" w:hAnsi="宋体" w:cs="宋体"/>
          <w:color w:val="000000"/>
          <w:kern w:val="0"/>
          <w:sz w:val="24"/>
        </w:rPr>
        <w:t>；</w:t>
      </w:r>
    </w:p>
    <w:p>
      <w:pPr>
        <w:widowControl/>
        <w:numPr>
          <w:ilvl w:val="0"/>
          <w:numId w:val="23"/>
        </w:numPr>
        <w:tabs>
          <w:tab w:val="left" w:pos="0"/>
          <w:tab w:val="left" w:pos="1276"/>
          <w:tab w:val="left" w:pos="156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向股东大会提请聘请或更换为</w:t>
      </w:r>
      <w:r>
        <w:rPr>
          <w:rFonts w:hint="eastAsia" w:ascii="宋体" w:hAnsi="宋体" w:cs="宋体"/>
          <w:color w:val="000000"/>
          <w:kern w:val="0"/>
          <w:sz w:val="24"/>
          <w:lang w:val="en-US" w:eastAsia="zh-CN"/>
        </w:rPr>
        <w:t>本行</w:t>
      </w:r>
      <w:r>
        <w:rPr>
          <w:rFonts w:hint="eastAsia" w:ascii="宋体" w:hAnsi="宋体" w:cs="宋体"/>
          <w:color w:val="000000"/>
          <w:kern w:val="0"/>
          <w:sz w:val="24"/>
        </w:rPr>
        <w:t>财务报告进行定期法定审计的会计师事务所；</w:t>
      </w:r>
    </w:p>
    <w:p>
      <w:pPr>
        <w:widowControl/>
        <w:numPr>
          <w:ilvl w:val="0"/>
          <w:numId w:val="23"/>
        </w:numPr>
        <w:tabs>
          <w:tab w:val="left" w:pos="0"/>
          <w:tab w:val="left" w:pos="1276"/>
          <w:tab w:val="left" w:pos="156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听取</w:t>
      </w:r>
      <w:r>
        <w:rPr>
          <w:rFonts w:hint="eastAsia" w:ascii="宋体" w:hAnsi="宋体" w:cs="宋体"/>
          <w:color w:val="000000"/>
          <w:kern w:val="0"/>
          <w:sz w:val="24"/>
        </w:rPr>
        <w:t>并审议行长</w:t>
      </w:r>
      <w:r>
        <w:rPr>
          <w:rFonts w:ascii="宋体" w:hAnsi="宋体" w:cs="宋体"/>
          <w:color w:val="000000"/>
          <w:kern w:val="0"/>
          <w:sz w:val="24"/>
        </w:rPr>
        <w:t>的工作汇报；</w:t>
      </w:r>
    </w:p>
    <w:p>
      <w:pPr>
        <w:widowControl/>
        <w:numPr>
          <w:ilvl w:val="0"/>
          <w:numId w:val="23"/>
        </w:numPr>
        <w:tabs>
          <w:tab w:val="left" w:pos="0"/>
          <w:tab w:val="left" w:pos="1276"/>
          <w:tab w:val="left" w:pos="156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制定本行风险容忍度、风险管理和内部控制政策，承担全面风险管理的最终责任；</w:t>
      </w:r>
    </w:p>
    <w:p>
      <w:pPr>
        <w:numPr>
          <w:ilvl w:val="0"/>
          <w:numId w:val="23"/>
        </w:numPr>
        <w:tabs>
          <w:tab w:val="left" w:pos="1701"/>
        </w:tabs>
        <w:spacing w:line="320" w:lineRule="exact"/>
        <w:rPr>
          <w:rFonts w:ascii="宋体" w:hAnsi="宋体"/>
          <w:sz w:val="24"/>
        </w:rPr>
      </w:pPr>
      <w:r>
        <w:rPr>
          <w:rFonts w:hint="eastAsia" w:ascii="宋体" w:hAnsi="宋体"/>
          <w:sz w:val="24"/>
        </w:rPr>
        <w:t>审议批准法律、法规规定的应由董事会审议的关联交易；</w:t>
      </w:r>
    </w:p>
    <w:p>
      <w:pPr>
        <w:widowControl/>
        <w:numPr>
          <w:ilvl w:val="0"/>
          <w:numId w:val="23"/>
        </w:numPr>
        <w:tabs>
          <w:tab w:val="left" w:pos="0"/>
          <w:tab w:val="left" w:pos="1701"/>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审议批准</w:t>
      </w:r>
      <w:r>
        <w:rPr>
          <w:rFonts w:hint="eastAsia" w:ascii="宋体" w:hAnsi="宋体" w:cs="宋体"/>
          <w:color w:val="000000"/>
          <w:kern w:val="0"/>
          <w:sz w:val="24"/>
          <w:lang w:val="en-US" w:eastAsia="zh-CN"/>
        </w:rPr>
        <w:t>资产核销</w:t>
      </w:r>
      <w:r>
        <w:rPr>
          <w:rFonts w:hint="eastAsia" w:ascii="宋体" w:hAnsi="宋体" w:cs="宋体"/>
          <w:color w:val="000000"/>
          <w:kern w:val="0"/>
          <w:sz w:val="24"/>
          <w:highlight w:val="none"/>
          <w:lang w:val="en-US" w:eastAsia="zh-CN"/>
        </w:rPr>
        <w:t>、</w:t>
      </w:r>
      <w:r>
        <w:rPr>
          <w:rFonts w:hint="eastAsia" w:ascii="宋体" w:hAnsi="宋体" w:cs="宋体"/>
          <w:color w:val="000000"/>
          <w:kern w:val="0"/>
          <w:sz w:val="24"/>
          <w:highlight w:val="none"/>
        </w:rPr>
        <w:t>资产抵押</w:t>
      </w:r>
      <w:r>
        <w:rPr>
          <w:rFonts w:hint="eastAsia" w:ascii="宋体" w:hAnsi="宋体" w:cs="宋体"/>
          <w:color w:val="000000"/>
          <w:kern w:val="0"/>
          <w:sz w:val="24"/>
        </w:rPr>
        <w:t>、</w:t>
      </w:r>
      <w:r>
        <w:rPr>
          <w:rFonts w:hint="eastAsia" w:ascii="宋体" w:hAnsi="宋体" w:cs="宋体"/>
          <w:color w:val="000000"/>
          <w:kern w:val="0"/>
          <w:sz w:val="24"/>
          <w:lang w:val="en-US" w:eastAsia="zh-CN"/>
        </w:rPr>
        <w:t>对外捐赠、</w:t>
      </w:r>
      <w:r>
        <w:rPr>
          <w:rFonts w:hint="eastAsia" w:ascii="宋体" w:hAnsi="宋体" w:cs="宋体"/>
          <w:color w:val="000000"/>
          <w:kern w:val="0"/>
          <w:sz w:val="24"/>
        </w:rPr>
        <w:t>数据治理等事项</w:t>
      </w:r>
      <w:r>
        <w:rPr>
          <w:rFonts w:hint="eastAsia" w:ascii="宋体" w:hAnsi="宋体" w:cs="宋体"/>
          <w:color w:val="000000"/>
          <w:kern w:val="0"/>
          <w:sz w:val="24"/>
          <w:lang w:eastAsia="zh-CN"/>
        </w:rPr>
        <w:t>；</w:t>
      </w:r>
    </w:p>
    <w:p>
      <w:pPr>
        <w:widowControl/>
        <w:numPr>
          <w:ilvl w:val="0"/>
          <w:numId w:val="23"/>
        </w:numPr>
        <w:tabs>
          <w:tab w:val="left" w:pos="0"/>
          <w:tab w:val="left" w:pos="1701"/>
          <w:tab w:val="clear" w:pos="1200"/>
        </w:tabs>
        <w:spacing w:line="320" w:lineRule="exact"/>
        <w:ind w:left="0" w:firstLine="480"/>
        <w:jc w:val="left"/>
        <w:rPr>
          <w:rFonts w:hint="eastAsia" w:ascii="宋体" w:hAnsi="宋体" w:cs="宋体"/>
          <w:color w:val="000000"/>
          <w:kern w:val="0"/>
          <w:sz w:val="24"/>
        </w:rPr>
      </w:pPr>
      <w:r>
        <w:rPr>
          <w:rFonts w:hint="eastAsia" w:ascii="宋体" w:hAnsi="宋体" w:cs="宋体"/>
          <w:color w:val="000000"/>
          <w:kern w:val="0"/>
          <w:sz w:val="24"/>
        </w:rPr>
        <w:t>定期评估并完善本行公司治理；</w:t>
      </w:r>
    </w:p>
    <w:p>
      <w:pPr>
        <w:widowControl/>
        <w:numPr>
          <w:ilvl w:val="0"/>
          <w:numId w:val="23"/>
        </w:numPr>
        <w:tabs>
          <w:tab w:val="left" w:pos="0"/>
          <w:tab w:val="left" w:pos="1701"/>
          <w:tab w:val="clear" w:pos="1200"/>
        </w:tabs>
        <w:spacing w:line="320" w:lineRule="exact"/>
        <w:ind w:left="0" w:firstLine="480"/>
        <w:jc w:val="left"/>
        <w:rPr>
          <w:rFonts w:hint="eastAsia" w:ascii="宋体" w:hAnsi="宋体" w:cs="宋体"/>
          <w:color w:val="000000"/>
          <w:kern w:val="0"/>
          <w:sz w:val="24"/>
        </w:rPr>
      </w:pPr>
      <w:r>
        <w:rPr>
          <w:rFonts w:hint="eastAsia" w:ascii="宋体" w:hAnsi="宋体" w:cs="宋体"/>
          <w:color w:val="000000"/>
          <w:kern w:val="0"/>
          <w:sz w:val="24"/>
        </w:rPr>
        <w:t>维护金融消费者和其他利益相关者合法权益；</w:t>
      </w:r>
    </w:p>
    <w:p>
      <w:pPr>
        <w:widowControl/>
        <w:numPr>
          <w:ilvl w:val="0"/>
          <w:numId w:val="23"/>
        </w:numPr>
        <w:tabs>
          <w:tab w:val="left" w:pos="0"/>
          <w:tab w:val="left" w:pos="1701"/>
          <w:tab w:val="clear" w:pos="1200"/>
        </w:tabs>
        <w:spacing w:line="320" w:lineRule="exact"/>
        <w:ind w:left="0" w:firstLine="480"/>
        <w:jc w:val="left"/>
        <w:rPr>
          <w:rFonts w:hint="eastAsia" w:ascii="宋体" w:hAnsi="宋体" w:cs="宋体"/>
          <w:color w:val="000000"/>
          <w:kern w:val="0"/>
          <w:sz w:val="24"/>
        </w:rPr>
      </w:pPr>
      <w:r>
        <w:rPr>
          <w:rFonts w:hint="eastAsia" w:ascii="宋体" w:hAnsi="宋体" w:cs="宋体"/>
          <w:color w:val="000000"/>
          <w:kern w:val="0"/>
          <w:sz w:val="24"/>
        </w:rPr>
        <w:t>建立本行与股东特别是主要股东之间利益冲突的识别、审查和管理机制；</w:t>
      </w:r>
    </w:p>
    <w:p>
      <w:pPr>
        <w:widowControl/>
        <w:numPr>
          <w:ilvl w:val="0"/>
          <w:numId w:val="23"/>
        </w:numPr>
        <w:tabs>
          <w:tab w:val="left" w:pos="0"/>
          <w:tab w:val="left" w:pos="1701"/>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承担股东事务的管理责任；</w:t>
      </w:r>
    </w:p>
    <w:p>
      <w:pPr>
        <w:widowControl/>
        <w:numPr>
          <w:ilvl w:val="0"/>
          <w:numId w:val="23"/>
        </w:numPr>
        <w:tabs>
          <w:tab w:val="left" w:pos="0"/>
          <w:tab w:val="left" w:pos="1701"/>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法律、法规或</w:t>
      </w:r>
      <w:r>
        <w:rPr>
          <w:rFonts w:hint="eastAsia" w:ascii="宋体" w:hAnsi="宋体" w:cs="宋体"/>
          <w:color w:val="000000"/>
          <w:kern w:val="0"/>
          <w:sz w:val="24"/>
        </w:rPr>
        <w:t>本章程</w:t>
      </w:r>
      <w:r>
        <w:rPr>
          <w:rFonts w:ascii="宋体" w:hAnsi="宋体" w:cs="宋体"/>
          <w:color w:val="000000"/>
          <w:kern w:val="0"/>
          <w:sz w:val="24"/>
        </w:rPr>
        <w:t>规定，以及股东大会授予的其他职权。</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本行董事会应就注册会计师对本行财务报表出具的非标准审计意见向股东大会作出说明。</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董事会应当确定本行对外投资和收购出售资产的权限，规定明确的审查和决策程序；重大投资项目应当组织有关专家、专业人员进行评审，并报股东大会批准。</w:t>
      </w:r>
    </w:p>
    <w:p>
      <w:pPr>
        <w:widowControl/>
        <w:spacing w:line="320" w:lineRule="exact"/>
        <w:jc w:val="left"/>
        <w:rPr>
          <w:rFonts w:ascii="宋体" w:hAnsi="宋体" w:cs="宋体"/>
          <w:color w:val="000000"/>
          <w:kern w:val="0"/>
          <w:sz w:val="24"/>
        </w:rPr>
      </w:pPr>
      <w:r>
        <w:rPr>
          <w:rFonts w:hint="eastAsia" w:ascii="宋体" w:hAnsi="宋体" w:cs="宋体"/>
          <w:color w:val="000000"/>
          <w:kern w:val="0"/>
          <w:sz w:val="24"/>
        </w:rPr>
        <w:t xml:space="preserve">    单笔金额未超过本行最近一次经审计的净资产值百分之二十五的本行的重大收购、重大投资（指以发起、收购、受让股份等形式对其他企业进行的股本权益性投资）以及本行日常经营活动中的购买、出售及资产处置方案（包括固定资产投资等）由本行董事会审议批准。</w:t>
      </w:r>
    </w:p>
    <w:p>
      <w:pPr>
        <w:widowControl/>
        <w:spacing w:line="320" w:lineRule="exact"/>
        <w:ind w:firstLine="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单笔金额超过本行</w:t>
      </w:r>
      <w:r>
        <w:rPr>
          <w:rFonts w:hint="eastAsia" w:ascii="宋体" w:hAnsi="宋体" w:cs="宋体"/>
          <w:color w:val="000000"/>
          <w:kern w:val="0"/>
          <w:sz w:val="24"/>
        </w:rPr>
        <w:t>最近一次经审计的净资产值百分之二十五的</w:t>
      </w:r>
      <w:r>
        <w:rPr>
          <w:rFonts w:hint="eastAsia" w:ascii="宋体" w:hAnsi="宋体" w:cs="宋体"/>
          <w:bCs/>
          <w:smallCaps/>
          <w:color w:val="000000"/>
          <w:kern w:val="0"/>
          <w:sz w:val="24"/>
          <w:szCs w:val="20"/>
        </w:rPr>
        <w:t>本行的重大收购、重大投资</w:t>
      </w:r>
      <w:r>
        <w:rPr>
          <w:rFonts w:hint="eastAsia" w:ascii="宋体" w:hAnsi="宋体" w:cs="宋体"/>
          <w:color w:val="000000"/>
          <w:kern w:val="0"/>
          <w:sz w:val="24"/>
        </w:rPr>
        <w:t>（指以发起、收购、受让股份等形式对其他企业进行的股本权益性投资）以及本行日常经营活动中的购买、出售及资产处置方案（包括固定资产投资等）</w:t>
      </w:r>
      <w:r>
        <w:rPr>
          <w:rFonts w:hint="eastAsia" w:ascii="宋体" w:hAnsi="宋体" w:cs="宋体"/>
          <w:bCs/>
          <w:smallCaps/>
          <w:color w:val="000000"/>
          <w:kern w:val="0"/>
          <w:sz w:val="24"/>
          <w:szCs w:val="20"/>
        </w:rPr>
        <w:t>由本行股东大会审议批准。</w:t>
      </w:r>
    </w:p>
    <w:p>
      <w:pPr>
        <w:widowControl/>
        <w:numPr>
          <w:ilvl w:val="0"/>
          <w:numId w:val="2"/>
        </w:numPr>
        <w:tabs>
          <w:tab w:val="left" w:pos="2268"/>
          <w:tab w:val="clear" w:pos="1920"/>
        </w:tabs>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本行根据需要，可由董事会授权董事长在董事会闭会期间行使董事会的部分职权。</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董事长行使下列职权：</w:t>
      </w:r>
    </w:p>
    <w:p>
      <w:pPr>
        <w:widowControl/>
        <w:numPr>
          <w:ilvl w:val="0"/>
          <w:numId w:val="24"/>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主持股东大会和召集、主持董事会会议；</w:t>
      </w:r>
    </w:p>
    <w:p>
      <w:pPr>
        <w:widowControl/>
        <w:numPr>
          <w:ilvl w:val="0"/>
          <w:numId w:val="24"/>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督促、检查董事会决议的执行</w:t>
      </w:r>
      <w:r>
        <w:rPr>
          <w:rFonts w:hint="eastAsia" w:ascii="宋体" w:hAnsi="宋体" w:cs="宋体"/>
          <w:color w:val="000000"/>
          <w:kern w:val="0"/>
          <w:sz w:val="24"/>
        </w:rPr>
        <w:t>，并向董事会报告</w:t>
      </w:r>
      <w:r>
        <w:rPr>
          <w:rFonts w:ascii="宋体" w:hAnsi="宋体" w:cs="宋体"/>
          <w:color w:val="000000"/>
          <w:kern w:val="0"/>
          <w:sz w:val="24"/>
        </w:rPr>
        <w:t>；</w:t>
      </w:r>
    </w:p>
    <w:p>
      <w:pPr>
        <w:widowControl/>
        <w:numPr>
          <w:ilvl w:val="0"/>
          <w:numId w:val="24"/>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签署董事会重要文件和其他应由</w:t>
      </w:r>
      <w:r>
        <w:rPr>
          <w:rFonts w:hint="eastAsia" w:ascii="宋体" w:hAnsi="宋体" w:cs="宋体"/>
          <w:color w:val="000000"/>
          <w:kern w:val="0"/>
          <w:sz w:val="24"/>
        </w:rPr>
        <w:t>本行法</w:t>
      </w:r>
      <w:r>
        <w:rPr>
          <w:rFonts w:ascii="宋体" w:hAnsi="宋体" w:cs="宋体"/>
          <w:color w:val="000000"/>
          <w:kern w:val="0"/>
          <w:sz w:val="24"/>
        </w:rPr>
        <w:t>定代表人签署的其他文件；</w:t>
      </w:r>
    </w:p>
    <w:p>
      <w:pPr>
        <w:widowControl/>
        <w:numPr>
          <w:ilvl w:val="0"/>
          <w:numId w:val="24"/>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行使法定代表人的职权；</w:t>
      </w:r>
    </w:p>
    <w:p>
      <w:pPr>
        <w:widowControl/>
        <w:numPr>
          <w:ilvl w:val="0"/>
          <w:numId w:val="24"/>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提名董事会秘书；</w:t>
      </w:r>
    </w:p>
    <w:p>
      <w:pPr>
        <w:widowControl/>
        <w:numPr>
          <w:ilvl w:val="0"/>
          <w:numId w:val="24"/>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在发生特大自然灾害等不可抗力的紧急情况下，对</w:t>
      </w:r>
      <w:r>
        <w:rPr>
          <w:rFonts w:hint="eastAsia" w:ascii="宋体" w:hAnsi="宋体" w:cs="宋体"/>
          <w:color w:val="000000"/>
          <w:kern w:val="0"/>
          <w:sz w:val="24"/>
        </w:rPr>
        <w:t>本行</w:t>
      </w:r>
      <w:r>
        <w:rPr>
          <w:rFonts w:ascii="宋体" w:hAnsi="宋体" w:cs="宋体"/>
          <w:color w:val="000000"/>
          <w:kern w:val="0"/>
          <w:sz w:val="24"/>
        </w:rPr>
        <w:t>事务行使符合法律规定和</w:t>
      </w:r>
      <w:r>
        <w:rPr>
          <w:rFonts w:hint="eastAsia" w:ascii="宋体" w:hAnsi="宋体" w:cs="宋体"/>
          <w:color w:val="000000"/>
          <w:kern w:val="0"/>
          <w:sz w:val="24"/>
        </w:rPr>
        <w:t>本行</w:t>
      </w:r>
      <w:r>
        <w:rPr>
          <w:rFonts w:ascii="宋体" w:hAnsi="宋体" w:cs="宋体"/>
          <w:color w:val="000000"/>
          <w:kern w:val="0"/>
          <w:sz w:val="24"/>
        </w:rPr>
        <w:t>利益的特别处置权，</w:t>
      </w:r>
      <w:r>
        <w:rPr>
          <w:rFonts w:hint="eastAsia" w:ascii="宋体" w:hAnsi="宋体" w:cs="宋体"/>
          <w:color w:val="000000"/>
          <w:kern w:val="0"/>
          <w:sz w:val="24"/>
        </w:rPr>
        <w:t>但这种裁决和处置必须符合本行的利益并在事后向本行董事会和股东大会报告</w:t>
      </w:r>
      <w:r>
        <w:rPr>
          <w:rFonts w:ascii="宋体" w:hAnsi="宋体" w:cs="宋体"/>
          <w:color w:val="000000"/>
          <w:kern w:val="0"/>
          <w:sz w:val="24"/>
        </w:rPr>
        <w:t>；</w:t>
      </w:r>
    </w:p>
    <w:p>
      <w:pPr>
        <w:widowControl/>
        <w:numPr>
          <w:ilvl w:val="0"/>
          <w:numId w:val="24"/>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董事会授予的其他职权。</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本行董事长不能履行职务或不履行职务的，由半数以上董事共同推举一名董事履行职务。</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董事会</w:t>
      </w:r>
      <w:r>
        <w:rPr>
          <w:rFonts w:hint="eastAsia" w:ascii="宋体" w:hAnsi="宋体" w:cs="宋体"/>
          <w:bCs/>
          <w:smallCaps/>
          <w:color w:val="000000"/>
          <w:kern w:val="0"/>
          <w:sz w:val="24"/>
          <w:szCs w:val="20"/>
        </w:rPr>
        <w:t>每年至少召开四次会议</w:t>
      </w:r>
      <w:r>
        <w:rPr>
          <w:rFonts w:ascii="宋体" w:hAnsi="宋体" w:cs="宋体"/>
          <w:bCs/>
          <w:smallCaps/>
          <w:color w:val="000000"/>
          <w:kern w:val="0"/>
          <w:sz w:val="24"/>
          <w:szCs w:val="20"/>
        </w:rPr>
        <w:t>，由董事长召集，于会议召开</w:t>
      </w:r>
      <w:r>
        <w:rPr>
          <w:rFonts w:hint="eastAsia" w:ascii="宋体" w:hAnsi="宋体" w:cs="宋体"/>
          <w:bCs/>
          <w:smallCaps/>
          <w:color w:val="000000"/>
          <w:kern w:val="0"/>
          <w:sz w:val="24"/>
          <w:szCs w:val="20"/>
        </w:rPr>
        <w:t>十</w:t>
      </w:r>
      <w:r>
        <w:rPr>
          <w:rFonts w:ascii="宋体" w:hAnsi="宋体" w:cs="宋体"/>
          <w:bCs/>
          <w:smallCaps/>
          <w:color w:val="000000"/>
          <w:kern w:val="0"/>
          <w:sz w:val="24"/>
          <w:szCs w:val="20"/>
        </w:rPr>
        <w:t>日以前书面通知全体董事</w:t>
      </w:r>
      <w:r>
        <w:rPr>
          <w:rFonts w:hint="eastAsia" w:ascii="宋体" w:hAnsi="宋体" w:cs="宋体"/>
          <w:bCs/>
          <w:smallCaps/>
          <w:color w:val="000000"/>
          <w:kern w:val="0"/>
          <w:sz w:val="24"/>
          <w:szCs w:val="20"/>
          <w:lang w:val="en-US" w:eastAsia="zh-CN"/>
        </w:rPr>
        <w:t>和监事</w:t>
      </w:r>
      <w:r>
        <w:rPr>
          <w:rFonts w:ascii="宋体" w:hAnsi="宋体" w:cs="宋体"/>
          <w:bCs/>
          <w:smallCaps/>
          <w:color w:val="000000"/>
          <w:kern w:val="0"/>
          <w:sz w:val="24"/>
          <w:szCs w:val="20"/>
        </w:rPr>
        <w:t>。</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有下列情形之一的，董事长应在</w:t>
      </w:r>
      <w:r>
        <w:rPr>
          <w:rFonts w:hint="eastAsia" w:ascii="宋体" w:hAnsi="宋体" w:cs="宋体"/>
          <w:bCs/>
          <w:smallCaps/>
          <w:color w:val="000000"/>
          <w:kern w:val="0"/>
          <w:sz w:val="24"/>
          <w:szCs w:val="20"/>
        </w:rPr>
        <w:t>十</w:t>
      </w:r>
      <w:r>
        <w:rPr>
          <w:rFonts w:ascii="宋体" w:hAnsi="宋体" w:cs="宋体"/>
          <w:bCs/>
          <w:smallCaps/>
          <w:color w:val="000000"/>
          <w:kern w:val="0"/>
          <w:sz w:val="24"/>
          <w:szCs w:val="20"/>
        </w:rPr>
        <w:t>日内召集临时董事会会议：</w:t>
      </w:r>
    </w:p>
    <w:p>
      <w:pPr>
        <w:widowControl/>
        <w:numPr>
          <w:ilvl w:val="0"/>
          <w:numId w:val="25"/>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董事长认为必要时；</w:t>
      </w:r>
    </w:p>
    <w:p>
      <w:pPr>
        <w:widowControl/>
        <w:numPr>
          <w:ilvl w:val="0"/>
          <w:numId w:val="25"/>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十分之一以上有表决权的股东提议时；</w:t>
      </w:r>
    </w:p>
    <w:p>
      <w:pPr>
        <w:widowControl/>
        <w:numPr>
          <w:ilvl w:val="0"/>
          <w:numId w:val="25"/>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三分之一以上董事联名提议时；</w:t>
      </w:r>
    </w:p>
    <w:p>
      <w:pPr>
        <w:widowControl/>
        <w:numPr>
          <w:ilvl w:val="0"/>
          <w:numId w:val="25"/>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lang w:val="en-US" w:eastAsia="zh-CN"/>
        </w:rPr>
        <w:t>两名以上独立董事提议时</w:t>
      </w:r>
      <w:r>
        <w:rPr>
          <w:rFonts w:ascii="宋体" w:hAnsi="宋体" w:cs="宋体"/>
          <w:color w:val="000000"/>
          <w:kern w:val="0"/>
          <w:sz w:val="24"/>
        </w:rPr>
        <w:t>；</w:t>
      </w:r>
    </w:p>
    <w:p>
      <w:pPr>
        <w:widowControl/>
        <w:numPr>
          <w:ilvl w:val="0"/>
          <w:numId w:val="25"/>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监事会提议时；</w:t>
      </w:r>
    </w:p>
    <w:p>
      <w:pPr>
        <w:widowControl/>
        <w:numPr>
          <w:ilvl w:val="0"/>
          <w:numId w:val="25"/>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行长</w:t>
      </w:r>
      <w:r>
        <w:rPr>
          <w:rFonts w:ascii="宋体" w:hAnsi="宋体" w:cs="宋体"/>
          <w:color w:val="000000"/>
          <w:kern w:val="0"/>
          <w:sz w:val="24"/>
        </w:rPr>
        <w:t>提议时。</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董事会召开会议，应同时通知行长和监事列席会议。</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董事会召开临时董事会会议的通知方式为：</w:t>
      </w:r>
      <w:r>
        <w:rPr>
          <w:rFonts w:hint="eastAsia" w:ascii="宋体" w:hAnsi="宋体" w:cs="宋体"/>
          <w:bCs/>
          <w:smallCaps/>
          <w:color w:val="000000"/>
          <w:kern w:val="0"/>
          <w:sz w:val="24"/>
          <w:szCs w:val="20"/>
        </w:rPr>
        <w:t>书面通知，包括挂号信、电报、电传机及确认收到的传真、邮件；</w:t>
      </w:r>
      <w:r>
        <w:rPr>
          <w:rFonts w:ascii="宋体" w:hAnsi="宋体" w:cs="宋体"/>
          <w:bCs/>
          <w:smallCaps/>
          <w:color w:val="000000"/>
          <w:kern w:val="0"/>
          <w:sz w:val="24"/>
          <w:szCs w:val="20"/>
        </w:rPr>
        <w:t>于会议召开</w:t>
      </w:r>
      <w:r>
        <w:rPr>
          <w:rFonts w:hint="eastAsia" w:ascii="宋体" w:hAnsi="宋体" w:cs="宋体"/>
          <w:bCs/>
          <w:smallCaps/>
          <w:color w:val="000000"/>
          <w:kern w:val="0"/>
          <w:sz w:val="24"/>
          <w:szCs w:val="20"/>
        </w:rPr>
        <w:t>五</w:t>
      </w:r>
      <w:r>
        <w:rPr>
          <w:rFonts w:ascii="宋体" w:hAnsi="宋体" w:cs="宋体"/>
          <w:bCs/>
          <w:smallCaps/>
          <w:color w:val="000000"/>
          <w:kern w:val="0"/>
          <w:sz w:val="24"/>
          <w:szCs w:val="20"/>
        </w:rPr>
        <w:t>日以前书面通知全体董事。</w:t>
      </w:r>
      <w:r>
        <w:rPr>
          <w:rFonts w:hint="eastAsia" w:ascii="宋体" w:hAnsi="宋体" w:cs="宋体"/>
          <w:bCs/>
          <w:smallCaps/>
          <w:color w:val="000000"/>
          <w:kern w:val="0"/>
          <w:sz w:val="24"/>
          <w:szCs w:val="20"/>
        </w:rPr>
        <w:t>情况紧急，需要尽快召开董事会临时会议的，可以随时通过电话或者其他口头方式发出会议通知，但召集人应当在会议上作出说明。</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董事会会议通知包括以下内容：</w:t>
      </w:r>
    </w:p>
    <w:p>
      <w:pPr>
        <w:widowControl/>
        <w:numPr>
          <w:ilvl w:val="0"/>
          <w:numId w:val="26"/>
        </w:numPr>
        <w:spacing w:line="320" w:lineRule="exact"/>
        <w:jc w:val="left"/>
        <w:rPr>
          <w:rFonts w:ascii="宋体" w:hAnsi="宋体" w:cs="宋体"/>
          <w:color w:val="000000"/>
          <w:kern w:val="0"/>
          <w:sz w:val="24"/>
        </w:rPr>
      </w:pPr>
      <w:r>
        <w:rPr>
          <w:rFonts w:ascii="宋体" w:hAnsi="宋体" w:cs="宋体"/>
          <w:color w:val="000000"/>
          <w:kern w:val="0"/>
          <w:sz w:val="24"/>
        </w:rPr>
        <w:t>会议日期和地点；</w:t>
      </w:r>
    </w:p>
    <w:p>
      <w:pPr>
        <w:widowControl/>
        <w:numPr>
          <w:ilvl w:val="0"/>
          <w:numId w:val="26"/>
        </w:numPr>
        <w:tabs>
          <w:tab w:val="left" w:pos="0"/>
          <w:tab w:val="clear" w:pos="1200"/>
        </w:tabs>
        <w:spacing w:line="320" w:lineRule="exact"/>
        <w:jc w:val="left"/>
        <w:rPr>
          <w:rFonts w:ascii="宋体" w:hAnsi="宋体" w:cs="宋体"/>
          <w:color w:val="000000"/>
          <w:kern w:val="0"/>
          <w:sz w:val="24"/>
        </w:rPr>
      </w:pPr>
      <w:r>
        <w:rPr>
          <w:rFonts w:ascii="宋体" w:hAnsi="宋体" w:cs="宋体"/>
          <w:color w:val="000000"/>
          <w:kern w:val="0"/>
          <w:sz w:val="24"/>
        </w:rPr>
        <w:t>会议期限；</w:t>
      </w:r>
    </w:p>
    <w:p>
      <w:pPr>
        <w:widowControl/>
        <w:numPr>
          <w:ilvl w:val="0"/>
          <w:numId w:val="26"/>
        </w:numPr>
        <w:tabs>
          <w:tab w:val="left" w:pos="0"/>
          <w:tab w:val="clear" w:pos="1200"/>
        </w:tabs>
        <w:spacing w:line="320" w:lineRule="exact"/>
        <w:jc w:val="left"/>
        <w:rPr>
          <w:rFonts w:ascii="宋体" w:hAnsi="宋体" w:cs="宋体"/>
          <w:color w:val="000000"/>
          <w:kern w:val="0"/>
          <w:sz w:val="24"/>
        </w:rPr>
      </w:pPr>
      <w:r>
        <w:rPr>
          <w:rFonts w:ascii="宋体" w:hAnsi="宋体" w:cs="宋体"/>
          <w:color w:val="000000"/>
          <w:kern w:val="0"/>
          <w:sz w:val="24"/>
        </w:rPr>
        <w:t>事由及议题；</w:t>
      </w:r>
    </w:p>
    <w:p>
      <w:pPr>
        <w:widowControl/>
        <w:numPr>
          <w:ilvl w:val="0"/>
          <w:numId w:val="26"/>
        </w:numPr>
        <w:tabs>
          <w:tab w:val="left" w:pos="0"/>
          <w:tab w:val="clear" w:pos="1200"/>
        </w:tabs>
        <w:spacing w:line="320" w:lineRule="exact"/>
        <w:jc w:val="left"/>
        <w:rPr>
          <w:rFonts w:ascii="宋体" w:hAnsi="宋体" w:cs="宋体"/>
          <w:color w:val="000000"/>
          <w:kern w:val="0"/>
          <w:sz w:val="24"/>
        </w:rPr>
      </w:pPr>
      <w:r>
        <w:rPr>
          <w:rFonts w:ascii="宋体" w:hAnsi="宋体" w:cs="宋体"/>
          <w:color w:val="000000"/>
          <w:kern w:val="0"/>
          <w:sz w:val="24"/>
        </w:rPr>
        <w:t>发出通知的日期。</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董事会会议应当由</w:t>
      </w:r>
      <w:r>
        <w:rPr>
          <w:rFonts w:hint="eastAsia" w:ascii="宋体" w:hAnsi="宋体" w:cs="宋体"/>
          <w:bCs/>
          <w:smallCaps/>
          <w:color w:val="000000"/>
          <w:kern w:val="0"/>
          <w:sz w:val="24"/>
          <w:szCs w:val="20"/>
        </w:rPr>
        <w:t>全体</w:t>
      </w:r>
      <w:r>
        <w:rPr>
          <w:rFonts w:ascii="宋体" w:hAnsi="宋体" w:cs="宋体"/>
          <w:bCs/>
          <w:smallCaps/>
          <w:color w:val="000000"/>
          <w:kern w:val="0"/>
          <w:sz w:val="24"/>
          <w:szCs w:val="20"/>
        </w:rPr>
        <w:t>董事</w:t>
      </w:r>
      <w:r>
        <w:rPr>
          <w:rFonts w:hint="eastAsia" w:ascii="宋体" w:hAnsi="宋体" w:cs="宋体"/>
          <w:bCs/>
          <w:smallCaps/>
          <w:color w:val="000000"/>
          <w:kern w:val="0"/>
          <w:sz w:val="24"/>
          <w:szCs w:val="20"/>
        </w:rPr>
        <w:t>过半数</w:t>
      </w:r>
      <w:r>
        <w:rPr>
          <w:rFonts w:ascii="宋体" w:hAnsi="宋体" w:cs="宋体"/>
          <w:bCs/>
          <w:smallCaps/>
          <w:color w:val="000000"/>
          <w:kern w:val="0"/>
          <w:sz w:val="24"/>
          <w:szCs w:val="20"/>
        </w:rPr>
        <w:t>出席方可举行。每一董事享有一票表决权。</w:t>
      </w:r>
    </w:p>
    <w:p>
      <w:pPr>
        <w:widowControl/>
        <w:spacing w:line="320" w:lineRule="exact"/>
        <w:ind w:firstLine="480" w:firstLineChars="200"/>
        <w:jc w:val="left"/>
        <w:rPr>
          <w:rFonts w:ascii="宋体" w:hAnsi="宋体" w:cs="宋体"/>
          <w:color w:val="000000"/>
          <w:kern w:val="0"/>
          <w:sz w:val="24"/>
        </w:rPr>
      </w:pPr>
      <w:r>
        <w:rPr>
          <w:rFonts w:ascii="宋体" w:hAnsi="宋体" w:cs="宋体"/>
          <w:color w:val="000000"/>
          <w:kern w:val="0"/>
          <w:sz w:val="24"/>
        </w:rPr>
        <w:t>董事会作出</w:t>
      </w:r>
      <w:r>
        <w:rPr>
          <w:rFonts w:hint="eastAsia" w:ascii="宋体" w:hAnsi="宋体" w:cs="宋体"/>
          <w:color w:val="000000"/>
          <w:kern w:val="0"/>
          <w:sz w:val="24"/>
        </w:rPr>
        <w:t>下列</w:t>
      </w:r>
      <w:r>
        <w:rPr>
          <w:rFonts w:ascii="宋体" w:hAnsi="宋体" w:cs="宋体"/>
          <w:color w:val="000000"/>
          <w:kern w:val="0"/>
          <w:sz w:val="24"/>
        </w:rPr>
        <w:t>决议</w:t>
      </w:r>
      <w:r>
        <w:rPr>
          <w:rFonts w:hint="eastAsia" w:ascii="宋体" w:hAnsi="宋体" w:cs="宋体"/>
          <w:color w:val="000000"/>
          <w:kern w:val="0"/>
          <w:sz w:val="24"/>
        </w:rPr>
        <w:t>时</w:t>
      </w:r>
      <w:r>
        <w:rPr>
          <w:rFonts w:ascii="宋体" w:hAnsi="宋体" w:cs="宋体"/>
          <w:color w:val="000000"/>
          <w:kern w:val="0"/>
          <w:sz w:val="24"/>
        </w:rPr>
        <w:t>，必须经全体董事的</w:t>
      </w:r>
      <w:r>
        <w:rPr>
          <w:rFonts w:hint="eastAsia" w:ascii="宋体" w:hAnsi="宋体" w:cs="宋体"/>
          <w:color w:val="000000"/>
          <w:kern w:val="0"/>
          <w:sz w:val="24"/>
        </w:rPr>
        <w:t>三分之二以上</w:t>
      </w:r>
      <w:r>
        <w:rPr>
          <w:rFonts w:ascii="宋体" w:hAnsi="宋体" w:cs="宋体"/>
          <w:color w:val="000000"/>
          <w:kern w:val="0"/>
          <w:sz w:val="24"/>
        </w:rPr>
        <w:t>通过</w:t>
      </w:r>
      <w:r>
        <w:rPr>
          <w:rFonts w:hint="eastAsia" w:ascii="宋体" w:hAnsi="宋体" w:cs="宋体"/>
          <w:color w:val="000000"/>
          <w:kern w:val="0"/>
          <w:sz w:val="24"/>
        </w:rPr>
        <w:t>：</w:t>
      </w:r>
    </w:p>
    <w:p>
      <w:pPr>
        <w:widowControl/>
        <w:numPr>
          <w:ilvl w:val="0"/>
          <w:numId w:val="27"/>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利润分配或弥补亏损方案；</w:t>
      </w:r>
    </w:p>
    <w:p>
      <w:pPr>
        <w:widowControl/>
        <w:numPr>
          <w:ilvl w:val="0"/>
          <w:numId w:val="27"/>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本节第一百二十七条涉及的由本行董事会审议批准的重大投资及重大资产购置与处置方案；</w:t>
      </w:r>
    </w:p>
    <w:p>
      <w:pPr>
        <w:widowControl/>
        <w:numPr>
          <w:ilvl w:val="0"/>
          <w:numId w:val="27"/>
        </w:numPr>
        <w:spacing w:line="320" w:lineRule="exact"/>
        <w:jc w:val="left"/>
        <w:rPr>
          <w:rFonts w:ascii="宋体" w:hAnsi="宋体" w:cs="宋体"/>
          <w:color w:val="000000"/>
          <w:kern w:val="0"/>
          <w:sz w:val="24"/>
        </w:rPr>
      </w:pPr>
      <w:r>
        <w:rPr>
          <w:rFonts w:hint="eastAsia" w:ascii="宋体" w:hAnsi="宋体" w:cs="宋体"/>
          <w:color w:val="000000"/>
          <w:kern w:val="0"/>
          <w:sz w:val="24"/>
        </w:rPr>
        <w:t>本行增加或减少注册资本、发行债券或其他有价证券及上市方案；</w:t>
      </w:r>
    </w:p>
    <w:p>
      <w:pPr>
        <w:widowControl/>
        <w:numPr>
          <w:ilvl w:val="0"/>
          <w:numId w:val="27"/>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选举或罢免董事长、聘任或解聘行长及其他高级管理人员；</w:t>
      </w:r>
    </w:p>
    <w:p>
      <w:pPr>
        <w:widowControl/>
        <w:numPr>
          <w:ilvl w:val="0"/>
          <w:numId w:val="27"/>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本行高级管理人员的薪酬政策、绩效考核以及重大奖惩事项；</w:t>
      </w:r>
    </w:p>
    <w:p>
      <w:pPr>
        <w:widowControl/>
        <w:numPr>
          <w:ilvl w:val="0"/>
          <w:numId w:val="27"/>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回购本行股票；</w:t>
      </w:r>
    </w:p>
    <w:p>
      <w:pPr>
        <w:widowControl/>
        <w:numPr>
          <w:ilvl w:val="0"/>
          <w:numId w:val="27"/>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合并分立和解散方案；</w:t>
      </w:r>
    </w:p>
    <w:p>
      <w:pPr>
        <w:widowControl/>
        <w:numPr>
          <w:ilvl w:val="0"/>
          <w:numId w:val="27"/>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章程修改方案；</w:t>
      </w:r>
    </w:p>
    <w:p>
      <w:pPr>
        <w:widowControl/>
        <w:numPr>
          <w:ilvl w:val="0"/>
          <w:numId w:val="27"/>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变更本行注册地和总部所在地；</w:t>
      </w:r>
    </w:p>
    <w:p>
      <w:pPr>
        <w:widowControl/>
        <w:numPr>
          <w:ilvl w:val="0"/>
          <w:numId w:val="27"/>
        </w:numPr>
        <w:spacing w:line="320" w:lineRule="exact"/>
        <w:jc w:val="left"/>
        <w:rPr>
          <w:rFonts w:ascii="宋体" w:hAnsi="宋体" w:cs="宋体"/>
          <w:color w:val="000000"/>
          <w:kern w:val="0"/>
          <w:sz w:val="24"/>
        </w:rPr>
      </w:pPr>
      <w:r>
        <w:rPr>
          <w:rFonts w:hint="eastAsia" w:ascii="宋体" w:hAnsi="宋体" w:cs="宋体"/>
          <w:color w:val="000000"/>
          <w:kern w:val="0"/>
          <w:sz w:val="24"/>
        </w:rPr>
        <w:t>占本行资本总额或股份总额</w:t>
      </w:r>
      <w:r>
        <w:rPr>
          <w:rFonts w:hint="eastAsia" w:ascii="宋体" w:hAnsi="宋体" w:cs="宋体"/>
          <w:color w:val="000000"/>
          <w:kern w:val="0"/>
          <w:sz w:val="24"/>
          <w:lang w:val="en-US" w:eastAsia="zh-CN"/>
        </w:rPr>
        <w:t>5</w:t>
      </w:r>
      <w:r>
        <w:rPr>
          <w:rFonts w:hint="eastAsia" w:ascii="宋体" w:hAnsi="宋体" w:cs="宋体"/>
          <w:color w:val="000000"/>
          <w:kern w:val="0"/>
          <w:sz w:val="24"/>
        </w:rPr>
        <w:t>%以上（含）的重大股权变动</w:t>
      </w:r>
      <w:r>
        <w:rPr>
          <w:rFonts w:hint="eastAsia" w:ascii="宋体" w:hAnsi="宋体" w:cs="宋体"/>
          <w:color w:val="000000"/>
          <w:kern w:val="0"/>
          <w:sz w:val="24"/>
          <w:lang w:eastAsia="zh-CN"/>
        </w:rPr>
        <w:t>。</w:t>
      </w:r>
    </w:p>
    <w:p>
      <w:pPr>
        <w:widowControl/>
        <w:spacing w:line="320" w:lineRule="exact"/>
        <w:ind w:firstLine="480" w:firstLineChars="200"/>
        <w:jc w:val="left"/>
        <w:rPr>
          <w:rFonts w:ascii="宋体" w:hAnsi="宋体" w:cs="宋体"/>
          <w:color w:val="000000"/>
          <w:kern w:val="0"/>
          <w:sz w:val="24"/>
        </w:rPr>
      </w:pPr>
      <w:r>
        <w:rPr>
          <w:rFonts w:ascii="宋体" w:hAnsi="宋体" w:cs="宋体"/>
          <w:color w:val="000000"/>
          <w:kern w:val="0"/>
          <w:sz w:val="24"/>
        </w:rPr>
        <w:t>董事会作出</w:t>
      </w:r>
      <w:r>
        <w:rPr>
          <w:rFonts w:hint="eastAsia" w:ascii="宋体" w:hAnsi="宋体" w:cs="宋体"/>
          <w:color w:val="000000"/>
          <w:kern w:val="0"/>
          <w:sz w:val="24"/>
        </w:rPr>
        <w:t>其他</w:t>
      </w:r>
      <w:r>
        <w:rPr>
          <w:rFonts w:ascii="宋体" w:hAnsi="宋体" w:cs="宋体"/>
          <w:color w:val="000000"/>
          <w:kern w:val="0"/>
          <w:sz w:val="24"/>
        </w:rPr>
        <w:t>决议，必须经全体董事的过半数通过。</w:t>
      </w:r>
    </w:p>
    <w:p>
      <w:pPr>
        <w:widowControl/>
        <w:spacing w:line="320" w:lineRule="exact"/>
        <w:ind w:firstLine="480" w:firstLineChars="200"/>
        <w:jc w:val="left"/>
        <w:rPr>
          <w:rFonts w:hint="eastAsia" w:ascii="宋体" w:hAnsi="宋体" w:eastAsia="宋体" w:cs="宋体"/>
          <w:color w:val="000000"/>
          <w:kern w:val="0"/>
          <w:sz w:val="24"/>
          <w:highlight w:val="yellow"/>
          <w:lang w:eastAsia="zh-CN"/>
        </w:rPr>
      </w:pPr>
      <w:r>
        <w:rPr>
          <w:rFonts w:hint="eastAsia" w:ascii="宋体" w:hAnsi="宋体" w:cs="宋体"/>
          <w:color w:val="000000"/>
          <w:kern w:val="0"/>
          <w:sz w:val="24"/>
          <w:highlight w:val="none"/>
        </w:rPr>
        <w:t>在统计董事会会议出席、表决的董事人数时</w:t>
      </w:r>
      <w:r>
        <w:rPr>
          <w:rFonts w:hint="eastAsia" w:ascii="宋体" w:hAnsi="宋体" w:cs="宋体"/>
          <w:color w:val="000000"/>
          <w:kern w:val="0"/>
          <w:sz w:val="24"/>
          <w:highlight w:val="none"/>
          <w:lang w:eastAsia="zh-CN"/>
        </w:rPr>
        <w:t>，</w:t>
      </w:r>
      <w:r>
        <w:rPr>
          <w:rFonts w:hint="eastAsia" w:ascii="宋体" w:hAnsi="宋体" w:cs="宋体"/>
          <w:color w:val="000000"/>
          <w:kern w:val="0"/>
          <w:sz w:val="24"/>
          <w:highlight w:val="none"/>
        </w:rPr>
        <w:t>所述“董事”、“全体董事”</w:t>
      </w:r>
      <w:r>
        <w:rPr>
          <w:rFonts w:hint="eastAsia" w:ascii="宋体" w:hAnsi="宋体" w:cs="宋体"/>
          <w:color w:val="000000"/>
          <w:kern w:val="0"/>
          <w:sz w:val="24"/>
          <w:highlight w:val="none"/>
          <w:lang w:val="en-US" w:eastAsia="zh-CN"/>
        </w:rPr>
        <w:t>均</w:t>
      </w:r>
      <w:r>
        <w:rPr>
          <w:rFonts w:hint="eastAsia" w:ascii="宋体" w:hAnsi="宋体" w:cs="宋体"/>
          <w:color w:val="000000"/>
          <w:kern w:val="0"/>
          <w:sz w:val="24"/>
          <w:highlight w:val="none"/>
        </w:rPr>
        <w:t>指已获得银行业监督管理机构任职资格核准的董事</w:t>
      </w:r>
      <w:r>
        <w:rPr>
          <w:rFonts w:hint="eastAsia" w:ascii="宋体" w:hAnsi="宋体" w:cs="宋体"/>
          <w:color w:val="000000"/>
          <w:kern w:val="0"/>
          <w:sz w:val="24"/>
          <w:highlight w:val="none"/>
          <w:lang w:eastAsia="zh-CN"/>
        </w:rPr>
        <w:t>。</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董事会决议可以采用现场会议表决和书面传签表决两种方式作出</w:t>
      </w:r>
      <w:r>
        <w:rPr>
          <w:rFonts w:hint="eastAsia" w:ascii="宋体" w:hAnsi="宋体" w:cs="宋体"/>
          <w:bCs/>
          <w:smallCaps/>
          <w:color w:val="000000"/>
          <w:kern w:val="0"/>
          <w:sz w:val="24"/>
          <w:szCs w:val="20"/>
          <w:lang w:eastAsia="zh-CN"/>
        </w:rPr>
        <w:t>。</w:t>
      </w:r>
      <w:r>
        <w:rPr>
          <w:rFonts w:hint="eastAsia" w:ascii="宋体" w:hAnsi="宋体" w:cs="宋体"/>
          <w:bCs/>
          <w:smallCaps/>
          <w:color w:val="000000"/>
          <w:kern w:val="0"/>
          <w:sz w:val="24"/>
          <w:szCs w:val="20"/>
        </w:rPr>
        <w:t>董事会决议表决方式为：记名票决制。</w:t>
      </w:r>
      <w:r>
        <w:rPr>
          <w:rFonts w:ascii="宋体" w:hAnsi="宋体" w:cs="宋体"/>
          <w:bCs/>
          <w:smallCaps/>
          <w:color w:val="000000"/>
          <w:kern w:val="0"/>
          <w:sz w:val="24"/>
          <w:szCs w:val="20"/>
        </w:rPr>
        <w:t>董事会临时会议在保障董事充分表达意见的前提下，可以用</w:t>
      </w:r>
      <w:r>
        <w:rPr>
          <w:rFonts w:hint="eastAsia" w:ascii="宋体" w:hAnsi="宋体" w:cs="宋体"/>
          <w:bCs/>
          <w:smallCaps/>
          <w:color w:val="000000"/>
          <w:kern w:val="0"/>
          <w:sz w:val="24"/>
          <w:szCs w:val="20"/>
          <w:lang w:val="en-US" w:eastAsia="zh-CN"/>
        </w:rPr>
        <w:t>书面传签</w:t>
      </w:r>
      <w:r>
        <w:rPr>
          <w:rFonts w:hint="eastAsia" w:ascii="宋体" w:hAnsi="宋体" w:cs="宋体"/>
          <w:bCs/>
          <w:smallCaps/>
          <w:color w:val="000000"/>
          <w:kern w:val="0"/>
          <w:sz w:val="24"/>
          <w:szCs w:val="20"/>
        </w:rPr>
        <w:t>方式</w:t>
      </w:r>
      <w:r>
        <w:rPr>
          <w:rFonts w:ascii="宋体" w:hAnsi="宋体" w:cs="宋体"/>
          <w:bCs/>
          <w:smallCaps/>
          <w:color w:val="000000"/>
          <w:kern w:val="0"/>
          <w:sz w:val="24"/>
          <w:szCs w:val="20"/>
        </w:rPr>
        <w:t>进行并作出决议，并由参会董事签字。</w:t>
      </w:r>
    </w:p>
    <w:p>
      <w:pPr>
        <w:widowControl/>
        <w:spacing w:line="320" w:lineRule="exact"/>
        <w:ind w:firstLine="480" w:firstLineChars="200"/>
        <w:jc w:val="left"/>
        <w:rPr>
          <w:rFonts w:hint="eastAsia" w:ascii="宋体" w:hAnsi="宋体" w:eastAsia="宋体" w:cs="宋体"/>
          <w:bCs/>
          <w:smallCaps/>
          <w:color w:val="000000"/>
          <w:kern w:val="0"/>
          <w:sz w:val="24"/>
          <w:szCs w:val="20"/>
          <w:lang w:eastAsia="zh-CN"/>
        </w:rPr>
      </w:pPr>
      <w:r>
        <w:rPr>
          <w:rFonts w:hint="eastAsia" w:ascii="宋体" w:hAnsi="宋体" w:cs="宋体"/>
          <w:bCs/>
          <w:smallCaps/>
          <w:color w:val="000000"/>
          <w:kern w:val="0"/>
          <w:sz w:val="24"/>
          <w:szCs w:val="20"/>
        </w:rPr>
        <w:t>利润分配方案、薪酬方案、重大投资、重大资产处置方案、聘任或解聘高级管理人员、资本补充方案等重大事项不得采取书面传签方式表决</w:t>
      </w:r>
      <w:r>
        <w:rPr>
          <w:rFonts w:hint="eastAsia" w:ascii="宋体" w:hAnsi="宋体" w:cs="宋体"/>
          <w:bCs/>
          <w:smallCaps/>
          <w:color w:val="000000"/>
          <w:kern w:val="0"/>
          <w:sz w:val="24"/>
          <w:szCs w:val="20"/>
          <w:lang w:eastAsia="zh-CN"/>
        </w:rPr>
        <w:t>，</w:t>
      </w:r>
      <w:r>
        <w:rPr>
          <w:rFonts w:hint="eastAsia" w:ascii="宋体" w:hAnsi="宋体" w:cs="宋体"/>
          <w:bCs/>
          <w:smallCaps/>
          <w:color w:val="000000"/>
          <w:kern w:val="0"/>
          <w:sz w:val="24"/>
          <w:szCs w:val="20"/>
        </w:rPr>
        <w:t>并且应当由三分之二以上董事表决通过</w:t>
      </w:r>
      <w:r>
        <w:rPr>
          <w:rFonts w:hint="eastAsia" w:ascii="宋体" w:hAnsi="宋体" w:cs="宋体"/>
          <w:bCs/>
          <w:smallCaps/>
          <w:color w:val="000000"/>
          <w:kern w:val="0"/>
          <w:sz w:val="24"/>
          <w:szCs w:val="20"/>
          <w:lang w:eastAsia="zh-CN"/>
        </w:rPr>
        <w:t>。</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董事与董事会会议决议事项所涉及的企业有关联关系的，不得对该项决议行使表决权，也不得代理其他董事行使表决权。</w:t>
      </w:r>
    </w:p>
    <w:p>
      <w:pPr>
        <w:widowControl/>
        <w:spacing w:line="320" w:lineRule="exact"/>
        <w:ind w:firstLine="480" w:firstLineChars="200"/>
        <w:jc w:val="left"/>
        <w:rPr>
          <w:rFonts w:ascii="宋体" w:hAnsi="宋体" w:cs="宋体"/>
          <w:bCs/>
          <w:smallCaps/>
          <w:color w:val="000000"/>
          <w:kern w:val="0"/>
          <w:sz w:val="24"/>
          <w:szCs w:val="20"/>
        </w:rPr>
      </w:pPr>
      <w:r>
        <w:rPr>
          <w:rFonts w:ascii="宋体" w:hAnsi="宋体" w:cs="宋体"/>
          <w:bCs/>
          <w:smallCaps/>
          <w:color w:val="000000"/>
          <w:kern w:val="0"/>
          <w:sz w:val="24"/>
          <w:szCs w:val="20"/>
        </w:rPr>
        <w:t>该董事会会议由过半数的无关联关系董事出席即可举行，董事会会议所作决议须经无关联关系董事</w:t>
      </w:r>
      <w:r>
        <w:rPr>
          <w:rFonts w:hint="eastAsia" w:ascii="宋体" w:hAnsi="宋体" w:cs="宋体"/>
          <w:bCs/>
          <w:smallCaps/>
          <w:color w:val="000000"/>
          <w:kern w:val="0"/>
          <w:sz w:val="24"/>
          <w:szCs w:val="20"/>
          <w:lang w:val="en-US" w:eastAsia="zh-CN"/>
        </w:rPr>
        <w:t>三分之二以上</w:t>
      </w:r>
      <w:r>
        <w:rPr>
          <w:rFonts w:ascii="宋体" w:hAnsi="宋体" w:cs="宋体"/>
          <w:bCs/>
          <w:smallCaps/>
          <w:color w:val="000000"/>
          <w:kern w:val="0"/>
          <w:sz w:val="24"/>
          <w:szCs w:val="20"/>
        </w:rPr>
        <w:t>通</w:t>
      </w:r>
      <w:r>
        <w:rPr>
          <w:rFonts w:hint="eastAsia" w:ascii="宋体" w:hAnsi="宋体" w:cs="宋体"/>
          <w:bCs/>
          <w:smallCaps/>
          <w:color w:val="000000"/>
          <w:kern w:val="0"/>
          <w:sz w:val="24"/>
          <w:szCs w:val="20"/>
        </w:rPr>
        <w:t>过</w:t>
      </w:r>
      <w:r>
        <w:rPr>
          <w:rFonts w:ascii="宋体" w:hAnsi="宋体" w:cs="宋体"/>
          <w:bCs/>
          <w:smallCaps/>
          <w:color w:val="000000"/>
          <w:kern w:val="0"/>
          <w:sz w:val="24"/>
          <w:szCs w:val="20"/>
        </w:rPr>
        <w:t>。出席董事会的无关联董事人数不足</w:t>
      </w:r>
      <w:r>
        <w:rPr>
          <w:rFonts w:hint="default" w:ascii="宋体" w:hAnsi="宋体" w:cs="宋体"/>
          <w:bCs/>
          <w:smallCaps/>
          <w:color w:val="000000"/>
          <w:kern w:val="0"/>
          <w:sz w:val="24"/>
          <w:szCs w:val="20"/>
          <w:lang w:val="en-US"/>
        </w:rPr>
        <w:t>3</w:t>
      </w:r>
      <w:r>
        <w:rPr>
          <w:rFonts w:ascii="宋体" w:hAnsi="宋体" w:cs="宋体"/>
          <w:bCs/>
          <w:smallCaps/>
          <w:color w:val="000000"/>
          <w:kern w:val="0"/>
          <w:sz w:val="24"/>
          <w:szCs w:val="20"/>
        </w:rPr>
        <w:t xml:space="preserve">人的，应将该事项提交股东大会审议。 </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董事会会议应当由董事本人出席，董事因故不能出席的，可以书面委托其他董事代为出席</w:t>
      </w:r>
      <w:r>
        <w:rPr>
          <w:rFonts w:hint="eastAsia" w:ascii="宋体" w:hAnsi="宋体" w:cs="宋体"/>
          <w:bCs/>
          <w:smallCaps/>
          <w:color w:val="000000"/>
          <w:kern w:val="0"/>
          <w:sz w:val="24"/>
          <w:szCs w:val="20"/>
          <w:lang w:eastAsia="zh-CN"/>
        </w:rPr>
        <w:t>，</w:t>
      </w:r>
      <w:r>
        <w:rPr>
          <w:rFonts w:hint="eastAsia" w:ascii="宋体" w:hAnsi="宋体" w:cs="宋体"/>
          <w:bCs/>
          <w:smallCaps/>
          <w:color w:val="000000"/>
          <w:kern w:val="0"/>
          <w:sz w:val="24"/>
          <w:szCs w:val="20"/>
        </w:rPr>
        <w:t>但独立董事不得委托非独立董事代为出席。一名董事原则上最多接受两名未亲自出席会议董事的委托。在审议关联交易事项时，非关联董事不得委托关联董事代为出席</w:t>
      </w:r>
      <w:r>
        <w:rPr>
          <w:rFonts w:ascii="宋体" w:hAnsi="宋体" w:cs="宋体"/>
          <w:bCs/>
          <w:smallCaps/>
          <w:color w:val="000000"/>
          <w:kern w:val="0"/>
          <w:sz w:val="24"/>
          <w:szCs w:val="20"/>
        </w:rPr>
        <w:t>。</w:t>
      </w:r>
    </w:p>
    <w:p>
      <w:pPr>
        <w:widowControl/>
        <w:spacing w:line="320" w:lineRule="exact"/>
        <w:ind w:firstLine="480"/>
        <w:jc w:val="left"/>
        <w:rPr>
          <w:rFonts w:ascii="宋体" w:hAnsi="宋体" w:cs="宋体"/>
          <w:color w:val="000000"/>
          <w:kern w:val="0"/>
          <w:sz w:val="24"/>
        </w:rPr>
      </w:pPr>
      <w:r>
        <w:rPr>
          <w:rFonts w:ascii="宋体" w:hAnsi="宋体" w:cs="宋体"/>
          <w:color w:val="000000"/>
          <w:kern w:val="0"/>
          <w:sz w:val="24"/>
        </w:rPr>
        <w:t>委托书应当载明代理人的姓名，代理事项、权限和有效期限，并由委托人签名或盖章。</w:t>
      </w:r>
    </w:p>
    <w:p>
      <w:pPr>
        <w:widowControl/>
        <w:spacing w:line="320" w:lineRule="exact"/>
        <w:jc w:val="left"/>
        <w:rPr>
          <w:rFonts w:ascii="宋体" w:hAnsi="宋体" w:cs="宋体"/>
          <w:color w:val="000000"/>
          <w:kern w:val="0"/>
          <w:sz w:val="24"/>
        </w:rPr>
      </w:pPr>
      <w:r>
        <w:rPr>
          <w:rFonts w:ascii="宋体" w:hAnsi="宋体" w:cs="宋体"/>
          <w:color w:val="000000"/>
          <w:kern w:val="0"/>
          <w:sz w:val="24"/>
        </w:rPr>
        <w:t>　　代为出席会议的董事应当在授权范围内行使董事的权利。董事未出席董事会会议，亦未委托代表出席的，视为放弃在该次会议上的投票权。</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董事会</w:t>
      </w:r>
      <w:r>
        <w:rPr>
          <w:rFonts w:hint="eastAsia" w:ascii="宋体" w:hAnsi="宋体" w:cs="宋体"/>
          <w:bCs/>
          <w:smallCaps/>
          <w:color w:val="000000"/>
          <w:kern w:val="0"/>
          <w:sz w:val="24"/>
          <w:szCs w:val="20"/>
          <w:lang w:val="en-US" w:eastAsia="zh-CN"/>
        </w:rPr>
        <w:t>现场</w:t>
      </w:r>
      <w:r>
        <w:rPr>
          <w:rFonts w:ascii="宋体" w:hAnsi="宋体" w:cs="宋体"/>
          <w:bCs/>
          <w:smallCaps/>
          <w:color w:val="000000"/>
          <w:kern w:val="0"/>
          <w:sz w:val="24"/>
          <w:szCs w:val="20"/>
        </w:rPr>
        <w:t>会议应当有记录，出席会议的董事和记录人，应当在会议记录上签名。出席会议的董事有权要求在记录上对其在会议上的发言作出说明性记载。董事会会议记录作为</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档案保存</w:t>
      </w:r>
      <w:r>
        <w:rPr>
          <w:rFonts w:hint="eastAsia" w:ascii="宋体" w:hAnsi="宋体" w:cs="宋体"/>
          <w:bCs/>
          <w:smallCaps/>
          <w:color w:val="000000"/>
          <w:kern w:val="0"/>
          <w:sz w:val="24"/>
          <w:szCs w:val="20"/>
        </w:rPr>
        <w:t>，保存期限为永久保存。</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董事会会议记录包括以下内容：</w:t>
      </w:r>
    </w:p>
    <w:p>
      <w:pPr>
        <w:widowControl/>
        <w:numPr>
          <w:ilvl w:val="0"/>
          <w:numId w:val="28"/>
        </w:numPr>
        <w:spacing w:line="320" w:lineRule="exact"/>
        <w:ind w:left="0" w:firstLine="480"/>
        <w:jc w:val="left"/>
        <w:rPr>
          <w:rFonts w:ascii="宋体" w:hAnsi="宋体" w:cs="宋体"/>
          <w:color w:val="000000"/>
          <w:kern w:val="0"/>
          <w:sz w:val="24"/>
        </w:rPr>
      </w:pPr>
      <w:r>
        <w:rPr>
          <w:rFonts w:ascii="宋体" w:hAnsi="宋体" w:cs="宋体"/>
          <w:color w:val="000000"/>
          <w:kern w:val="0"/>
          <w:sz w:val="24"/>
        </w:rPr>
        <w:t>会议召开的日期、地点和召集人姓名；</w:t>
      </w:r>
    </w:p>
    <w:p>
      <w:pPr>
        <w:widowControl/>
        <w:numPr>
          <w:ilvl w:val="0"/>
          <w:numId w:val="28"/>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出席董事的姓名以及受他人委托出席董事会的董事（代理人）姓名；</w:t>
      </w:r>
    </w:p>
    <w:p>
      <w:pPr>
        <w:widowControl/>
        <w:numPr>
          <w:ilvl w:val="0"/>
          <w:numId w:val="28"/>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会议议程；</w:t>
      </w:r>
    </w:p>
    <w:p>
      <w:pPr>
        <w:widowControl/>
        <w:numPr>
          <w:ilvl w:val="0"/>
          <w:numId w:val="28"/>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董事发言要点；</w:t>
      </w:r>
    </w:p>
    <w:p>
      <w:pPr>
        <w:widowControl/>
        <w:numPr>
          <w:ilvl w:val="0"/>
          <w:numId w:val="28"/>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每一决议事项的表决方式和结果（表决结果应载明赞成、反对或弃权的票数）。</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董事应当在董事会决议上签字并对董事会的决议承担责任。董事会决议违反法律、法规或者章程，致使</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遭受损失的，参与决议的董事对</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负赔偿责任。但经证明在表决时曾表明异议并记载于会议记录的，该董事可以免除负责。</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董事会应制订内容完备的董事会议事规则，包括会议通知、召开方式、文件准备、表决形式、提案机制、会议记录及其签署、董事会授权规则等内容，并报股东大会审议通过。</w:t>
      </w:r>
    </w:p>
    <w:p>
      <w:pPr>
        <w:widowControl/>
        <w:tabs>
          <w:tab w:val="left" w:pos="567"/>
        </w:tabs>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董事会议事规则中应当包括各项提案的提出机制和程序，明确各治理主体在提案中的权利和义务。在会议记录中明确记载各项提案的提案方。</w:t>
      </w:r>
    </w:p>
    <w:p>
      <w:pPr>
        <w:widowControl/>
        <w:numPr>
          <w:ilvl w:val="0"/>
          <w:numId w:val="1"/>
        </w:numPr>
        <w:tabs>
          <w:tab w:val="left" w:pos="0"/>
          <w:tab w:val="clear" w:pos="1440"/>
        </w:tabs>
        <w:spacing w:before="100" w:beforeAutospacing="1" w:after="100" w:afterAutospacing="1" w:line="320" w:lineRule="exact"/>
        <w:ind w:left="0" w:firstLine="0"/>
        <w:jc w:val="center"/>
        <w:outlineLvl w:val="0"/>
        <w:rPr>
          <w:rFonts w:ascii="宋体" w:hAnsi="宋体" w:cs="宋体"/>
          <w:b/>
          <w:bCs/>
          <w:smallCaps/>
          <w:color w:val="000000"/>
          <w:kern w:val="0"/>
          <w:sz w:val="24"/>
        </w:rPr>
      </w:pPr>
      <w:bookmarkStart w:id="56" w:name="_Toc41895460"/>
      <w:bookmarkStart w:id="57" w:name="_Toc16143"/>
      <w:bookmarkStart w:id="58" w:name="_Toc13760"/>
      <w:r>
        <w:rPr>
          <w:rFonts w:hint="eastAsia" w:ascii="宋体" w:hAnsi="宋体" w:cs="宋体"/>
          <w:b/>
          <w:bCs/>
          <w:smallCaps/>
          <w:color w:val="000000"/>
          <w:kern w:val="0"/>
          <w:sz w:val="24"/>
        </w:rPr>
        <w:t>监事和</w:t>
      </w:r>
      <w:r>
        <w:rPr>
          <w:rFonts w:ascii="宋体" w:hAnsi="宋体" w:cs="宋体"/>
          <w:b/>
          <w:bCs/>
          <w:smallCaps/>
          <w:color w:val="000000"/>
          <w:kern w:val="0"/>
          <w:sz w:val="24"/>
        </w:rPr>
        <w:t>监事会</w:t>
      </w:r>
      <w:bookmarkEnd w:id="56"/>
      <w:bookmarkEnd w:id="57"/>
      <w:bookmarkEnd w:id="58"/>
    </w:p>
    <w:p>
      <w:pPr>
        <w:widowControl/>
        <w:spacing w:before="100" w:beforeAutospacing="1" w:after="100" w:afterAutospacing="1" w:line="320" w:lineRule="exact"/>
        <w:jc w:val="center"/>
        <w:outlineLvl w:val="1"/>
        <w:rPr>
          <w:rFonts w:ascii="宋体" w:hAnsi="宋体" w:cs="宋体"/>
          <w:b/>
          <w:bCs/>
          <w:smallCaps/>
          <w:color w:val="000000"/>
          <w:kern w:val="0"/>
          <w:sz w:val="24"/>
        </w:rPr>
      </w:pPr>
      <w:bookmarkStart w:id="59" w:name="_Toc12874"/>
      <w:bookmarkStart w:id="60" w:name="_Toc41895461"/>
      <w:bookmarkStart w:id="61" w:name="_Toc2480"/>
      <w:r>
        <w:rPr>
          <w:rFonts w:ascii="宋体" w:hAnsi="宋体" w:cs="宋体"/>
          <w:b/>
          <w:bCs/>
          <w:smallCaps/>
          <w:color w:val="000000"/>
          <w:kern w:val="0"/>
          <w:sz w:val="24"/>
        </w:rPr>
        <w:t>第一节　监事</w:t>
      </w:r>
      <w:bookmarkEnd w:id="59"/>
      <w:bookmarkEnd w:id="60"/>
      <w:bookmarkEnd w:id="61"/>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监事</w:t>
      </w:r>
      <w:r>
        <w:rPr>
          <w:rFonts w:hint="eastAsia" w:ascii="宋体" w:hAnsi="宋体" w:cs="宋体"/>
          <w:bCs/>
          <w:smallCaps/>
          <w:color w:val="000000"/>
          <w:kern w:val="0"/>
          <w:sz w:val="24"/>
          <w:szCs w:val="20"/>
          <w:lang w:val="en-US" w:eastAsia="zh-CN"/>
        </w:rPr>
        <w:t>会</w:t>
      </w:r>
      <w:r>
        <w:rPr>
          <w:rFonts w:ascii="宋体" w:hAnsi="宋体" w:cs="宋体"/>
          <w:bCs/>
          <w:smallCaps/>
          <w:color w:val="000000"/>
          <w:kern w:val="0"/>
          <w:sz w:val="24"/>
          <w:szCs w:val="20"/>
        </w:rPr>
        <w:t>由股东</w:t>
      </w:r>
      <w:r>
        <w:rPr>
          <w:rFonts w:hint="eastAsia" w:ascii="宋体" w:hAnsi="宋体" w:cs="宋体"/>
          <w:bCs/>
          <w:smallCaps/>
          <w:color w:val="000000"/>
          <w:kern w:val="0"/>
          <w:sz w:val="24"/>
          <w:szCs w:val="20"/>
          <w:lang w:val="en-US" w:eastAsia="zh-CN"/>
        </w:rPr>
        <w:t>监事</w:t>
      </w:r>
      <w:r>
        <w:rPr>
          <w:rFonts w:hint="eastAsia" w:ascii="宋体" w:hAnsi="宋体" w:cs="宋体"/>
          <w:bCs/>
          <w:smallCaps/>
          <w:color w:val="000000"/>
          <w:kern w:val="0"/>
          <w:sz w:val="24"/>
          <w:szCs w:val="20"/>
        </w:rPr>
        <w:t>、</w:t>
      </w:r>
      <w:r>
        <w:rPr>
          <w:rFonts w:hint="eastAsia" w:ascii="宋体" w:hAnsi="宋体" w:cs="宋体"/>
          <w:bCs/>
          <w:smallCaps/>
          <w:color w:val="000000"/>
          <w:kern w:val="0"/>
          <w:sz w:val="24"/>
          <w:szCs w:val="20"/>
          <w:lang w:val="en-US" w:eastAsia="zh-CN"/>
        </w:rPr>
        <w:t>职工监事</w:t>
      </w:r>
      <w:r>
        <w:rPr>
          <w:rFonts w:hint="eastAsia" w:ascii="宋体" w:hAnsi="宋体" w:cs="宋体"/>
          <w:bCs/>
          <w:smallCaps/>
          <w:color w:val="000000"/>
          <w:kern w:val="0"/>
          <w:sz w:val="24"/>
          <w:szCs w:val="20"/>
        </w:rPr>
        <w:t>及外部监事</w:t>
      </w:r>
      <w:r>
        <w:rPr>
          <w:rFonts w:hint="eastAsia" w:ascii="宋体" w:hAnsi="宋体" w:cs="宋体"/>
          <w:bCs/>
          <w:smallCaps/>
          <w:color w:val="000000"/>
          <w:kern w:val="0"/>
          <w:sz w:val="24"/>
          <w:szCs w:val="20"/>
          <w:lang w:val="en-US" w:eastAsia="zh-CN"/>
        </w:rPr>
        <w:t>组成</w:t>
      </w:r>
      <w:r>
        <w:rPr>
          <w:rFonts w:hint="eastAsia" w:ascii="宋体" w:hAnsi="宋体" w:cs="宋体"/>
          <w:bCs/>
          <w:smallCaps/>
          <w:color w:val="000000"/>
          <w:kern w:val="0"/>
          <w:sz w:val="24"/>
          <w:szCs w:val="20"/>
        </w:rPr>
        <w:t>。</w:t>
      </w:r>
      <w:r>
        <w:rPr>
          <w:rFonts w:hint="eastAsia" w:ascii="宋体" w:hAnsi="宋体" w:cs="宋体"/>
          <w:bCs/>
          <w:smallCaps/>
          <w:color w:val="000000"/>
          <w:kern w:val="0"/>
          <w:sz w:val="24"/>
          <w:szCs w:val="20"/>
          <w:lang w:val="en-US" w:eastAsia="zh-CN"/>
        </w:rPr>
        <w:t>职工</w:t>
      </w:r>
      <w:r>
        <w:rPr>
          <w:rFonts w:ascii="宋体" w:hAnsi="宋体" w:cs="宋体"/>
          <w:bCs/>
          <w:smallCaps/>
          <w:color w:val="000000"/>
          <w:kern w:val="0"/>
          <w:sz w:val="24"/>
          <w:szCs w:val="20"/>
        </w:rPr>
        <w:t>监事</w:t>
      </w:r>
      <w:r>
        <w:rPr>
          <w:rFonts w:hint="eastAsia" w:ascii="宋体" w:hAnsi="宋体" w:cs="宋体"/>
          <w:bCs/>
          <w:smallCaps/>
          <w:color w:val="000000"/>
          <w:kern w:val="0"/>
          <w:sz w:val="24"/>
          <w:szCs w:val="20"/>
        </w:rPr>
        <w:t>及外部监事所占监事会人数均</w:t>
      </w:r>
      <w:r>
        <w:rPr>
          <w:rFonts w:ascii="宋体" w:hAnsi="宋体" w:cs="宋体"/>
          <w:bCs/>
          <w:smallCaps/>
          <w:color w:val="000000"/>
          <w:kern w:val="0"/>
          <w:sz w:val="24"/>
          <w:szCs w:val="20"/>
        </w:rPr>
        <w:t>不得少于监事人数的三分之一。</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本章程第九十八条关于不得担任董事的情形，同时适用于监事。</w:t>
      </w:r>
    </w:p>
    <w:p>
      <w:pPr>
        <w:widowControl/>
        <w:spacing w:line="320" w:lineRule="exact"/>
        <w:ind w:firstLine="480"/>
        <w:jc w:val="left"/>
        <w:rPr>
          <w:rFonts w:ascii="宋体" w:hAnsi="宋体" w:cs="宋体"/>
          <w:color w:val="000000"/>
          <w:kern w:val="0"/>
          <w:sz w:val="24"/>
        </w:rPr>
      </w:pPr>
      <w:r>
        <w:rPr>
          <w:rFonts w:hint="eastAsia" w:ascii="宋体" w:hAnsi="宋体" w:cs="宋体"/>
          <w:color w:val="000000"/>
          <w:kern w:val="0"/>
          <w:sz w:val="24"/>
        </w:rPr>
        <w:t>本行</w:t>
      </w:r>
      <w:r>
        <w:rPr>
          <w:rFonts w:ascii="宋体" w:hAnsi="宋体" w:cs="宋体"/>
          <w:color w:val="000000"/>
          <w:kern w:val="0"/>
          <w:sz w:val="24"/>
        </w:rPr>
        <w:t>董事、</w:t>
      </w:r>
      <w:r>
        <w:rPr>
          <w:rFonts w:hint="eastAsia" w:ascii="宋体" w:hAnsi="宋体" w:cs="宋体"/>
          <w:color w:val="000000"/>
          <w:kern w:val="0"/>
          <w:sz w:val="24"/>
        </w:rPr>
        <w:t>高级管理人员</w:t>
      </w:r>
      <w:r>
        <w:rPr>
          <w:rFonts w:ascii="宋体" w:hAnsi="宋体" w:cs="宋体"/>
          <w:color w:val="000000"/>
          <w:kern w:val="0"/>
          <w:sz w:val="24"/>
        </w:rPr>
        <w:t>不得兼任监事。</w:t>
      </w:r>
    </w:p>
    <w:p>
      <w:pPr>
        <w:widowControl/>
        <w:spacing w:line="320" w:lineRule="exact"/>
        <w:ind w:firstLine="480"/>
        <w:jc w:val="left"/>
        <w:rPr>
          <w:rFonts w:ascii="宋体" w:hAnsi="宋体" w:cs="宋体"/>
          <w:color w:val="000000"/>
          <w:kern w:val="0"/>
          <w:sz w:val="24"/>
        </w:rPr>
      </w:pPr>
      <w:r>
        <w:rPr>
          <w:rFonts w:hint="eastAsia" w:ascii="宋体" w:hAnsi="宋体" w:cs="宋体"/>
          <w:color w:val="000000"/>
          <w:kern w:val="0"/>
          <w:sz w:val="24"/>
        </w:rPr>
        <w:t>本行监事实行回避制度，其近亲属在本行担任董事、高级管理人员不得在本行监事会中任职。</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监事应当遵守法律、行政法规和本章程，对本行负有忠实义务和勤勉义务，不得利用职权收受贿赂或者其他非法收入，不得侵占本行的财产。</w:t>
      </w:r>
    </w:p>
    <w:p>
      <w:pPr>
        <w:widowControl/>
        <w:numPr>
          <w:ilvl w:val="0"/>
          <w:numId w:val="2"/>
        </w:numPr>
        <w:tabs>
          <w:tab w:val="left" w:pos="2410"/>
          <w:tab w:val="clear" w:pos="1920"/>
        </w:tabs>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股东担任的监事</w:t>
      </w:r>
      <w:r>
        <w:rPr>
          <w:rFonts w:hint="eastAsia" w:ascii="宋体" w:hAnsi="宋体" w:cs="宋体"/>
          <w:bCs/>
          <w:smallCaps/>
          <w:color w:val="000000"/>
          <w:kern w:val="0"/>
          <w:sz w:val="24"/>
          <w:szCs w:val="20"/>
        </w:rPr>
        <w:t>和外部监事</w:t>
      </w:r>
      <w:r>
        <w:rPr>
          <w:rFonts w:ascii="宋体" w:hAnsi="宋体" w:cs="宋体"/>
          <w:bCs/>
          <w:smallCaps/>
          <w:color w:val="000000"/>
          <w:kern w:val="0"/>
          <w:sz w:val="24"/>
          <w:szCs w:val="20"/>
        </w:rPr>
        <w:t>由股东大会选举或更换，职工担任的监事由</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职工民主选举产生或更换</w:t>
      </w:r>
      <w:r>
        <w:rPr>
          <w:rFonts w:hint="eastAsia" w:ascii="宋体" w:hAnsi="宋体" w:cs="宋体"/>
          <w:bCs/>
          <w:smallCaps/>
          <w:color w:val="000000"/>
          <w:kern w:val="0"/>
          <w:sz w:val="24"/>
          <w:szCs w:val="20"/>
        </w:rPr>
        <w:t>。监事的任期每届为三年，监事任期届满，</w:t>
      </w:r>
      <w:r>
        <w:rPr>
          <w:rFonts w:ascii="宋体" w:hAnsi="宋体" w:cs="宋体"/>
          <w:bCs/>
          <w:smallCaps/>
          <w:color w:val="000000"/>
          <w:kern w:val="0"/>
          <w:sz w:val="24"/>
          <w:szCs w:val="20"/>
        </w:rPr>
        <w:t>连选可以连任。</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监事任期届满未及时改选，或者监事在任期内辞职导致监事会成员低于法定人数的，在改选出的监事就任前，原监事仍应当依照法律、行政法规和本章程的规定，履行监事职务。</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监事连续两次未能亲自出席会议，也不</w:t>
      </w:r>
      <w:r>
        <w:rPr>
          <w:rFonts w:hint="eastAsia" w:ascii="宋体" w:hAnsi="宋体" w:cs="宋体"/>
          <w:bCs/>
          <w:smallCaps/>
          <w:color w:val="000000"/>
          <w:kern w:val="0"/>
          <w:sz w:val="24"/>
          <w:szCs w:val="20"/>
          <w:lang w:val="en-US" w:eastAsia="zh-CN"/>
        </w:rPr>
        <w:t>书面</w:t>
      </w:r>
      <w:r>
        <w:rPr>
          <w:rFonts w:hint="eastAsia" w:ascii="宋体" w:hAnsi="宋体" w:cs="宋体"/>
          <w:bCs/>
          <w:smallCaps/>
          <w:color w:val="000000"/>
          <w:kern w:val="0"/>
          <w:sz w:val="24"/>
          <w:szCs w:val="20"/>
        </w:rPr>
        <w:t>委托其他监事出席监事会会议的，或每年未能亲自出席至少三分之二的监事会</w:t>
      </w:r>
      <w:r>
        <w:rPr>
          <w:rFonts w:hint="eastAsia" w:ascii="宋体" w:hAnsi="宋体" w:cs="宋体"/>
          <w:bCs/>
          <w:smallCaps/>
          <w:color w:val="000000"/>
          <w:kern w:val="0"/>
          <w:sz w:val="24"/>
          <w:szCs w:val="20"/>
          <w:lang w:val="en-US" w:eastAsia="zh-CN"/>
        </w:rPr>
        <w:t>现场</w:t>
      </w:r>
      <w:r>
        <w:rPr>
          <w:rFonts w:hint="eastAsia" w:ascii="宋体" w:hAnsi="宋体" w:cs="宋体"/>
          <w:bCs/>
          <w:smallCaps/>
          <w:color w:val="000000"/>
          <w:kern w:val="0"/>
          <w:sz w:val="24"/>
          <w:szCs w:val="20"/>
        </w:rPr>
        <w:t>会议的，视为不能履职，监事会应当建议股东大会、职工代表大会予以撤换。</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股东监事和外部监事每年在本行的工作时间不得少于十五个工作日。</w:t>
      </w:r>
      <w:r>
        <w:rPr>
          <w:rFonts w:ascii="宋体" w:hAnsi="宋体" w:cs="宋体"/>
          <w:bCs/>
          <w:smallCaps/>
          <w:color w:val="000000"/>
          <w:kern w:val="0"/>
          <w:sz w:val="24"/>
          <w:szCs w:val="20"/>
        </w:rPr>
        <w:t>监事可以在任期届满以前提出辞职，章程第五章有关董事辞职的规定，适用于监事。</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监事应当保证本行披露的信息真实、准确、完整</w:t>
      </w:r>
      <w:r>
        <w:rPr>
          <w:rFonts w:hint="eastAsia" w:ascii="宋体" w:hAnsi="宋体" w:cs="宋体"/>
          <w:bCs/>
          <w:smallCaps/>
          <w:color w:val="000000"/>
          <w:kern w:val="0"/>
          <w:sz w:val="24"/>
          <w:szCs w:val="20"/>
          <w:lang w:eastAsia="zh-CN"/>
        </w:rPr>
        <w:t>，并对定期报告签署书面确认意见</w:t>
      </w:r>
      <w:r>
        <w:rPr>
          <w:rFonts w:hint="eastAsia" w:ascii="宋体" w:hAnsi="宋体" w:cs="宋体"/>
          <w:bCs/>
          <w:smallCaps/>
          <w:color w:val="000000"/>
          <w:kern w:val="0"/>
          <w:sz w:val="24"/>
          <w:szCs w:val="20"/>
        </w:rPr>
        <w:t>。</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监事</w:t>
      </w:r>
      <w:r>
        <w:rPr>
          <w:rFonts w:hint="eastAsia" w:ascii="宋体" w:hAnsi="宋体" w:cs="宋体"/>
          <w:bCs/>
          <w:smallCaps/>
          <w:color w:val="000000"/>
          <w:kern w:val="0"/>
          <w:sz w:val="24"/>
          <w:szCs w:val="20"/>
          <w:lang w:val="en-US" w:eastAsia="zh-CN"/>
        </w:rPr>
        <w:t>应当履行如下职责或义务：</w:t>
      </w:r>
    </w:p>
    <w:p>
      <w:pPr>
        <w:widowControl/>
        <w:numPr>
          <w:ilvl w:val="-1"/>
          <w:numId w:val="0"/>
        </w:numPr>
        <w:spacing w:line="320" w:lineRule="exact"/>
        <w:ind w:left="0" w:firstLine="480" w:firstLineChars="200"/>
        <w:jc w:val="left"/>
        <w:rPr>
          <w:rFonts w:hint="eastAsia" w:ascii="宋体" w:hAnsi="宋体" w:eastAsia="宋体" w:cs="宋体"/>
          <w:bCs/>
          <w:smallCaps/>
          <w:color w:val="000000"/>
          <w:kern w:val="0"/>
          <w:sz w:val="24"/>
          <w:szCs w:val="20"/>
          <w:lang w:eastAsia="zh-CN"/>
        </w:rPr>
      </w:pPr>
      <w:r>
        <w:rPr>
          <w:rFonts w:hint="eastAsia" w:ascii="宋体" w:hAnsi="宋体" w:cs="宋体"/>
          <w:bCs/>
          <w:smallCaps/>
          <w:color w:val="000000"/>
          <w:kern w:val="0"/>
          <w:sz w:val="24"/>
          <w:szCs w:val="20"/>
          <w:lang w:eastAsia="zh-CN"/>
        </w:rPr>
        <w:t>（</w:t>
      </w:r>
      <w:r>
        <w:rPr>
          <w:rFonts w:hint="eastAsia" w:ascii="宋体" w:hAnsi="宋体" w:cs="宋体"/>
          <w:bCs/>
          <w:smallCaps/>
          <w:color w:val="000000"/>
          <w:kern w:val="0"/>
          <w:sz w:val="24"/>
          <w:szCs w:val="20"/>
          <w:lang w:val="en-US" w:eastAsia="zh-CN"/>
        </w:rPr>
        <w:t>一</w:t>
      </w:r>
      <w:r>
        <w:rPr>
          <w:rFonts w:hint="eastAsia" w:ascii="宋体" w:hAnsi="宋体" w:cs="宋体"/>
          <w:bCs/>
          <w:smallCaps/>
          <w:color w:val="000000"/>
          <w:kern w:val="0"/>
          <w:sz w:val="24"/>
          <w:szCs w:val="20"/>
          <w:lang w:eastAsia="zh-CN"/>
        </w:rPr>
        <w:t>）</w:t>
      </w:r>
      <w:r>
        <w:rPr>
          <w:rFonts w:hint="eastAsia" w:ascii="宋体" w:hAnsi="宋体" w:cs="宋体"/>
          <w:bCs/>
          <w:smallCaps/>
          <w:color w:val="000000"/>
          <w:kern w:val="0"/>
          <w:sz w:val="24"/>
          <w:szCs w:val="20"/>
        </w:rPr>
        <w:t>可以列席董事会会议，并对董事会决议事项提出质询或者建议，但不享有表决权。列席董事会会议的监事应当将会议情况报告监事会</w:t>
      </w:r>
      <w:r>
        <w:rPr>
          <w:rFonts w:hint="eastAsia" w:ascii="宋体" w:hAnsi="宋体" w:cs="宋体"/>
          <w:bCs/>
          <w:smallCaps/>
          <w:color w:val="000000"/>
          <w:kern w:val="0"/>
          <w:sz w:val="24"/>
          <w:szCs w:val="20"/>
          <w:lang w:eastAsia="zh-CN"/>
        </w:rPr>
        <w:t>；</w:t>
      </w:r>
    </w:p>
    <w:p>
      <w:pPr>
        <w:widowControl/>
        <w:numPr>
          <w:ilvl w:val="-1"/>
          <w:numId w:val="0"/>
        </w:numPr>
        <w:spacing w:line="320" w:lineRule="exact"/>
        <w:ind w:left="0" w:firstLine="480" w:firstLineChars="200"/>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rPr>
        <w:t>（二）按时参加监事会会议，对监事会决议事项进行充分审查，独立、专业、客观发表意见，在审慎判断的基础上独立作出表决；</w:t>
      </w:r>
    </w:p>
    <w:p>
      <w:pPr>
        <w:widowControl/>
        <w:numPr>
          <w:ilvl w:val="-1"/>
          <w:numId w:val="0"/>
        </w:numPr>
        <w:spacing w:line="320" w:lineRule="exact"/>
        <w:ind w:left="0" w:firstLine="480" w:firstLineChars="200"/>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rPr>
        <w:t>（三）对监事会决议承担责任；</w:t>
      </w:r>
    </w:p>
    <w:p>
      <w:pPr>
        <w:widowControl/>
        <w:numPr>
          <w:ilvl w:val="-1"/>
          <w:numId w:val="0"/>
        </w:numPr>
        <w:spacing w:line="320" w:lineRule="exact"/>
        <w:ind w:left="0" w:firstLine="480" w:firstLineChars="200"/>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rPr>
        <w:t>（四）积极参加本行和监管机构等组织的培训，了解监事的权利和义务，熟悉有关法律法规，持续具备履行职责所需的专业知识和能力；</w:t>
      </w:r>
    </w:p>
    <w:p>
      <w:pPr>
        <w:widowControl/>
        <w:numPr>
          <w:ilvl w:val="-1"/>
          <w:numId w:val="0"/>
        </w:numPr>
        <w:spacing w:line="320" w:lineRule="exact"/>
        <w:ind w:left="0" w:firstLine="480" w:firstLineChars="200"/>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rPr>
        <w:t>（五）对本行负有忠实、勤勉义务，尽职、审慎履行职责，并保证有足够的时间和精力履职；</w:t>
      </w:r>
    </w:p>
    <w:p>
      <w:pPr>
        <w:widowControl/>
        <w:numPr>
          <w:ilvl w:val="-1"/>
          <w:numId w:val="0"/>
        </w:numPr>
        <w:spacing w:line="320" w:lineRule="exact"/>
        <w:ind w:left="0" w:firstLine="480" w:firstLineChars="200"/>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rPr>
        <w:t>（六）监事应当积极参加监事会组织的监督检查活动，有权依法进行独立调查、取证，实事求是提出问题和监督意见。</w:t>
      </w:r>
    </w:p>
    <w:p>
      <w:pPr>
        <w:widowControl/>
        <w:numPr>
          <w:ilvl w:val="-1"/>
          <w:numId w:val="0"/>
        </w:numPr>
        <w:spacing w:line="320" w:lineRule="exact"/>
        <w:ind w:left="0"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（七）遵守法律法规、监管规定和本章程。</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监事不得利用其关联关系损害本行利益，若给本行造成损失的，应当承担赔偿责任。</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监事执行本行职务时违反法律、行政法规、部门规章或本章程的规定，给本行造成损失的，应当承担赔偿责任。</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本行设外部监事。外部监事对本行及全体股东负有诚信义务，应当勤勉尽责。</w:t>
      </w:r>
    </w:p>
    <w:p>
      <w:pPr>
        <w:widowControl/>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外部监事应当独立履行职责，不受本行主要股东、实际控制人或者其他与本行存在利害关系的单位或个人的影响。</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外部监事每届任期与本行其他监事任期相同，任期届满，连选可以连任，在本行的任职时间累计不得超过六年。外部监事不应在超过两家商业银行同时任职，不应在可能发生利益冲突的金融机构兼任外部监事。</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外部监事因故不能出席监事会会议的，可以</w:t>
      </w:r>
      <w:r>
        <w:rPr>
          <w:rFonts w:hint="eastAsia" w:ascii="宋体" w:hAnsi="宋体" w:cs="宋体"/>
          <w:bCs/>
          <w:smallCaps/>
          <w:color w:val="000000"/>
          <w:kern w:val="0"/>
          <w:sz w:val="24"/>
          <w:szCs w:val="20"/>
          <w:lang w:val="en-US" w:eastAsia="zh-CN"/>
        </w:rPr>
        <w:t>书面</w:t>
      </w:r>
      <w:r>
        <w:rPr>
          <w:rFonts w:hint="eastAsia" w:ascii="宋体" w:hAnsi="宋体" w:cs="宋体"/>
          <w:bCs/>
          <w:smallCaps/>
          <w:color w:val="000000"/>
          <w:kern w:val="0"/>
          <w:sz w:val="24"/>
          <w:szCs w:val="20"/>
        </w:rPr>
        <w:t>委托其他外部监事代为出席，但每年至少应当亲自出席监事会</w:t>
      </w:r>
      <w:r>
        <w:rPr>
          <w:rFonts w:hint="eastAsia" w:ascii="宋体" w:hAnsi="宋体" w:cs="宋体"/>
          <w:bCs/>
          <w:smallCaps/>
          <w:color w:val="000000"/>
          <w:kern w:val="0"/>
          <w:sz w:val="24"/>
          <w:szCs w:val="20"/>
          <w:lang w:val="en-US" w:eastAsia="zh-CN"/>
        </w:rPr>
        <w:t>现场</w:t>
      </w:r>
      <w:r>
        <w:rPr>
          <w:rFonts w:hint="eastAsia" w:ascii="宋体" w:hAnsi="宋体" w:cs="宋体"/>
          <w:bCs/>
          <w:smallCaps/>
          <w:color w:val="000000"/>
          <w:kern w:val="0"/>
          <w:sz w:val="24"/>
          <w:szCs w:val="20"/>
        </w:rPr>
        <w:t>会议总数的三分之二。</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外部监事应当按照法律法规、本章程及本行外部监事制度的有关规定执行。</w:t>
      </w:r>
    </w:p>
    <w:p>
      <w:pPr>
        <w:widowControl/>
        <w:spacing w:before="100" w:beforeAutospacing="1" w:after="100" w:afterAutospacing="1" w:line="320" w:lineRule="exact"/>
        <w:jc w:val="center"/>
        <w:outlineLvl w:val="1"/>
        <w:rPr>
          <w:rFonts w:ascii="宋体" w:hAnsi="宋体" w:cs="宋体"/>
          <w:b/>
          <w:bCs/>
          <w:smallCaps/>
          <w:color w:val="000000"/>
          <w:kern w:val="0"/>
          <w:sz w:val="24"/>
        </w:rPr>
      </w:pPr>
      <w:bookmarkStart w:id="62" w:name="_Toc1398"/>
      <w:bookmarkStart w:id="63" w:name="_Toc41895462"/>
      <w:bookmarkStart w:id="64" w:name="_Toc14297"/>
      <w:r>
        <w:rPr>
          <w:rFonts w:ascii="宋体" w:hAnsi="宋体" w:cs="宋体"/>
          <w:b/>
          <w:bCs/>
          <w:smallCaps/>
          <w:color w:val="000000"/>
          <w:kern w:val="0"/>
          <w:sz w:val="24"/>
        </w:rPr>
        <w:t>第二节　监事会</w:t>
      </w:r>
      <w:bookmarkEnd w:id="62"/>
      <w:bookmarkEnd w:id="63"/>
      <w:bookmarkEnd w:id="64"/>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w:t>
      </w:r>
      <w:r>
        <w:rPr>
          <w:rFonts w:ascii="宋体" w:hAnsi="宋体" w:cs="宋体"/>
          <w:bCs/>
          <w:smallCaps/>
          <w:color w:val="000000"/>
          <w:kern w:val="0"/>
          <w:sz w:val="24"/>
          <w:szCs w:val="20"/>
        </w:rPr>
        <w:t>设监事会。</w:t>
      </w:r>
      <w:r>
        <w:rPr>
          <w:rFonts w:hint="eastAsia" w:ascii="宋体" w:hAnsi="宋体" w:cs="宋体"/>
          <w:bCs/>
          <w:smallCaps/>
          <w:color w:val="000000"/>
          <w:kern w:val="0"/>
          <w:sz w:val="24"/>
          <w:szCs w:val="20"/>
        </w:rPr>
        <w:t>监事会是本行的监督机构，对股东大会负责。监事会每三年换届一次。监事会由6-9名监事组成。</w:t>
      </w:r>
    </w:p>
    <w:p>
      <w:pPr>
        <w:widowControl/>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监事会设监事长一名，由监事会全体监事过半数选举产生。</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监事长是监事会召集人，监事长不能履行职务或者不履行职务的，由半数以上监事共同推举一名监事召集和主持监事会会议。</w:t>
      </w:r>
    </w:p>
    <w:p>
      <w:pPr>
        <w:widowControl/>
        <w:spacing w:line="320" w:lineRule="exact"/>
        <w:ind w:firstLine="480" w:firstLineChars="200"/>
        <w:jc w:val="left"/>
        <w:rPr>
          <w:rFonts w:ascii="宋体" w:hAnsi="宋体" w:cs="宋体"/>
          <w:color w:val="000000"/>
          <w:kern w:val="0"/>
          <w:sz w:val="24"/>
        </w:rPr>
      </w:pPr>
      <w:r>
        <w:rPr>
          <w:rFonts w:hint="eastAsia" w:ascii="宋体" w:hAnsi="宋体" w:cs="宋体"/>
          <w:bCs/>
          <w:smallCaps/>
          <w:color w:val="000000"/>
          <w:kern w:val="0"/>
          <w:sz w:val="24"/>
          <w:szCs w:val="20"/>
        </w:rPr>
        <w:t>本行监事会可以根据需要设立监事会专门委员会，各委员会对监事会负责。监事会各专门委员会的组织架构、职责及议事程序由监事会另行制定议事规则加以确立。</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监事会行使下列职权：</w:t>
      </w:r>
    </w:p>
    <w:p>
      <w:pPr>
        <w:widowControl/>
        <w:numPr>
          <w:ilvl w:val="0"/>
          <w:numId w:val="29"/>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对董事会编制的本行证券发行文件和定期报告进行审核并提出书面审核意见；监事应当签署书面确认意见；</w:t>
      </w:r>
    </w:p>
    <w:p>
      <w:pPr>
        <w:widowControl/>
        <w:numPr>
          <w:ilvl w:val="0"/>
          <w:numId w:val="29"/>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检查</w:t>
      </w:r>
      <w:r>
        <w:rPr>
          <w:rFonts w:hint="eastAsia" w:ascii="宋体" w:hAnsi="宋体" w:cs="宋体"/>
          <w:color w:val="000000"/>
          <w:kern w:val="0"/>
          <w:sz w:val="24"/>
        </w:rPr>
        <w:t>本行</w:t>
      </w:r>
      <w:r>
        <w:rPr>
          <w:rFonts w:ascii="宋体" w:hAnsi="宋体" w:cs="宋体"/>
          <w:color w:val="000000"/>
          <w:kern w:val="0"/>
          <w:sz w:val="24"/>
        </w:rPr>
        <w:t>的财务；</w:t>
      </w:r>
    </w:p>
    <w:p>
      <w:pPr>
        <w:widowControl/>
        <w:numPr>
          <w:ilvl w:val="0"/>
          <w:numId w:val="29"/>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对董事、高级管理人员执行职务的行为进行监督，对违反法律、行政法规、</w:t>
      </w:r>
      <w:r>
        <w:rPr>
          <w:rFonts w:hint="eastAsia" w:ascii="宋体" w:hAnsi="宋体" w:cs="宋体"/>
          <w:color w:val="000000"/>
          <w:kern w:val="0"/>
          <w:sz w:val="24"/>
        </w:rPr>
        <w:t>本章程</w:t>
      </w:r>
      <w:r>
        <w:rPr>
          <w:rFonts w:ascii="宋体" w:hAnsi="宋体" w:cs="宋体"/>
          <w:color w:val="000000"/>
          <w:kern w:val="0"/>
          <w:sz w:val="24"/>
        </w:rPr>
        <w:t>或者股东</w:t>
      </w:r>
      <w:r>
        <w:rPr>
          <w:rFonts w:hint="eastAsia" w:ascii="宋体" w:hAnsi="宋体" w:cs="宋体"/>
          <w:color w:val="000000"/>
          <w:kern w:val="0"/>
          <w:sz w:val="24"/>
        </w:rPr>
        <w:t>大</w:t>
      </w:r>
      <w:r>
        <w:rPr>
          <w:rFonts w:ascii="宋体" w:hAnsi="宋体" w:cs="宋体"/>
          <w:color w:val="000000"/>
          <w:kern w:val="0"/>
          <w:sz w:val="24"/>
        </w:rPr>
        <w:t>会决议的董事、高级管理人员提出罢免的建议；</w:t>
      </w:r>
    </w:p>
    <w:p>
      <w:pPr>
        <w:widowControl/>
        <w:numPr>
          <w:ilvl w:val="0"/>
          <w:numId w:val="29"/>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当董事、高级管理人员的行为损害</w:t>
      </w:r>
      <w:r>
        <w:rPr>
          <w:rFonts w:hint="eastAsia" w:ascii="宋体" w:hAnsi="宋体" w:cs="宋体"/>
          <w:color w:val="000000"/>
          <w:kern w:val="0"/>
          <w:sz w:val="24"/>
        </w:rPr>
        <w:t>本行</w:t>
      </w:r>
      <w:r>
        <w:rPr>
          <w:rFonts w:ascii="宋体" w:hAnsi="宋体" w:cs="宋体"/>
          <w:color w:val="000000"/>
          <w:kern w:val="0"/>
          <w:sz w:val="24"/>
        </w:rPr>
        <w:t>的利益时，要求其予以纠正；</w:t>
      </w:r>
    </w:p>
    <w:p>
      <w:pPr>
        <w:widowControl/>
        <w:numPr>
          <w:ilvl w:val="0"/>
          <w:numId w:val="29"/>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提议召开临时股东大会会议，在董事会不履行</w:t>
      </w:r>
      <w:r>
        <w:rPr>
          <w:rFonts w:hint="eastAsia" w:ascii="宋体" w:hAnsi="宋体" w:cs="宋体"/>
          <w:color w:val="000000"/>
          <w:kern w:val="0"/>
          <w:sz w:val="24"/>
        </w:rPr>
        <w:t>《公司</w:t>
      </w:r>
      <w:r>
        <w:rPr>
          <w:rFonts w:ascii="宋体" w:hAnsi="宋体" w:cs="宋体"/>
          <w:color w:val="000000"/>
          <w:kern w:val="0"/>
          <w:sz w:val="24"/>
        </w:rPr>
        <w:t>法</w:t>
      </w:r>
      <w:r>
        <w:rPr>
          <w:rFonts w:hint="eastAsia" w:ascii="宋体" w:hAnsi="宋体" w:cs="宋体"/>
          <w:color w:val="000000"/>
          <w:kern w:val="0"/>
          <w:sz w:val="24"/>
        </w:rPr>
        <w:t>》</w:t>
      </w:r>
      <w:r>
        <w:rPr>
          <w:rFonts w:ascii="宋体" w:hAnsi="宋体" w:cs="宋体"/>
          <w:color w:val="000000"/>
          <w:kern w:val="0"/>
          <w:sz w:val="24"/>
        </w:rPr>
        <w:t>规定的召集和主持股东</w:t>
      </w:r>
      <w:r>
        <w:rPr>
          <w:rFonts w:hint="eastAsia" w:ascii="宋体" w:hAnsi="宋体" w:cs="宋体"/>
          <w:color w:val="000000"/>
          <w:kern w:val="0"/>
          <w:sz w:val="24"/>
        </w:rPr>
        <w:t>大</w:t>
      </w:r>
      <w:r>
        <w:rPr>
          <w:rFonts w:ascii="宋体" w:hAnsi="宋体" w:cs="宋体"/>
          <w:color w:val="000000"/>
          <w:kern w:val="0"/>
          <w:sz w:val="24"/>
        </w:rPr>
        <w:t>会会议职责时召集和主持股东</w:t>
      </w:r>
      <w:r>
        <w:rPr>
          <w:rFonts w:hint="eastAsia" w:ascii="宋体" w:hAnsi="宋体" w:cs="宋体"/>
          <w:color w:val="000000"/>
          <w:kern w:val="0"/>
          <w:sz w:val="24"/>
        </w:rPr>
        <w:t>大</w:t>
      </w:r>
      <w:r>
        <w:rPr>
          <w:rFonts w:ascii="宋体" w:hAnsi="宋体" w:cs="宋体"/>
          <w:color w:val="000000"/>
          <w:kern w:val="0"/>
          <w:sz w:val="24"/>
        </w:rPr>
        <w:t>会会议；</w:t>
      </w:r>
    </w:p>
    <w:p>
      <w:pPr>
        <w:widowControl/>
        <w:numPr>
          <w:ilvl w:val="0"/>
          <w:numId w:val="29"/>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提议召开临时董事会会议；</w:t>
      </w:r>
    </w:p>
    <w:p>
      <w:pPr>
        <w:widowControl/>
        <w:numPr>
          <w:ilvl w:val="0"/>
          <w:numId w:val="29"/>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向股东</w:t>
      </w:r>
      <w:r>
        <w:rPr>
          <w:rFonts w:hint="eastAsia" w:ascii="宋体" w:hAnsi="宋体" w:cs="宋体"/>
          <w:color w:val="000000"/>
          <w:kern w:val="0"/>
          <w:sz w:val="24"/>
        </w:rPr>
        <w:t>大</w:t>
      </w:r>
      <w:r>
        <w:rPr>
          <w:rFonts w:ascii="宋体" w:hAnsi="宋体" w:cs="宋体"/>
          <w:color w:val="000000"/>
          <w:kern w:val="0"/>
          <w:sz w:val="24"/>
        </w:rPr>
        <w:t>会会议提出提案</w:t>
      </w:r>
      <w:r>
        <w:rPr>
          <w:rFonts w:hint="eastAsia" w:ascii="宋体" w:hAnsi="宋体" w:cs="宋体"/>
          <w:color w:val="000000"/>
          <w:kern w:val="0"/>
          <w:sz w:val="24"/>
        </w:rPr>
        <w:t>；</w:t>
      </w:r>
    </w:p>
    <w:p>
      <w:pPr>
        <w:widowControl/>
        <w:numPr>
          <w:ilvl w:val="0"/>
          <w:numId w:val="29"/>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拟定本行监事的薪酬方案；</w:t>
      </w:r>
    </w:p>
    <w:p>
      <w:pPr>
        <w:widowControl/>
        <w:numPr>
          <w:ilvl w:val="0"/>
          <w:numId w:val="29"/>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对董事和高级管理人员进行质询；</w:t>
      </w:r>
    </w:p>
    <w:p>
      <w:pPr>
        <w:widowControl/>
        <w:numPr>
          <w:ilvl w:val="0"/>
          <w:numId w:val="29"/>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对本行的利润分配方案进行审议，并对利润分配方案的合规性、合理性发表意见；</w:t>
      </w:r>
    </w:p>
    <w:p>
      <w:pPr>
        <w:widowControl/>
        <w:numPr>
          <w:ilvl w:val="0"/>
          <w:numId w:val="29"/>
        </w:numPr>
        <w:tabs>
          <w:tab w:val="left" w:pos="0"/>
          <w:tab w:val="left" w:pos="156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监督董事会确立稳健的经营理念、价值准则和制定符合本行实际的发展战略；</w:t>
      </w:r>
    </w:p>
    <w:p>
      <w:pPr>
        <w:widowControl/>
        <w:numPr>
          <w:ilvl w:val="0"/>
          <w:numId w:val="29"/>
        </w:numPr>
        <w:tabs>
          <w:tab w:val="left" w:pos="0"/>
          <w:tab w:val="left" w:pos="156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对</w:t>
      </w:r>
      <w:r>
        <w:rPr>
          <w:rFonts w:hint="eastAsia" w:ascii="宋体" w:hAnsi="宋体" w:cs="宋体"/>
          <w:color w:val="000000"/>
          <w:kern w:val="0"/>
          <w:sz w:val="24"/>
          <w:lang w:val="en-US" w:eastAsia="zh-CN"/>
        </w:rPr>
        <w:t>本行</w:t>
      </w:r>
      <w:r>
        <w:rPr>
          <w:rFonts w:hint="eastAsia" w:ascii="宋体" w:hAnsi="宋体" w:cs="宋体"/>
          <w:color w:val="000000"/>
          <w:kern w:val="0"/>
          <w:sz w:val="24"/>
        </w:rPr>
        <w:t>发展战略的科学性、合理性和稳健性进行评估，形成评估报告</w:t>
      </w:r>
      <w:r>
        <w:rPr>
          <w:rFonts w:hint="eastAsia" w:ascii="宋体" w:hAnsi="宋体" w:cs="宋体"/>
          <w:color w:val="000000"/>
          <w:kern w:val="0"/>
          <w:sz w:val="24"/>
          <w:lang w:eastAsia="zh-CN"/>
        </w:rPr>
        <w:t>；</w:t>
      </w:r>
    </w:p>
    <w:p>
      <w:pPr>
        <w:widowControl/>
        <w:numPr>
          <w:ilvl w:val="0"/>
          <w:numId w:val="29"/>
        </w:numPr>
        <w:tabs>
          <w:tab w:val="left" w:pos="0"/>
          <w:tab w:val="left" w:pos="156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对董事的选聘程序进行监督；</w:t>
      </w:r>
    </w:p>
    <w:p>
      <w:pPr>
        <w:widowControl/>
        <w:numPr>
          <w:ilvl w:val="0"/>
          <w:numId w:val="29"/>
        </w:numPr>
        <w:tabs>
          <w:tab w:val="left" w:pos="0"/>
          <w:tab w:val="left" w:pos="156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对本行经营决策、风险管理和内部控制等进行监督检查</w:t>
      </w:r>
      <w:r>
        <w:rPr>
          <w:rFonts w:hint="eastAsia" w:ascii="宋体" w:hAnsi="宋体" w:cs="宋体"/>
          <w:color w:val="000000"/>
          <w:kern w:val="0"/>
          <w:sz w:val="24"/>
          <w:lang w:val="en-US" w:eastAsia="zh-CN"/>
        </w:rPr>
        <w:t>并督促整改</w:t>
      </w:r>
      <w:r>
        <w:rPr>
          <w:rFonts w:hint="eastAsia" w:ascii="宋体" w:hAnsi="宋体" w:cs="宋体"/>
          <w:color w:val="000000"/>
          <w:kern w:val="0"/>
          <w:sz w:val="24"/>
        </w:rPr>
        <w:t>；</w:t>
      </w:r>
    </w:p>
    <w:p>
      <w:pPr>
        <w:widowControl/>
        <w:numPr>
          <w:ilvl w:val="0"/>
          <w:numId w:val="29"/>
        </w:numPr>
        <w:tabs>
          <w:tab w:val="left" w:pos="0"/>
          <w:tab w:val="left" w:pos="156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对本行薪酬管理制度实施情况及高级管理人员薪酬方案的科学性、合理性进行监督；</w:t>
      </w:r>
    </w:p>
    <w:p>
      <w:pPr>
        <w:widowControl/>
        <w:numPr>
          <w:ilvl w:val="0"/>
          <w:numId w:val="29"/>
        </w:numPr>
        <w:tabs>
          <w:tab w:val="left" w:pos="0"/>
          <w:tab w:val="left" w:pos="156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依照《公司法》的规定，</w:t>
      </w:r>
      <w:r>
        <w:rPr>
          <w:rFonts w:ascii="宋体" w:hAnsi="宋体" w:cs="宋体"/>
          <w:color w:val="000000"/>
          <w:kern w:val="0"/>
          <w:sz w:val="24"/>
        </w:rPr>
        <w:t>对董事、高级管理人员提起诉讼</w:t>
      </w:r>
      <w:r>
        <w:rPr>
          <w:rFonts w:hint="eastAsia" w:ascii="宋体" w:hAnsi="宋体" w:cs="宋体"/>
          <w:color w:val="000000"/>
          <w:kern w:val="0"/>
          <w:sz w:val="24"/>
        </w:rPr>
        <w:t>；</w:t>
      </w:r>
    </w:p>
    <w:p>
      <w:pPr>
        <w:widowControl/>
        <w:numPr>
          <w:ilvl w:val="0"/>
          <w:numId w:val="29"/>
        </w:numPr>
        <w:tabs>
          <w:tab w:val="left" w:pos="0"/>
          <w:tab w:val="left" w:pos="156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发现本行经营情况异常</w:t>
      </w:r>
      <w:r>
        <w:rPr>
          <w:rFonts w:hint="eastAsia" w:ascii="宋体" w:hAnsi="宋体" w:cs="宋体"/>
          <w:color w:val="000000"/>
          <w:kern w:val="0"/>
          <w:sz w:val="24"/>
        </w:rPr>
        <w:t>，</w:t>
      </w:r>
      <w:r>
        <w:rPr>
          <w:rFonts w:ascii="宋体" w:hAnsi="宋体" w:cs="宋体"/>
          <w:color w:val="000000"/>
          <w:kern w:val="0"/>
          <w:sz w:val="24"/>
        </w:rPr>
        <w:t>可以进行调查</w:t>
      </w:r>
      <w:r>
        <w:rPr>
          <w:rFonts w:hint="eastAsia" w:ascii="宋体" w:hAnsi="宋体" w:cs="宋体"/>
          <w:color w:val="000000"/>
          <w:kern w:val="0"/>
          <w:sz w:val="24"/>
        </w:rPr>
        <w:t>；</w:t>
      </w:r>
    </w:p>
    <w:p>
      <w:pPr>
        <w:widowControl/>
        <w:numPr>
          <w:ilvl w:val="0"/>
          <w:numId w:val="29"/>
        </w:numPr>
        <w:tabs>
          <w:tab w:val="left" w:pos="0"/>
          <w:tab w:val="left" w:pos="156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法律、行政法规、规章及本章程规定</w:t>
      </w:r>
      <w:r>
        <w:rPr>
          <w:rFonts w:hint="eastAsia" w:ascii="宋体" w:hAnsi="宋体" w:cs="宋体"/>
          <w:color w:val="000000"/>
          <w:kern w:val="0"/>
          <w:sz w:val="24"/>
          <w:lang w:eastAsia="zh-CN"/>
        </w:rPr>
        <w:t>，</w:t>
      </w:r>
      <w:r>
        <w:rPr>
          <w:rFonts w:hint="eastAsia" w:ascii="宋体" w:hAnsi="宋体" w:cs="宋体"/>
          <w:color w:val="000000"/>
          <w:kern w:val="0"/>
          <w:sz w:val="24"/>
        </w:rPr>
        <w:t>或股东大会授予的其他职权。</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监事长行使下列职权：</w:t>
      </w:r>
    </w:p>
    <w:p>
      <w:pPr>
        <w:widowControl/>
        <w:numPr>
          <w:ilvl w:val="0"/>
          <w:numId w:val="30"/>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召集、主持监事会会议；</w:t>
      </w:r>
    </w:p>
    <w:p>
      <w:pPr>
        <w:widowControl/>
        <w:numPr>
          <w:ilvl w:val="0"/>
          <w:numId w:val="30"/>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组织履行监事会的职责；</w:t>
      </w:r>
    </w:p>
    <w:p>
      <w:pPr>
        <w:widowControl/>
        <w:numPr>
          <w:ilvl w:val="0"/>
          <w:numId w:val="30"/>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审定、签署监事会报告和其他重要文件；</w:t>
      </w:r>
    </w:p>
    <w:p>
      <w:pPr>
        <w:widowControl/>
        <w:numPr>
          <w:ilvl w:val="0"/>
          <w:numId w:val="30"/>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监督和检查监事会决议实施情况；</w:t>
      </w:r>
    </w:p>
    <w:p>
      <w:pPr>
        <w:widowControl/>
        <w:numPr>
          <w:ilvl w:val="0"/>
          <w:numId w:val="30"/>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代表监事会向股东大会报告工作；</w:t>
      </w:r>
    </w:p>
    <w:p>
      <w:pPr>
        <w:widowControl/>
        <w:numPr>
          <w:ilvl w:val="0"/>
          <w:numId w:val="30"/>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法律、法规和本行《公司章程》规定或股东大会授予的其他职权。</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监事会行使职权时，必要时可以聘请律师事务所、会计师事务所等专业性机构给予帮助，由此发生的费用由</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承担。</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监事会每年</w:t>
      </w:r>
      <w:r>
        <w:rPr>
          <w:rFonts w:hint="eastAsia" w:ascii="宋体" w:hAnsi="宋体" w:cs="宋体"/>
          <w:bCs/>
          <w:smallCaps/>
          <w:color w:val="000000"/>
          <w:kern w:val="0"/>
          <w:sz w:val="24"/>
          <w:szCs w:val="20"/>
        </w:rPr>
        <w:t>至少召开四次会议，间隔时间不超过6个月。监事可以提议召开临时监事会会议</w:t>
      </w:r>
      <w:r>
        <w:rPr>
          <w:rFonts w:ascii="宋体" w:hAnsi="宋体" w:cs="宋体"/>
          <w:bCs/>
          <w:smallCaps/>
          <w:color w:val="000000"/>
          <w:kern w:val="0"/>
          <w:sz w:val="24"/>
          <w:szCs w:val="20"/>
        </w:rPr>
        <w:t>。</w:t>
      </w:r>
      <w:r>
        <w:rPr>
          <w:rFonts w:hint="eastAsia" w:ascii="宋体" w:hAnsi="宋体" w:cs="宋体"/>
          <w:bCs/>
          <w:smallCaps/>
          <w:color w:val="000000"/>
          <w:kern w:val="0"/>
          <w:sz w:val="24"/>
          <w:szCs w:val="20"/>
        </w:rPr>
        <w:t>定期</w:t>
      </w:r>
      <w:r>
        <w:rPr>
          <w:rFonts w:ascii="宋体" w:hAnsi="宋体" w:cs="宋体"/>
          <w:bCs/>
          <w:smallCaps/>
          <w:color w:val="000000"/>
          <w:kern w:val="0"/>
          <w:sz w:val="24"/>
          <w:szCs w:val="20"/>
        </w:rPr>
        <w:t>会议通知应当在会议召开</w:t>
      </w:r>
      <w:r>
        <w:rPr>
          <w:rFonts w:hint="eastAsia" w:ascii="宋体" w:hAnsi="宋体" w:cs="宋体"/>
          <w:bCs/>
          <w:smallCaps/>
          <w:color w:val="000000"/>
          <w:kern w:val="0"/>
          <w:sz w:val="24"/>
          <w:szCs w:val="20"/>
        </w:rPr>
        <w:t>十</w:t>
      </w:r>
      <w:r>
        <w:rPr>
          <w:rFonts w:ascii="宋体" w:hAnsi="宋体" w:cs="宋体"/>
          <w:bCs/>
          <w:smallCaps/>
          <w:color w:val="000000"/>
          <w:kern w:val="0"/>
          <w:sz w:val="24"/>
          <w:szCs w:val="20"/>
        </w:rPr>
        <w:t>日以前书面送达全体监事。</w:t>
      </w:r>
      <w:r>
        <w:rPr>
          <w:rFonts w:hint="eastAsia" w:ascii="宋体" w:hAnsi="宋体" w:cs="宋体"/>
          <w:bCs/>
          <w:smallCaps/>
          <w:color w:val="000000"/>
          <w:kern w:val="0"/>
          <w:sz w:val="24"/>
          <w:szCs w:val="20"/>
        </w:rPr>
        <w:t>临时会议</w:t>
      </w:r>
      <w:r>
        <w:rPr>
          <w:rFonts w:ascii="宋体" w:hAnsi="宋体" w:cs="宋体"/>
          <w:bCs/>
          <w:smallCaps/>
          <w:color w:val="000000"/>
          <w:kern w:val="0"/>
          <w:sz w:val="24"/>
          <w:szCs w:val="20"/>
        </w:rPr>
        <w:t>于会议召开</w:t>
      </w:r>
      <w:r>
        <w:rPr>
          <w:rFonts w:hint="eastAsia" w:ascii="宋体" w:hAnsi="宋体" w:cs="宋体"/>
          <w:bCs/>
          <w:smallCaps/>
          <w:color w:val="000000"/>
          <w:kern w:val="0"/>
          <w:sz w:val="24"/>
          <w:szCs w:val="20"/>
        </w:rPr>
        <w:t>五</w:t>
      </w:r>
      <w:r>
        <w:rPr>
          <w:rFonts w:ascii="宋体" w:hAnsi="宋体" w:cs="宋体"/>
          <w:bCs/>
          <w:smallCaps/>
          <w:color w:val="000000"/>
          <w:kern w:val="0"/>
          <w:sz w:val="24"/>
          <w:szCs w:val="20"/>
        </w:rPr>
        <w:t>日以前书面通知全体</w:t>
      </w:r>
      <w:r>
        <w:rPr>
          <w:rFonts w:hint="eastAsia" w:ascii="宋体" w:hAnsi="宋体" w:cs="宋体"/>
          <w:bCs/>
          <w:smallCaps/>
          <w:color w:val="000000"/>
          <w:kern w:val="0"/>
          <w:sz w:val="24"/>
          <w:szCs w:val="20"/>
        </w:rPr>
        <w:t>监事</w:t>
      </w:r>
      <w:r>
        <w:rPr>
          <w:rFonts w:ascii="宋体" w:hAnsi="宋体" w:cs="宋体"/>
          <w:bCs/>
          <w:smallCaps/>
          <w:color w:val="000000"/>
          <w:kern w:val="0"/>
          <w:sz w:val="24"/>
          <w:szCs w:val="20"/>
        </w:rPr>
        <w:t>。</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监事会会议通知包括以下内容：举行会议的日期、地点和会议期限</w:t>
      </w:r>
      <w:r>
        <w:rPr>
          <w:rFonts w:hint="eastAsia" w:ascii="宋体" w:hAnsi="宋体" w:cs="宋体"/>
          <w:bCs/>
          <w:smallCaps/>
          <w:color w:val="000000"/>
          <w:kern w:val="0"/>
          <w:sz w:val="24"/>
          <w:szCs w:val="20"/>
        </w:rPr>
        <w:t>、</w:t>
      </w:r>
      <w:r>
        <w:rPr>
          <w:rFonts w:ascii="宋体" w:hAnsi="宋体" w:cs="宋体"/>
          <w:bCs/>
          <w:smallCaps/>
          <w:color w:val="000000"/>
          <w:kern w:val="0"/>
          <w:sz w:val="24"/>
          <w:szCs w:val="20"/>
        </w:rPr>
        <w:t>事由及议题</w:t>
      </w:r>
      <w:r>
        <w:rPr>
          <w:rFonts w:hint="eastAsia" w:ascii="宋体" w:hAnsi="宋体" w:cs="宋体"/>
          <w:bCs/>
          <w:smallCaps/>
          <w:color w:val="000000"/>
          <w:kern w:val="0"/>
          <w:sz w:val="24"/>
          <w:szCs w:val="20"/>
        </w:rPr>
        <w:t>、</w:t>
      </w:r>
      <w:r>
        <w:rPr>
          <w:rFonts w:ascii="宋体" w:hAnsi="宋体" w:cs="宋体"/>
          <w:bCs/>
          <w:smallCaps/>
          <w:color w:val="000000"/>
          <w:kern w:val="0"/>
          <w:sz w:val="24"/>
          <w:szCs w:val="20"/>
        </w:rPr>
        <w:t>发出通知的日期。</w:t>
      </w:r>
      <w:bookmarkStart w:id="65" w:name="140"/>
      <w:bookmarkEnd w:id="65"/>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监事会的议事方式为</w:t>
      </w:r>
      <w:r>
        <w:rPr>
          <w:rFonts w:hint="eastAsia" w:ascii="宋体" w:hAnsi="宋体" w:cs="宋体"/>
          <w:bCs/>
          <w:smallCaps/>
          <w:color w:val="000000"/>
          <w:kern w:val="0"/>
          <w:sz w:val="24"/>
          <w:szCs w:val="20"/>
        </w:rPr>
        <w:t>召开监事会会议。</w:t>
      </w:r>
    </w:p>
    <w:p>
      <w:pPr>
        <w:widowControl/>
        <w:numPr>
          <w:ilvl w:val="0"/>
          <w:numId w:val="2"/>
        </w:numPr>
        <w:spacing w:line="320" w:lineRule="exact"/>
        <w:ind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监事会会议应由</w:t>
      </w:r>
      <w:r>
        <w:rPr>
          <w:rFonts w:hint="eastAsia" w:ascii="宋体" w:hAnsi="宋体" w:cs="宋体"/>
          <w:bCs/>
          <w:smallCaps/>
          <w:color w:val="000000"/>
          <w:kern w:val="0"/>
          <w:sz w:val="24"/>
          <w:szCs w:val="20"/>
          <w:lang w:val="en-US" w:eastAsia="zh-CN"/>
        </w:rPr>
        <w:t>过半数</w:t>
      </w:r>
      <w:r>
        <w:rPr>
          <w:rFonts w:hint="eastAsia" w:ascii="宋体" w:hAnsi="宋体" w:cs="宋体"/>
          <w:bCs/>
          <w:smallCaps/>
          <w:color w:val="000000"/>
          <w:kern w:val="0"/>
          <w:sz w:val="24"/>
          <w:szCs w:val="20"/>
        </w:rPr>
        <w:t>的监事出席方可召开。</w:t>
      </w:r>
    </w:p>
    <w:p>
      <w:pPr>
        <w:widowControl/>
        <w:spacing w:line="320" w:lineRule="exact"/>
        <w:jc w:val="left"/>
        <w:rPr>
          <w:rFonts w:hint="default" w:ascii="宋体" w:hAnsi="宋体" w:eastAsia="宋体"/>
          <w:sz w:val="24"/>
          <w:lang w:val="en-US" w:eastAsia="zh-CN"/>
        </w:rPr>
      </w:pPr>
      <w:r>
        <w:rPr>
          <w:rFonts w:hint="eastAsia" w:ascii="宋体" w:hAnsi="宋体"/>
          <w:sz w:val="24"/>
        </w:rPr>
        <w:t xml:space="preserve">    </w:t>
      </w:r>
      <w:r>
        <w:rPr>
          <w:rFonts w:hint="eastAsia" w:ascii="宋体" w:hAnsi="宋体"/>
          <w:sz w:val="24"/>
          <w:lang w:val="en-US" w:eastAsia="zh-CN"/>
        </w:rPr>
        <w:t>监事会决议可以采用现场会议表决和书面传签表决两种方式进行。</w:t>
      </w:r>
    </w:p>
    <w:p>
      <w:pPr>
        <w:widowControl/>
        <w:spacing w:line="320" w:lineRule="exact"/>
        <w:ind w:firstLine="480" w:firstLineChars="200"/>
        <w:jc w:val="left"/>
        <w:rPr>
          <w:rFonts w:ascii="宋体" w:hAnsi="宋体" w:cs="宋体"/>
          <w:color w:val="000000"/>
          <w:kern w:val="0"/>
          <w:sz w:val="24"/>
        </w:rPr>
      </w:pPr>
      <w:r>
        <w:rPr>
          <w:rFonts w:hint="eastAsia" w:ascii="宋体" w:hAnsi="宋体"/>
          <w:sz w:val="24"/>
        </w:rPr>
        <w:t>监事会实行一人一票制，即监事会全体成员每人均享有一票表决权。监事会决议须经全体监事的</w:t>
      </w:r>
      <w:r>
        <w:rPr>
          <w:rFonts w:hint="eastAsia" w:ascii="宋体" w:hAnsi="宋体"/>
          <w:sz w:val="24"/>
          <w:lang w:val="en-US" w:eastAsia="zh-CN"/>
        </w:rPr>
        <w:t>过</w:t>
      </w:r>
      <w:r>
        <w:rPr>
          <w:rFonts w:hint="eastAsia" w:ascii="宋体" w:hAnsi="宋体"/>
          <w:sz w:val="24"/>
        </w:rPr>
        <w:t>半数通过方可生效。</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监事会会议应由监事本人出席。监事</w:t>
      </w:r>
      <w:r>
        <w:rPr>
          <w:rFonts w:ascii="宋体" w:hAnsi="宋体" w:cs="宋体"/>
          <w:bCs/>
          <w:smallCaps/>
          <w:color w:val="000000"/>
          <w:kern w:val="0"/>
          <w:sz w:val="24"/>
          <w:szCs w:val="20"/>
        </w:rPr>
        <w:t>因故不能出席的，可以书面委托其他</w:t>
      </w:r>
      <w:r>
        <w:rPr>
          <w:rFonts w:hint="eastAsia" w:ascii="宋体" w:hAnsi="宋体" w:cs="宋体"/>
          <w:bCs/>
          <w:smallCaps/>
          <w:color w:val="000000"/>
          <w:kern w:val="0"/>
          <w:sz w:val="24"/>
          <w:szCs w:val="20"/>
        </w:rPr>
        <w:t>监事</w:t>
      </w:r>
      <w:r>
        <w:rPr>
          <w:rFonts w:ascii="宋体" w:hAnsi="宋体" w:cs="宋体"/>
          <w:bCs/>
          <w:smallCaps/>
          <w:color w:val="000000"/>
          <w:kern w:val="0"/>
          <w:sz w:val="24"/>
          <w:szCs w:val="20"/>
        </w:rPr>
        <w:t>代为出席。</w:t>
      </w:r>
    </w:p>
    <w:p>
      <w:pPr>
        <w:widowControl/>
        <w:spacing w:line="320" w:lineRule="exact"/>
        <w:ind w:firstLine="480"/>
        <w:jc w:val="left"/>
        <w:rPr>
          <w:rFonts w:ascii="宋体" w:hAnsi="宋体" w:cs="宋体"/>
          <w:color w:val="000000"/>
          <w:kern w:val="0"/>
          <w:sz w:val="24"/>
        </w:rPr>
      </w:pPr>
      <w:r>
        <w:rPr>
          <w:rFonts w:ascii="宋体" w:hAnsi="宋体" w:cs="宋体"/>
          <w:color w:val="000000"/>
          <w:kern w:val="0"/>
          <w:sz w:val="24"/>
        </w:rPr>
        <w:t>委托书应当载明代理人的姓名，代理事项、权限和有效期限，并由委托人签名或盖章。</w:t>
      </w:r>
    </w:p>
    <w:p>
      <w:pPr>
        <w:widowControl/>
        <w:spacing w:line="320" w:lineRule="exact"/>
        <w:ind w:firstLine="480"/>
        <w:jc w:val="left"/>
        <w:rPr>
          <w:rFonts w:ascii="宋体" w:hAnsi="宋体" w:cs="宋体"/>
          <w:color w:val="000000"/>
          <w:kern w:val="0"/>
          <w:sz w:val="24"/>
        </w:rPr>
      </w:pPr>
      <w:r>
        <w:rPr>
          <w:rFonts w:ascii="宋体" w:hAnsi="宋体" w:cs="宋体"/>
          <w:color w:val="000000"/>
          <w:kern w:val="0"/>
          <w:sz w:val="24"/>
        </w:rPr>
        <w:t>代为出席会议的</w:t>
      </w:r>
      <w:r>
        <w:rPr>
          <w:rFonts w:hint="eastAsia" w:ascii="宋体" w:hAnsi="宋体" w:cs="宋体"/>
          <w:color w:val="000000"/>
          <w:kern w:val="0"/>
          <w:sz w:val="24"/>
        </w:rPr>
        <w:t>监事</w:t>
      </w:r>
      <w:r>
        <w:rPr>
          <w:rFonts w:ascii="宋体" w:hAnsi="宋体" w:cs="宋体"/>
          <w:color w:val="000000"/>
          <w:kern w:val="0"/>
          <w:sz w:val="24"/>
        </w:rPr>
        <w:t>应当在授权范围内行使</w:t>
      </w:r>
      <w:r>
        <w:rPr>
          <w:rFonts w:hint="eastAsia" w:ascii="宋体" w:hAnsi="宋体" w:cs="宋体"/>
          <w:color w:val="000000"/>
          <w:kern w:val="0"/>
          <w:sz w:val="24"/>
        </w:rPr>
        <w:t>监事</w:t>
      </w:r>
      <w:r>
        <w:rPr>
          <w:rFonts w:ascii="宋体" w:hAnsi="宋体" w:cs="宋体"/>
          <w:color w:val="000000"/>
          <w:kern w:val="0"/>
          <w:sz w:val="24"/>
        </w:rPr>
        <w:t>的权利。</w:t>
      </w:r>
      <w:r>
        <w:rPr>
          <w:rFonts w:hint="eastAsia" w:ascii="宋体" w:hAnsi="宋体" w:cs="宋体"/>
          <w:color w:val="000000"/>
          <w:kern w:val="0"/>
          <w:sz w:val="24"/>
        </w:rPr>
        <w:t>监事</w:t>
      </w:r>
      <w:r>
        <w:rPr>
          <w:rFonts w:ascii="宋体" w:hAnsi="宋体" w:cs="宋体"/>
          <w:color w:val="000000"/>
          <w:kern w:val="0"/>
          <w:sz w:val="24"/>
        </w:rPr>
        <w:t>未出席</w:t>
      </w:r>
      <w:r>
        <w:rPr>
          <w:rFonts w:hint="eastAsia" w:ascii="宋体" w:hAnsi="宋体" w:cs="宋体"/>
          <w:color w:val="000000"/>
          <w:kern w:val="0"/>
          <w:sz w:val="24"/>
        </w:rPr>
        <w:t>监事</w:t>
      </w:r>
      <w:r>
        <w:rPr>
          <w:rFonts w:ascii="宋体" w:hAnsi="宋体" w:cs="宋体"/>
          <w:color w:val="000000"/>
          <w:kern w:val="0"/>
          <w:sz w:val="24"/>
        </w:rPr>
        <w:t>会会议，亦未委托代表出席的，视为放弃在该次会议上的投票权。</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监事会</w:t>
      </w:r>
      <w:r>
        <w:rPr>
          <w:rFonts w:hint="eastAsia" w:ascii="宋体" w:hAnsi="宋体" w:cs="宋体"/>
          <w:bCs/>
          <w:smallCaps/>
          <w:color w:val="000000"/>
          <w:kern w:val="0"/>
          <w:sz w:val="24"/>
          <w:szCs w:val="20"/>
          <w:lang w:val="en-US" w:eastAsia="zh-CN"/>
        </w:rPr>
        <w:t>现场</w:t>
      </w:r>
      <w:r>
        <w:rPr>
          <w:rFonts w:ascii="宋体" w:hAnsi="宋体" w:cs="宋体"/>
          <w:bCs/>
          <w:smallCaps/>
          <w:color w:val="000000"/>
          <w:kern w:val="0"/>
          <w:sz w:val="24"/>
          <w:szCs w:val="20"/>
        </w:rPr>
        <w:t>会议应有记录，出席会议的监事和记录人，应当在会议记录上签名。监事有权要求在记录上对其在会议上的发言作出某种说明性记载。监事会会议记录作为档案保存</w:t>
      </w:r>
      <w:r>
        <w:rPr>
          <w:rFonts w:hint="eastAsia" w:ascii="宋体" w:hAnsi="宋体" w:cs="宋体"/>
          <w:bCs/>
          <w:smallCaps/>
          <w:color w:val="000000"/>
          <w:kern w:val="0"/>
          <w:sz w:val="24"/>
          <w:szCs w:val="20"/>
        </w:rPr>
        <w:t>，保存期限为永久保存</w:t>
      </w:r>
      <w:r>
        <w:rPr>
          <w:rFonts w:ascii="宋体" w:hAnsi="宋体" w:cs="宋体"/>
          <w:bCs/>
          <w:smallCaps/>
          <w:color w:val="000000"/>
          <w:kern w:val="0"/>
          <w:sz w:val="24"/>
          <w:szCs w:val="20"/>
        </w:rPr>
        <w:t>。</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监事会应当制定内容完备的监事会议事规则，包括会议通知、召开方式、文件准备、表决形式、提案机制、会议记录及其签署等。</w:t>
      </w:r>
    </w:p>
    <w:p>
      <w:pPr>
        <w:widowControl/>
        <w:numPr>
          <w:ilvl w:val="0"/>
          <w:numId w:val="1"/>
        </w:numPr>
        <w:tabs>
          <w:tab w:val="left" w:pos="0"/>
          <w:tab w:val="clear" w:pos="1440"/>
        </w:tabs>
        <w:spacing w:before="100" w:beforeAutospacing="1" w:after="100" w:afterAutospacing="1" w:line="320" w:lineRule="exact"/>
        <w:ind w:left="0" w:firstLine="0"/>
        <w:jc w:val="center"/>
        <w:outlineLvl w:val="0"/>
        <w:rPr>
          <w:rFonts w:ascii="宋体" w:hAnsi="宋体" w:cs="宋体"/>
          <w:b/>
          <w:bCs/>
          <w:smallCaps/>
          <w:color w:val="000000"/>
          <w:kern w:val="0"/>
          <w:sz w:val="24"/>
        </w:rPr>
      </w:pPr>
      <w:bookmarkStart w:id="66" w:name="_Toc41895463"/>
      <w:bookmarkStart w:id="67" w:name="_Toc13977"/>
      <w:bookmarkStart w:id="68" w:name="_Toc18709"/>
      <w:r>
        <w:rPr>
          <w:rFonts w:hint="eastAsia" w:ascii="宋体" w:hAnsi="宋体" w:cs="宋体"/>
          <w:b/>
          <w:bCs/>
          <w:smallCaps/>
          <w:color w:val="000000"/>
          <w:kern w:val="0"/>
          <w:sz w:val="24"/>
        </w:rPr>
        <w:t>行长及其他高级管理层</w:t>
      </w:r>
      <w:bookmarkEnd w:id="66"/>
      <w:bookmarkEnd w:id="67"/>
      <w:bookmarkEnd w:id="68"/>
    </w:p>
    <w:p>
      <w:pPr>
        <w:widowControl/>
        <w:numPr>
          <w:ilvl w:val="0"/>
          <w:numId w:val="2"/>
        </w:numPr>
        <w:spacing w:line="320" w:lineRule="exact"/>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rPr>
        <w:t xml:space="preserve">  高级管理层对董事会负责，同时接受监事会监督，应当按照董事会、监事会要求，及时、准确、完整地报告</w:t>
      </w:r>
      <w:r>
        <w:rPr>
          <w:rFonts w:hint="eastAsia" w:ascii="宋体" w:hAnsi="宋体" w:cs="宋体"/>
          <w:bCs/>
          <w:smallCaps/>
          <w:color w:val="000000"/>
          <w:kern w:val="0"/>
          <w:sz w:val="24"/>
          <w:szCs w:val="20"/>
          <w:lang w:val="en-US" w:eastAsia="zh-CN"/>
        </w:rPr>
        <w:t>本行</w:t>
      </w:r>
      <w:r>
        <w:rPr>
          <w:rFonts w:hint="eastAsia" w:ascii="宋体" w:hAnsi="宋体" w:cs="宋体"/>
          <w:bCs/>
          <w:smallCaps/>
          <w:color w:val="000000"/>
          <w:kern w:val="0"/>
          <w:sz w:val="24"/>
          <w:szCs w:val="20"/>
        </w:rPr>
        <w:t>经营管理情况，提供有关资料。</w:t>
      </w:r>
    </w:p>
    <w:p>
      <w:pPr>
        <w:widowControl/>
        <w:numPr>
          <w:ilvl w:val="-1"/>
          <w:numId w:val="0"/>
        </w:numPr>
        <w:spacing w:line="320" w:lineRule="exact"/>
        <w:ind w:left="0" w:firstLine="480" w:firstLineChars="200"/>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rPr>
        <w:t>高级管理层根据公司章程及董事会授权开展经营管理活动，应当积极执行股东大会决议及董事会决议。</w:t>
      </w:r>
    </w:p>
    <w:p>
      <w:pPr>
        <w:widowControl/>
        <w:numPr>
          <w:ilvl w:val="-1"/>
          <w:numId w:val="0"/>
        </w:numPr>
        <w:spacing w:line="320" w:lineRule="exact"/>
        <w:ind w:left="478" w:leftChars="228" w:firstLine="0" w:firstLineChars="0"/>
        <w:jc w:val="left"/>
        <w:rPr>
          <w:rFonts w:hint="eastAsia" w:ascii="宋体" w:hAnsi="宋体" w:cs="宋体"/>
          <w:bCs/>
          <w:smallCaps/>
          <w:color w:val="000000"/>
          <w:kern w:val="0"/>
          <w:sz w:val="24"/>
          <w:szCs w:val="20"/>
          <w:lang w:val="en-US" w:eastAsia="zh-CN"/>
        </w:rPr>
      </w:pPr>
      <w:r>
        <w:rPr>
          <w:rFonts w:hint="eastAsia" w:ascii="宋体" w:hAnsi="宋体" w:cs="宋体"/>
          <w:bCs/>
          <w:smallCaps/>
          <w:color w:val="000000"/>
          <w:kern w:val="0"/>
          <w:sz w:val="24"/>
          <w:szCs w:val="20"/>
        </w:rPr>
        <w:t>高级管理层依法在其职权范围内的经营管理活动不受股东和董事会不当</w:t>
      </w:r>
      <w:r>
        <w:rPr>
          <w:rFonts w:hint="eastAsia" w:ascii="宋体" w:hAnsi="宋体" w:cs="宋体"/>
          <w:bCs/>
          <w:smallCaps/>
          <w:color w:val="000000"/>
          <w:kern w:val="0"/>
          <w:sz w:val="24"/>
          <w:szCs w:val="20"/>
          <w:lang w:val="en-US" w:eastAsia="zh-CN"/>
        </w:rPr>
        <w:t>干预。</w:t>
      </w:r>
    </w:p>
    <w:p>
      <w:pPr>
        <w:widowControl/>
        <w:numPr>
          <w:ilvl w:val="0"/>
          <w:numId w:val="2"/>
        </w:numPr>
        <w:spacing w:line="320" w:lineRule="exact"/>
        <w:ind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w:t>
      </w:r>
      <w:r>
        <w:rPr>
          <w:rFonts w:ascii="宋体" w:hAnsi="宋体" w:cs="宋体"/>
          <w:bCs/>
          <w:smallCaps/>
          <w:color w:val="000000"/>
          <w:kern w:val="0"/>
          <w:sz w:val="24"/>
          <w:szCs w:val="20"/>
        </w:rPr>
        <w:t>设</w:t>
      </w:r>
      <w:r>
        <w:rPr>
          <w:rFonts w:hint="eastAsia" w:ascii="宋体" w:hAnsi="宋体" w:cs="宋体"/>
          <w:bCs/>
          <w:smallCaps/>
          <w:color w:val="000000"/>
          <w:kern w:val="0"/>
          <w:sz w:val="24"/>
          <w:szCs w:val="20"/>
        </w:rPr>
        <w:t>行长</w:t>
      </w:r>
      <w:r>
        <w:rPr>
          <w:rFonts w:ascii="宋体" w:hAnsi="宋体" w:cs="宋体"/>
          <w:bCs/>
          <w:smallCaps/>
          <w:color w:val="000000"/>
          <w:kern w:val="0"/>
          <w:sz w:val="24"/>
          <w:szCs w:val="20"/>
        </w:rPr>
        <w:t>一名，由董事会聘任或解聘。</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本行设副行长、财务负责人、行长助理、首席财务官、首席风险官、首席信息官及由董事会聘任的其他高级管理人员数名，由行长提名，由董事会聘任或解聘，协助行长工作。</w:t>
      </w:r>
    </w:p>
    <w:p>
      <w:pPr>
        <w:widowControl/>
        <w:tabs>
          <w:tab w:val="left" w:pos="426"/>
        </w:tabs>
        <w:spacing w:line="3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本行行长、其他高级管理人员以及其他须经银行业监督管理机构任职资格许可的人员应当具备监管部门规定的任职资格并经任职资格许可。</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本章程第九十八条关于不得担任董事的情形，同时适用于高级管理人员。 </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本章程第一百条关于董事的忠实义务和第一百〇一条（四）～（六）关于勤勉义务的规定，同时适用于高级管理人员。</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在本行控股股东单位担任除董事、监事以外其他行政职务的人员，不得担任本行的高级管理人员。</w:t>
      </w:r>
    </w:p>
    <w:p>
      <w:pPr>
        <w:widowControl/>
        <w:numPr>
          <w:ilvl w:val="0"/>
          <w:numId w:val="0"/>
        </w:numPr>
        <w:spacing w:line="320" w:lineRule="exact"/>
        <w:ind w:left="480" w:leftChars="0"/>
        <w:jc w:val="left"/>
        <w:rPr>
          <w:rFonts w:hint="default" w:ascii="宋体" w:hAnsi="宋体" w:eastAsia="宋体" w:cs="宋体"/>
          <w:bCs/>
          <w:smallCaps/>
          <w:color w:val="000000"/>
          <w:kern w:val="0"/>
          <w:sz w:val="24"/>
          <w:szCs w:val="20"/>
          <w:lang w:val="en-US" w:eastAsia="zh-CN"/>
        </w:rPr>
      </w:pPr>
      <w:r>
        <w:rPr>
          <w:rFonts w:hint="eastAsia" w:ascii="宋体" w:hAnsi="宋体" w:cs="宋体"/>
          <w:bCs/>
          <w:smallCaps/>
          <w:color w:val="000000"/>
          <w:kern w:val="0"/>
          <w:sz w:val="24"/>
          <w:szCs w:val="20"/>
          <w:lang w:val="en-US" w:eastAsia="zh-CN"/>
        </w:rPr>
        <w:t>高级管理人员仅在本行领薪，不由控股股东代发薪水。</w:t>
      </w:r>
    </w:p>
    <w:p>
      <w:pPr>
        <w:widowControl/>
        <w:numPr>
          <w:ilvl w:val="0"/>
          <w:numId w:val="2"/>
        </w:numPr>
        <w:spacing w:line="320" w:lineRule="exact"/>
        <w:ind w:firstLineChars="200"/>
        <w:jc w:val="left"/>
        <w:rPr>
          <w:rFonts w:ascii="宋体" w:hAnsi="宋体" w:cs="宋体"/>
          <w:color w:val="000000"/>
          <w:kern w:val="0"/>
          <w:sz w:val="24"/>
        </w:rPr>
      </w:pPr>
      <w:r>
        <w:rPr>
          <w:rFonts w:hint="eastAsia" w:ascii="宋体" w:hAnsi="宋体" w:cs="宋体"/>
          <w:bCs/>
          <w:smallCaps/>
          <w:color w:val="000000"/>
          <w:kern w:val="0"/>
          <w:sz w:val="24"/>
          <w:szCs w:val="20"/>
        </w:rPr>
        <w:t xml:space="preserve">  高级管理人员</w:t>
      </w:r>
      <w:r>
        <w:rPr>
          <w:rFonts w:ascii="宋体" w:hAnsi="宋体" w:cs="宋体"/>
          <w:bCs/>
          <w:smallCaps/>
          <w:color w:val="000000"/>
          <w:kern w:val="0"/>
          <w:sz w:val="24"/>
          <w:szCs w:val="20"/>
        </w:rPr>
        <w:t>每届任期</w:t>
      </w:r>
      <w:r>
        <w:rPr>
          <w:rFonts w:hint="eastAsia" w:ascii="宋体" w:hAnsi="宋体" w:cs="宋体"/>
          <w:bCs/>
          <w:smallCaps/>
          <w:color w:val="000000"/>
          <w:kern w:val="0"/>
          <w:sz w:val="24"/>
          <w:szCs w:val="20"/>
        </w:rPr>
        <w:t>三</w:t>
      </w:r>
      <w:r>
        <w:rPr>
          <w:rFonts w:ascii="宋体" w:hAnsi="宋体" w:cs="宋体"/>
          <w:bCs/>
          <w:smallCaps/>
          <w:color w:val="000000"/>
          <w:kern w:val="0"/>
          <w:sz w:val="24"/>
          <w:szCs w:val="20"/>
        </w:rPr>
        <w:t>年，连聘可以连任。</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本行行长全面负责本行的经营管理，依照法律、行政法规、本章程及董事会授权</w:t>
      </w:r>
      <w:r>
        <w:rPr>
          <w:rFonts w:ascii="宋体" w:hAnsi="宋体" w:cs="宋体"/>
          <w:bCs/>
          <w:smallCaps/>
          <w:color w:val="000000"/>
          <w:kern w:val="0"/>
          <w:sz w:val="24"/>
          <w:szCs w:val="20"/>
        </w:rPr>
        <w:t>行使下列职权：</w:t>
      </w:r>
    </w:p>
    <w:p>
      <w:pPr>
        <w:widowControl/>
        <w:numPr>
          <w:ilvl w:val="0"/>
          <w:numId w:val="31"/>
        </w:numPr>
        <w:spacing w:line="320" w:lineRule="exact"/>
        <w:ind w:left="0" w:firstLine="480"/>
        <w:jc w:val="left"/>
        <w:rPr>
          <w:rFonts w:ascii="宋体" w:hAnsi="宋体" w:cs="宋体"/>
          <w:color w:val="000000"/>
          <w:kern w:val="0"/>
          <w:sz w:val="24"/>
        </w:rPr>
      </w:pPr>
      <w:r>
        <w:rPr>
          <w:rFonts w:ascii="宋体" w:hAnsi="宋体" w:cs="宋体"/>
          <w:color w:val="000000"/>
          <w:kern w:val="0"/>
          <w:sz w:val="24"/>
        </w:rPr>
        <w:t>主持</w:t>
      </w:r>
      <w:r>
        <w:rPr>
          <w:rFonts w:hint="eastAsia" w:ascii="宋体" w:hAnsi="宋体" w:cs="宋体"/>
          <w:color w:val="000000"/>
          <w:kern w:val="0"/>
          <w:sz w:val="24"/>
        </w:rPr>
        <w:t>本行</w:t>
      </w:r>
      <w:r>
        <w:rPr>
          <w:rFonts w:ascii="宋体" w:hAnsi="宋体" w:cs="宋体"/>
          <w:color w:val="000000"/>
          <w:kern w:val="0"/>
          <w:sz w:val="24"/>
        </w:rPr>
        <w:t>的经营管理工作，并向董事会报告工作；</w:t>
      </w:r>
    </w:p>
    <w:p>
      <w:pPr>
        <w:widowControl/>
        <w:numPr>
          <w:ilvl w:val="0"/>
          <w:numId w:val="31"/>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组织实施董事会决议、</w:t>
      </w:r>
      <w:r>
        <w:rPr>
          <w:rFonts w:hint="eastAsia" w:ascii="宋体" w:hAnsi="宋体" w:cs="宋体"/>
          <w:color w:val="000000"/>
          <w:kern w:val="0"/>
          <w:sz w:val="24"/>
        </w:rPr>
        <w:t>本行</w:t>
      </w:r>
      <w:r>
        <w:rPr>
          <w:rFonts w:ascii="宋体" w:hAnsi="宋体" w:cs="宋体"/>
          <w:color w:val="000000"/>
          <w:kern w:val="0"/>
          <w:sz w:val="24"/>
        </w:rPr>
        <w:t>年度计划和投资方案；</w:t>
      </w:r>
    </w:p>
    <w:p>
      <w:pPr>
        <w:widowControl/>
        <w:numPr>
          <w:ilvl w:val="0"/>
          <w:numId w:val="31"/>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拟订本行的发展规划和经营计划方案；</w:t>
      </w:r>
    </w:p>
    <w:p>
      <w:pPr>
        <w:widowControl/>
        <w:numPr>
          <w:ilvl w:val="0"/>
          <w:numId w:val="31"/>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拟订</w:t>
      </w:r>
      <w:r>
        <w:rPr>
          <w:rFonts w:hint="eastAsia" w:ascii="宋体" w:hAnsi="宋体" w:cs="宋体"/>
          <w:color w:val="000000"/>
          <w:kern w:val="0"/>
          <w:sz w:val="24"/>
        </w:rPr>
        <w:t>本行</w:t>
      </w:r>
      <w:r>
        <w:rPr>
          <w:rFonts w:ascii="宋体" w:hAnsi="宋体" w:cs="宋体"/>
          <w:color w:val="000000"/>
          <w:kern w:val="0"/>
          <w:sz w:val="24"/>
        </w:rPr>
        <w:t>内部管理机构</w:t>
      </w:r>
      <w:r>
        <w:rPr>
          <w:rFonts w:hint="eastAsia" w:ascii="宋体" w:hAnsi="宋体" w:cs="宋体"/>
          <w:color w:val="000000"/>
          <w:kern w:val="0"/>
          <w:sz w:val="24"/>
        </w:rPr>
        <w:t>和分支机构的</w:t>
      </w:r>
      <w:r>
        <w:rPr>
          <w:rFonts w:ascii="宋体" w:hAnsi="宋体" w:cs="宋体"/>
          <w:color w:val="000000"/>
          <w:kern w:val="0"/>
          <w:sz w:val="24"/>
        </w:rPr>
        <w:t>设置方案；</w:t>
      </w:r>
    </w:p>
    <w:p>
      <w:pPr>
        <w:widowControl/>
        <w:numPr>
          <w:ilvl w:val="0"/>
          <w:numId w:val="31"/>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拟订</w:t>
      </w:r>
      <w:r>
        <w:rPr>
          <w:rFonts w:hint="eastAsia" w:ascii="宋体" w:hAnsi="宋体" w:cs="宋体"/>
          <w:color w:val="000000"/>
          <w:kern w:val="0"/>
          <w:sz w:val="24"/>
        </w:rPr>
        <w:t>本行</w:t>
      </w:r>
      <w:r>
        <w:rPr>
          <w:rFonts w:ascii="宋体" w:hAnsi="宋体" w:cs="宋体"/>
          <w:color w:val="000000"/>
          <w:kern w:val="0"/>
          <w:sz w:val="24"/>
        </w:rPr>
        <w:t>的基本管理制度；</w:t>
      </w:r>
    </w:p>
    <w:p>
      <w:pPr>
        <w:widowControl/>
        <w:numPr>
          <w:ilvl w:val="0"/>
          <w:numId w:val="31"/>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制定本行</w:t>
      </w:r>
      <w:r>
        <w:rPr>
          <w:rFonts w:ascii="宋体" w:hAnsi="宋体" w:cs="宋体"/>
          <w:color w:val="000000"/>
          <w:kern w:val="0"/>
          <w:sz w:val="24"/>
        </w:rPr>
        <w:t>的具体规章</w:t>
      </w:r>
      <w:r>
        <w:rPr>
          <w:rFonts w:hint="eastAsia" w:ascii="宋体" w:hAnsi="宋体" w:cs="宋体"/>
          <w:color w:val="000000"/>
          <w:kern w:val="0"/>
          <w:sz w:val="24"/>
        </w:rPr>
        <w:t>制度</w:t>
      </w:r>
      <w:r>
        <w:rPr>
          <w:rFonts w:ascii="宋体" w:hAnsi="宋体" w:cs="宋体"/>
          <w:color w:val="000000"/>
          <w:kern w:val="0"/>
          <w:sz w:val="24"/>
        </w:rPr>
        <w:t>；</w:t>
      </w:r>
    </w:p>
    <w:p>
      <w:pPr>
        <w:widowControl/>
        <w:numPr>
          <w:ilvl w:val="0"/>
          <w:numId w:val="31"/>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提请董事会聘任或者解聘</w:t>
      </w:r>
      <w:r>
        <w:rPr>
          <w:rFonts w:hint="eastAsia" w:ascii="宋体" w:hAnsi="宋体" w:cs="宋体"/>
          <w:color w:val="000000"/>
          <w:kern w:val="0"/>
          <w:sz w:val="24"/>
        </w:rPr>
        <w:t>应由董事会聘任或解聘的人员</w:t>
      </w:r>
      <w:r>
        <w:rPr>
          <w:rFonts w:ascii="宋体" w:hAnsi="宋体" w:cs="宋体"/>
          <w:color w:val="000000"/>
          <w:kern w:val="0"/>
          <w:sz w:val="24"/>
        </w:rPr>
        <w:t>；</w:t>
      </w:r>
    </w:p>
    <w:p>
      <w:pPr>
        <w:widowControl/>
        <w:numPr>
          <w:ilvl w:val="0"/>
          <w:numId w:val="31"/>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聘任或者解聘除应由董事会聘任或者解聘以外的</w:t>
      </w:r>
      <w:r>
        <w:rPr>
          <w:rFonts w:hint="eastAsia" w:ascii="宋体" w:hAnsi="宋体" w:cs="宋体"/>
          <w:color w:val="000000"/>
          <w:kern w:val="0"/>
          <w:sz w:val="24"/>
        </w:rPr>
        <w:t>其他本行工作人员，并决定其工资、福利和奖惩</w:t>
      </w:r>
      <w:r>
        <w:rPr>
          <w:rFonts w:ascii="宋体" w:hAnsi="宋体" w:cs="宋体"/>
          <w:color w:val="000000"/>
          <w:kern w:val="0"/>
          <w:sz w:val="24"/>
        </w:rPr>
        <w:t>；</w:t>
      </w:r>
    </w:p>
    <w:p>
      <w:pPr>
        <w:widowControl/>
        <w:numPr>
          <w:ilvl w:val="0"/>
          <w:numId w:val="31"/>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提议召开董事会临时会议；</w:t>
      </w:r>
    </w:p>
    <w:p>
      <w:pPr>
        <w:widowControl/>
        <w:numPr>
          <w:ilvl w:val="0"/>
          <w:numId w:val="31"/>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本章程</w:t>
      </w:r>
      <w:r>
        <w:rPr>
          <w:rFonts w:ascii="宋体" w:hAnsi="宋体" w:cs="宋体"/>
          <w:color w:val="000000"/>
          <w:kern w:val="0"/>
          <w:sz w:val="24"/>
        </w:rPr>
        <w:t>或董事会授予的其他职权。</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行长</w:t>
      </w:r>
      <w:r>
        <w:rPr>
          <w:rFonts w:ascii="宋体" w:hAnsi="宋体" w:cs="宋体"/>
          <w:bCs/>
          <w:smallCaps/>
          <w:color w:val="000000"/>
          <w:kern w:val="0"/>
          <w:sz w:val="24"/>
          <w:szCs w:val="20"/>
        </w:rPr>
        <w:t>应当遵守法律、行政法规和</w:t>
      </w:r>
      <w:r>
        <w:rPr>
          <w:rFonts w:hint="eastAsia" w:ascii="宋体" w:hAnsi="宋体" w:cs="宋体"/>
          <w:bCs/>
          <w:smallCaps/>
          <w:color w:val="000000"/>
          <w:kern w:val="0"/>
          <w:sz w:val="24"/>
          <w:szCs w:val="20"/>
        </w:rPr>
        <w:t>本章程</w:t>
      </w:r>
      <w:r>
        <w:rPr>
          <w:rFonts w:ascii="宋体" w:hAnsi="宋体" w:cs="宋体"/>
          <w:bCs/>
          <w:smallCaps/>
          <w:color w:val="000000"/>
          <w:kern w:val="0"/>
          <w:sz w:val="24"/>
          <w:szCs w:val="20"/>
        </w:rPr>
        <w:t>的规定，履行</w:t>
      </w:r>
      <w:r>
        <w:rPr>
          <w:rFonts w:hint="eastAsia" w:ascii="宋体" w:hAnsi="宋体" w:cs="宋体"/>
          <w:color w:val="000000"/>
          <w:kern w:val="0"/>
          <w:sz w:val="24"/>
        </w:rPr>
        <w:t>忠实</w:t>
      </w:r>
      <w:r>
        <w:rPr>
          <w:rFonts w:ascii="宋体" w:hAnsi="宋体" w:cs="宋体"/>
          <w:bCs/>
          <w:smallCaps/>
          <w:color w:val="000000"/>
          <w:kern w:val="0"/>
          <w:sz w:val="24"/>
          <w:szCs w:val="20"/>
        </w:rPr>
        <w:t>和勤勉的义务。</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行长</w:t>
      </w:r>
      <w:r>
        <w:rPr>
          <w:rFonts w:ascii="宋体" w:hAnsi="宋体" w:cs="宋体"/>
          <w:bCs/>
          <w:smallCaps/>
          <w:color w:val="000000"/>
          <w:kern w:val="0"/>
          <w:sz w:val="24"/>
          <w:szCs w:val="20"/>
        </w:rPr>
        <w:t>可以在任期届满以前提出辞职。有关</w:t>
      </w:r>
      <w:r>
        <w:rPr>
          <w:rFonts w:hint="eastAsia" w:ascii="宋体" w:hAnsi="宋体" w:cs="宋体"/>
          <w:bCs/>
          <w:smallCaps/>
          <w:color w:val="000000"/>
          <w:kern w:val="0"/>
          <w:sz w:val="24"/>
          <w:szCs w:val="20"/>
        </w:rPr>
        <w:t>行长</w:t>
      </w:r>
      <w:r>
        <w:rPr>
          <w:rFonts w:ascii="宋体" w:hAnsi="宋体" w:cs="宋体"/>
          <w:bCs/>
          <w:smallCaps/>
          <w:color w:val="000000"/>
          <w:kern w:val="0"/>
          <w:sz w:val="24"/>
          <w:szCs w:val="20"/>
        </w:rPr>
        <w:t>辞职的具体程序和办法由</w:t>
      </w:r>
      <w:r>
        <w:rPr>
          <w:rFonts w:hint="eastAsia" w:ascii="宋体" w:hAnsi="宋体" w:cs="宋体"/>
          <w:bCs/>
          <w:smallCaps/>
          <w:color w:val="000000"/>
          <w:kern w:val="0"/>
          <w:sz w:val="24"/>
          <w:szCs w:val="20"/>
        </w:rPr>
        <w:t>行长</w:t>
      </w:r>
      <w:r>
        <w:rPr>
          <w:rFonts w:ascii="宋体" w:hAnsi="宋体" w:cs="宋体"/>
          <w:bCs/>
          <w:smallCaps/>
          <w:color w:val="000000"/>
          <w:kern w:val="0"/>
          <w:sz w:val="24"/>
          <w:szCs w:val="20"/>
        </w:rPr>
        <w:t>与</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之间的劳</w:t>
      </w:r>
      <w:r>
        <w:rPr>
          <w:rFonts w:hint="eastAsia" w:ascii="宋体" w:hAnsi="宋体" w:cs="宋体"/>
          <w:bCs/>
          <w:smallCaps/>
          <w:color w:val="000000"/>
          <w:kern w:val="0"/>
          <w:sz w:val="24"/>
          <w:szCs w:val="20"/>
        </w:rPr>
        <w:t>动</w:t>
      </w:r>
      <w:r>
        <w:rPr>
          <w:rFonts w:ascii="宋体" w:hAnsi="宋体" w:cs="宋体"/>
          <w:bCs/>
          <w:smallCaps/>
          <w:color w:val="000000"/>
          <w:kern w:val="0"/>
          <w:sz w:val="24"/>
          <w:szCs w:val="20"/>
        </w:rPr>
        <w:t>合同规定。</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行长应制定行长工作制度，报董事会批准后实施。</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行长工作制度包括下列内容：</w:t>
      </w:r>
    </w:p>
    <w:p>
      <w:pPr>
        <w:widowControl/>
        <w:tabs>
          <w:tab w:val="left" w:pos="1920"/>
        </w:tabs>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（一）行长会议召开的条件、程序和参加的人员；</w:t>
      </w:r>
    </w:p>
    <w:p>
      <w:pPr>
        <w:widowControl/>
        <w:tabs>
          <w:tab w:val="left" w:pos="1920"/>
        </w:tabs>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（二）行长及其他高级管理人员各自具体的职责及其分工；</w:t>
      </w:r>
    </w:p>
    <w:p>
      <w:pPr>
        <w:widowControl/>
        <w:tabs>
          <w:tab w:val="left" w:pos="1920"/>
        </w:tabs>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（三）本行资金、资产运用，签订重大合同的权限，以及向董事会、监事会的报告制度；</w:t>
      </w:r>
    </w:p>
    <w:p>
      <w:pPr>
        <w:widowControl/>
        <w:tabs>
          <w:tab w:val="left" w:pos="1920"/>
        </w:tabs>
        <w:spacing w:line="320" w:lineRule="exact"/>
        <w:ind w:left="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（四）董事会认为必要的其他事项。</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董事会秘书负责本行股东大会和董事会会议的筹备、文件保管以及本行股东资料管理，办理信息披露事务等事宜。 </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董事会秘书应遵守法律、行政法规、部门规章、本章程及本行《董事会秘书工作细则》的有关规定。 </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高级管理人员执行本行职务时违反法律、行政法规、部门规章或本章程的规定，给本行造成损失的，应当承担赔偿责任。</w:t>
      </w:r>
    </w:p>
    <w:p>
      <w:pPr>
        <w:widowControl/>
        <w:numPr>
          <w:ilvl w:val="0"/>
          <w:numId w:val="0"/>
        </w:numPr>
        <w:spacing w:line="320" w:lineRule="exact"/>
        <w:ind w:firstLine="480" w:firstLineChars="200"/>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lang w:val="en-US" w:eastAsia="zh-CN"/>
        </w:rPr>
        <w:t>本行</w:t>
      </w:r>
      <w:r>
        <w:rPr>
          <w:rFonts w:hint="eastAsia" w:ascii="宋体" w:hAnsi="宋体" w:cs="宋体"/>
          <w:bCs/>
          <w:smallCaps/>
          <w:color w:val="000000"/>
          <w:kern w:val="0"/>
          <w:sz w:val="24"/>
          <w:szCs w:val="20"/>
        </w:rPr>
        <w:t>高级管理人员应当忠实履行职务，维护</w:t>
      </w:r>
      <w:r>
        <w:rPr>
          <w:rFonts w:hint="eastAsia" w:ascii="宋体" w:hAnsi="宋体" w:cs="宋体"/>
          <w:bCs/>
          <w:smallCaps/>
          <w:color w:val="000000"/>
          <w:kern w:val="0"/>
          <w:sz w:val="24"/>
          <w:szCs w:val="20"/>
          <w:lang w:val="en-US" w:eastAsia="zh-CN"/>
        </w:rPr>
        <w:t>本行</w:t>
      </w:r>
      <w:r>
        <w:rPr>
          <w:rFonts w:hint="eastAsia" w:ascii="宋体" w:hAnsi="宋体" w:cs="宋体"/>
          <w:bCs/>
          <w:smallCaps/>
          <w:color w:val="000000"/>
          <w:kern w:val="0"/>
          <w:sz w:val="24"/>
          <w:szCs w:val="20"/>
        </w:rPr>
        <w:t>和全体股东的最大利益。</w:t>
      </w:r>
      <w:r>
        <w:rPr>
          <w:rFonts w:hint="eastAsia" w:ascii="宋体" w:hAnsi="宋体" w:cs="宋体"/>
          <w:bCs/>
          <w:smallCaps/>
          <w:color w:val="000000"/>
          <w:kern w:val="0"/>
          <w:sz w:val="24"/>
          <w:szCs w:val="20"/>
          <w:lang w:val="en-US" w:eastAsia="zh-CN"/>
        </w:rPr>
        <w:t>本行</w:t>
      </w:r>
      <w:r>
        <w:rPr>
          <w:rFonts w:hint="eastAsia" w:ascii="宋体" w:hAnsi="宋体" w:cs="宋体"/>
          <w:bCs/>
          <w:smallCaps/>
          <w:color w:val="000000"/>
          <w:kern w:val="0"/>
          <w:sz w:val="24"/>
          <w:szCs w:val="20"/>
        </w:rPr>
        <w:t>高级管理人员因未能忠实履行职务或违背诚信义务，给</w:t>
      </w:r>
      <w:r>
        <w:rPr>
          <w:rFonts w:hint="eastAsia" w:ascii="宋体" w:hAnsi="宋体" w:cs="宋体"/>
          <w:bCs/>
          <w:smallCaps/>
          <w:color w:val="000000"/>
          <w:kern w:val="0"/>
          <w:sz w:val="24"/>
          <w:szCs w:val="20"/>
          <w:lang w:val="en-US" w:eastAsia="zh-CN"/>
        </w:rPr>
        <w:t>本行</w:t>
      </w:r>
      <w:r>
        <w:rPr>
          <w:rFonts w:hint="eastAsia" w:ascii="宋体" w:hAnsi="宋体" w:cs="宋体"/>
          <w:bCs/>
          <w:smallCaps/>
          <w:color w:val="000000"/>
          <w:kern w:val="0"/>
          <w:sz w:val="24"/>
          <w:szCs w:val="20"/>
        </w:rPr>
        <w:t>和社会公众股股东的利益造成损害的，应当依法承担赔偿责任</w:t>
      </w:r>
      <w:r>
        <w:rPr>
          <w:rFonts w:hint="eastAsia" w:ascii="宋体" w:hAnsi="宋体" w:cs="宋体"/>
          <w:bCs/>
          <w:smallCaps/>
          <w:color w:val="000000"/>
          <w:kern w:val="0"/>
          <w:sz w:val="24"/>
          <w:szCs w:val="20"/>
          <w:lang w:eastAsia="zh-CN"/>
        </w:rPr>
        <w:t>。</w:t>
      </w:r>
    </w:p>
    <w:p>
      <w:pPr>
        <w:widowControl/>
        <w:numPr>
          <w:ilvl w:val="0"/>
          <w:numId w:val="1"/>
        </w:numPr>
        <w:spacing w:before="100" w:beforeAutospacing="1" w:after="100" w:afterAutospacing="1" w:line="320" w:lineRule="exact"/>
        <w:jc w:val="center"/>
        <w:outlineLvl w:val="0"/>
        <w:rPr>
          <w:rFonts w:ascii="宋体" w:hAnsi="宋体" w:cs="宋体"/>
          <w:b/>
          <w:bCs/>
          <w:smallCaps/>
          <w:color w:val="000000"/>
          <w:kern w:val="0"/>
          <w:sz w:val="24"/>
        </w:rPr>
      </w:pPr>
      <w:bookmarkStart w:id="69" w:name="_Toc15248"/>
      <w:bookmarkStart w:id="70" w:name="_Toc41895464"/>
      <w:bookmarkStart w:id="71" w:name="_Toc18751"/>
      <w:r>
        <w:rPr>
          <w:rFonts w:ascii="宋体" w:hAnsi="宋体" w:cs="宋体"/>
          <w:b/>
          <w:bCs/>
          <w:smallCaps/>
          <w:color w:val="000000"/>
          <w:kern w:val="0"/>
          <w:sz w:val="24"/>
        </w:rPr>
        <w:t>财务会计制度、利润分配和审计</w:t>
      </w:r>
      <w:bookmarkEnd w:id="69"/>
      <w:bookmarkEnd w:id="70"/>
      <w:bookmarkEnd w:id="71"/>
    </w:p>
    <w:p>
      <w:pPr>
        <w:widowControl/>
        <w:spacing w:before="100" w:beforeAutospacing="1" w:after="100" w:afterAutospacing="1" w:line="320" w:lineRule="exact"/>
        <w:jc w:val="left"/>
        <w:outlineLvl w:val="1"/>
        <w:rPr>
          <w:rFonts w:ascii="宋体" w:hAnsi="宋体" w:cs="宋体"/>
          <w:b/>
          <w:bCs/>
          <w:smallCaps/>
          <w:color w:val="000000"/>
          <w:kern w:val="0"/>
          <w:sz w:val="24"/>
        </w:rPr>
      </w:pPr>
      <w:r>
        <w:rPr>
          <w:rFonts w:ascii="宋体" w:hAnsi="宋体" w:cs="宋体"/>
          <w:b/>
          <w:bCs/>
          <w:smallCaps/>
          <w:color w:val="000000"/>
          <w:kern w:val="0"/>
          <w:sz w:val="24"/>
        </w:rPr>
        <w:t>　　　　　　　　　　　　</w:t>
      </w:r>
      <w:bookmarkStart w:id="72" w:name="_Toc27911"/>
      <w:bookmarkStart w:id="73" w:name="_Toc41895465"/>
      <w:bookmarkStart w:id="74" w:name="_Toc17800"/>
      <w:r>
        <w:rPr>
          <w:rFonts w:ascii="宋体" w:hAnsi="宋体" w:cs="宋体"/>
          <w:b/>
          <w:bCs/>
          <w:smallCaps/>
          <w:color w:val="000000"/>
          <w:kern w:val="0"/>
          <w:sz w:val="24"/>
        </w:rPr>
        <w:t>第一节　财务会计制度</w:t>
      </w:r>
      <w:r>
        <w:rPr>
          <w:rFonts w:hint="eastAsia" w:ascii="宋体" w:hAnsi="宋体" w:cs="宋体"/>
          <w:b/>
          <w:bCs/>
          <w:smallCaps/>
          <w:color w:val="000000"/>
          <w:kern w:val="0"/>
          <w:sz w:val="24"/>
        </w:rPr>
        <w:t>、利润分配</w:t>
      </w:r>
      <w:bookmarkEnd w:id="72"/>
      <w:bookmarkEnd w:id="73"/>
      <w:bookmarkEnd w:id="74"/>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w:t>
      </w:r>
      <w:r>
        <w:rPr>
          <w:rFonts w:ascii="宋体" w:hAnsi="宋体" w:cs="宋体"/>
          <w:bCs/>
          <w:smallCaps/>
          <w:color w:val="000000"/>
          <w:kern w:val="0"/>
          <w:sz w:val="24"/>
          <w:szCs w:val="20"/>
        </w:rPr>
        <w:t>依照法律、行政法规和国家有关部门的规定，制</w:t>
      </w:r>
      <w:r>
        <w:rPr>
          <w:rFonts w:hint="eastAsia" w:ascii="宋体" w:hAnsi="宋体" w:cs="宋体"/>
          <w:bCs/>
          <w:smallCaps/>
          <w:color w:val="000000"/>
          <w:kern w:val="0"/>
          <w:sz w:val="24"/>
          <w:szCs w:val="20"/>
        </w:rPr>
        <w:t>定本行</w:t>
      </w:r>
      <w:r>
        <w:rPr>
          <w:rFonts w:ascii="宋体" w:hAnsi="宋体" w:cs="宋体"/>
          <w:bCs/>
          <w:smallCaps/>
          <w:color w:val="000000"/>
          <w:kern w:val="0"/>
          <w:sz w:val="24"/>
          <w:szCs w:val="20"/>
        </w:rPr>
        <w:t>的财务会计制度。</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本行在每一个会计年度结束之日起四个月内向中国证券监督管理机构和证券交易所报送</w:t>
      </w:r>
      <w:r>
        <w:rPr>
          <w:rFonts w:hint="eastAsia" w:ascii="宋体" w:hAnsi="宋体" w:cs="宋体"/>
          <w:bCs/>
          <w:smallCaps/>
          <w:color w:val="000000"/>
          <w:kern w:val="0"/>
          <w:sz w:val="24"/>
          <w:szCs w:val="20"/>
          <w:lang w:val="en-US" w:eastAsia="zh-CN"/>
        </w:rPr>
        <w:t>并披露</w:t>
      </w:r>
      <w:r>
        <w:rPr>
          <w:rFonts w:hint="eastAsia" w:ascii="宋体" w:hAnsi="宋体" w:cs="宋体"/>
          <w:bCs/>
          <w:smallCaps/>
          <w:color w:val="000000"/>
          <w:kern w:val="0"/>
          <w:sz w:val="24"/>
          <w:szCs w:val="20"/>
        </w:rPr>
        <w:t>年度报告；在每一会计年度</w:t>
      </w:r>
      <w:r>
        <w:rPr>
          <w:rFonts w:hint="eastAsia" w:ascii="宋体" w:hAnsi="宋体" w:cs="宋体"/>
          <w:bCs/>
          <w:smallCaps/>
          <w:color w:val="000000"/>
          <w:kern w:val="0"/>
          <w:sz w:val="24"/>
          <w:szCs w:val="20"/>
          <w:lang w:val="en-US" w:eastAsia="zh-CN"/>
        </w:rPr>
        <w:t>上半年</w:t>
      </w:r>
      <w:r>
        <w:rPr>
          <w:rFonts w:hint="eastAsia" w:ascii="宋体" w:hAnsi="宋体" w:cs="宋体"/>
          <w:bCs/>
          <w:smallCaps/>
          <w:color w:val="000000"/>
          <w:kern w:val="0"/>
          <w:sz w:val="24"/>
          <w:szCs w:val="20"/>
        </w:rPr>
        <w:t>结束之日起两个月内向中国证券监督管理机构和证券交易所报送</w:t>
      </w:r>
      <w:r>
        <w:rPr>
          <w:rFonts w:hint="eastAsia" w:ascii="宋体" w:hAnsi="宋体" w:cs="宋体"/>
          <w:bCs/>
          <w:smallCaps/>
          <w:color w:val="000000"/>
          <w:kern w:val="0"/>
          <w:sz w:val="24"/>
          <w:szCs w:val="20"/>
          <w:lang w:val="en-US" w:eastAsia="zh-CN"/>
        </w:rPr>
        <w:t>并披露中期</w:t>
      </w:r>
      <w:r>
        <w:rPr>
          <w:rFonts w:hint="eastAsia" w:ascii="宋体" w:hAnsi="宋体" w:cs="宋体"/>
          <w:bCs/>
          <w:smallCaps/>
          <w:color w:val="000000"/>
          <w:kern w:val="0"/>
          <w:sz w:val="24"/>
          <w:szCs w:val="20"/>
        </w:rPr>
        <w:t>报告</w:t>
      </w:r>
      <w:r>
        <w:rPr>
          <w:rFonts w:hint="eastAsia" w:ascii="宋体" w:hAnsi="宋体" w:cs="宋体"/>
          <w:bCs/>
          <w:smallCaps/>
          <w:color w:val="000000"/>
          <w:kern w:val="0"/>
          <w:sz w:val="24"/>
          <w:szCs w:val="20"/>
          <w:lang w:eastAsia="zh-CN"/>
        </w:rPr>
        <w:t>。</w:t>
      </w:r>
    </w:p>
    <w:p>
      <w:pPr>
        <w:widowControl/>
        <w:spacing w:line="320" w:lineRule="exact"/>
        <w:ind w:left="0" w:firstLine="480" w:firstLineChars="200"/>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rPr>
        <w:t>上述年度报告、中期报告按照有关法律、行政法规、中国证监会及证券交易所的规定进行编制。</w:t>
      </w:r>
    </w:p>
    <w:p>
      <w:pPr>
        <w:widowControl/>
        <w:spacing w:line="320" w:lineRule="exact"/>
        <w:ind w:left="426" w:firstLine="52" w:firstLineChars="22"/>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本行依法向监管机构和其他主管部门报送本行财务报告。</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w:t>
      </w:r>
      <w:r>
        <w:rPr>
          <w:rFonts w:ascii="宋体" w:hAnsi="宋体" w:cs="宋体"/>
          <w:bCs/>
          <w:smallCaps/>
          <w:color w:val="000000"/>
          <w:kern w:val="0"/>
          <w:sz w:val="24"/>
          <w:szCs w:val="20"/>
        </w:rPr>
        <w:t>年度财务报告按照有关法律、法规的规定进行编制。</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w:t>
      </w:r>
      <w:r>
        <w:rPr>
          <w:rFonts w:ascii="宋体" w:hAnsi="宋体" w:cs="宋体"/>
          <w:bCs/>
          <w:smallCaps/>
          <w:color w:val="000000"/>
          <w:kern w:val="0"/>
          <w:sz w:val="24"/>
          <w:szCs w:val="20"/>
        </w:rPr>
        <w:t>除法定的会计账册外，不另立会计账册。</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的资产，不以任何个人名义开立账户存储。</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w:t>
      </w:r>
      <w:r>
        <w:rPr>
          <w:rFonts w:ascii="宋体" w:hAnsi="宋体" w:cs="宋体"/>
          <w:bCs/>
          <w:smallCaps/>
          <w:color w:val="000000"/>
          <w:kern w:val="0"/>
          <w:sz w:val="24"/>
          <w:szCs w:val="20"/>
        </w:rPr>
        <w:t>交纳所得税后的利润，按下列顺序分配：</w:t>
      </w:r>
    </w:p>
    <w:p>
      <w:pPr>
        <w:widowControl/>
        <w:numPr>
          <w:ilvl w:val="0"/>
          <w:numId w:val="32"/>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弥补被没收的财物损失，支付各项税收的滞纳金和罚款，支付因少缴或迟交存款准备金的加息；</w:t>
      </w:r>
    </w:p>
    <w:p>
      <w:pPr>
        <w:widowControl/>
        <w:numPr>
          <w:ilvl w:val="0"/>
          <w:numId w:val="32"/>
        </w:numPr>
        <w:tabs>
          <w:tab w:val="left" w:pos="0"/>
          <w:tab w:val="clear" w:pos="1200"/>
        </w:tabs>
        <w:spacing w:line="320" w:lineRule="exact"/>
        <w:ind w:left="0" w:firstLine="480"/>
        <w:jc w:val="left"/>
        <w:rPr>
          <w:rFonts w:ascii="宋体" w:hAnsi="宋体" w:cs="宋体"/>
          <w:color w:val="000000"/>
          <w:kern w:val="0"/>
          <w:sz w:val="24"/>
        </w:rPr>
      </w:pPr>
      <w:r>
        <w:rPr>
          <w:rFonts w:ascii="宋体" w:hAnsi="宋体" w:cs="宋体"/>
          <w:color w:val="000000"/>
          <w:kern w:val="0"/>
          <w:sz w:val="24"/>
        </w:rPr>
        <w:t>弥补上一年度的亏损；</w:t>
      </w:r>
    </w:p>
    <w:p>
      <w:pPr>
        <w:widowControl/>
        <w:numPr>
          <w:ilvl w:val="0"/>
          <w:numId w:val="32"/>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提取法定公积金，提取比例为税后利润（减弥补亏损）的百分之十；法定公积金累计达到注册资本的百分之五十时，可不再提取；</w:t>
      </w:r>
    </w:p>
    <w:p>
      <w:pPr>
        <w:widowControl/>
        <w:numPr>
          <w:ilvl w:val="0"/>
          <w:numId w:val="32"/>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提取法定公积金后，按股份向股东分红，分配方案由股东大会决定。</w:t>
      </w:r>
    </w:p>
    <w:p>
      <w:pPr>
        <w:widowControl/>
        <w:numPr>
          <w:ilvl w:val="0"/>
          <w:numId w:val="32"/>
        </w:numPr>
        <w:tabs>
          <w:tab w:val="left" w:pos="0"/>
          <w:tab w:val="clear" w:pos="1200"/>
        </w:tabs>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本行不在弥补本行亏损和提取法定公积金之前向股东分配利润。</w:t>
      </w:r>
    </w:p>
    <w:p>
      <w:pPr>
        <w:widowControl/>
        <w:spacing w:line="320" w:lineRule="exact"/>
        <w:ind w:firstLine="566" w:firstLineChars="236"/>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本行从税后利润中提取法定公积金后，经股东大会决议，还可以从税后利润中提取任意公积金。</w:t>
      </w:r>
    </w:p>
    <w:p>
      <w:pPr>
        <w:widowControl/>
        <w:spacing w:line="320" w:lineRule="exact"/>
        <w:ind w:firstLine="566" w:firstLineChars="236"/>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股东大会违反前款规定，在本行弥补亏损、提取法定公积金之前向股东分配利润的，股东必须将违反规定分配的利润退还本行。</w:t>
      </w:r>
    </w:p>
    <w:p>
      <w:pPr>
        <w:widowControl/>
        <w:spacing w:line="320" w:lineRule="exact"/>
        <w:ind w:left="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本行持有的本行股份不参与分配利润。</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公积金可用于弥补亏损、扩大本行经营或者转增股本。但是，资本公积金不得用于弥补本行的亏损。</w:t>
      </w:r>
    </w:p>
    <w:p>
      <w:pPr>
        <w:widowControl/>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法定公积金转为股本时，所留存的该项公积金不得少于注册资本的百分之二十五。</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股东大会对利润分配方案作出决议后，本行董事会须在股东大会召开后两个月内实施股利的派发事项。</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可以采取现金或股份方式分配股利，可进行中期分红。本行的利润分配应重视对投资者的合理投资回报，利润分配政策应保持连续性和稳定性。本行董事会在拟定分配方案时应当听取有关各方的意见，独立董事应当就利润分配方案发表明确意见。独立董事可以征集中小股东的意见，提出分红提案，并直接提交董事会审议。利润分配方案形成决议后提交股东大会审议。</w:t>
      </w:r>
    </w:p>
    <w:p>
      <w:pPr>
        <w:widowControl/>
        <w:spacing w:line="320" w:lineRule="exact"/>
        <w:ind w:firstLine="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股东大会对现金分红具体方案进行审议前，本行将通过多种渠道与股东特别是中小股东进行沟通和交流，充分听取中小股东的意见和诉求</w:t>
      </w:r>
      <w:r>
        <w:rPr>
          <w:rFonts w:ascii="宋体" w:hAnsi="宋体" w:cs="宋体"/>
          <w:bCs/>
          <w:smallCaps/>
          <w:color w:val="000000"/>
          <w:kern w:val="0"/>
          <w:sz w:val="24"/>
          <w:szCs w:val="20"/>
        </w:rPr>
        <w:t>，</w:t>
      </w:r>
      <w:r>
        <w:rPr>
          <w:rFonts w:hint="eastAsia" w:ascii="宋体" w:hAnsi="宋体" w:cs="宋体"/>
          <w:bCs/>
          <w:smallCaps/>
          <w:color w:val="000000"/>
          <w:kern w:val="0"/>
          <w:sz w:val="24"/>
          <w:szCs w:val="20"/>
        </w:rPr>
        <w:t>及时答复中小股东关心的问题。本行在盈利年度可分配股利。除特殊情况外</w:t>
      </w:r>
      <w:r>
        <w:rPr>
          <w:rFonts w:ascii="宋体" w:hAnsi="宋体" w:cs="宋体"/>
          <w:bCs/>
          <w:smallCaps/>
          <w:color w:val="000000"/>
          <w:kern w:val="0"/>
          <w:sz w:val="24"/>
          <w:szCs w:val="20"/>
        </w:rPr>
        <w:t>，</w:t>
      </w:r>
      <w:r>
        <w:rPr>
          <w:rFonts w:hint="eastAsia" w:ascii="宋体" w:hAnsi="宋体" w:cs="宋体"/>
          <w:bCs/>
          <w:smallCaps/>
          <w:color w:val="000000"/>
          <w:kern w:val="0"/>
          <w:sz w:val="24"/>
          <w:szCs w:val="20"/>
        </w:rPr>
        <w:t>本行在当年盈利且累计未分配利润为正的情况下并在满足本行正常经营资金需求的情况下</w:t>
      </w:r>
      <w:r>
        <w:rPr>
          <w:rFonts w:ascii="宋体" w:hAnsi="宋体" w:cs="宋体"/>
          <w:bCs/>
          <w:smallCaps/>
          <w:color w:val="000000"/>
          <w:kern w:val="0"/>
          <w:sz w:val="24"/>
          <w:szCs w:val="20"/>
        </w:rPr>
        <w:t>，</w:t>
      </w:r>
      <w:r>
        <w:rPr>
          <w:rFonts w:hint="eastAsia" w:ascii="宋体" w:hAnsi="宋体" w:cs="宋体"/>
          <w:bCs/>
          <w:smallCaps/>
          <w:color w:val="000000"/>
          <w:kern w:val="0"/>
          <w:sz w:val="24"/>
          <w:szCs w:val="20"/>
        </w:rPr>
        <w:t>本行应优先采取现金方式分配股利</w:t>
      </w:r>
      <w:r>
        <w:rPr>
          <w:rFonts w:ascii="宋体" w:hAnsi="宋体" w:cs="宋体"/>
          <w:bCs/>
          <w:smallCaps/>
          <w:color w:val="000000"/>
          <w:kern w:val="0"/>
          <w:sz w:val="24"/>
          <w:szCs w:val="20"/>
        </w:rPr>
        <w:t>，</w:t>
      </w:r>
      <w:r>
        <w:rPr>
          <w:rFonts w:hint="eastAsia" w:ascii="宋体" w:hAnsi="宋体" w:cs="宋体"/>
          <w:bCs/>
          <w:smallCaps/>
          <w:color w:val="000000"/>
          <w:kern w:val="0"/>
          <w:sz w:val="24"/>
          <w:szCs w:val="20"/>
        </w:rPr>
        <w:t>每一年度以现金方式分配的股利不少于该会计年度的税后利润的百分之十。本款所述特殊情况是指：</w:t>
      </w:r>
    </w:p>
    <w:p>
      <w:pPr>
        <w:widowControl/>
        <w:spacing w:line="320" w:lineRule="exact"/>
        <w:ind w:firstLine="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（一）资本充足率已低于监管标准</w:t>
      </w:r>
      <w:r>
        <w:rPr>
          <w:rFonts w:ascii="宋体" w:hAnsi="宋体" w:cs="宋体"/>
          <w:bCs/>
          <w:smallCaps/>
          <w:color w:val="000000"/>
          <w:kern w:val="0"/>
          <w:sz w:val="24"/>
          <w:szCs w:val="20"/>
        </w:rPr>
        <w:t>，</w:t>
      </w:r>
      <w:r>
        <w:rPr>
          <w:rFonts w:hint="eastAsia" w:ascii="宋体" w:hAnsi="宋体" w:cs="宋体"/>
          <w:bCs/>
          <w:smallCaps/>
          <w:color w:val="000000"/>
          <w:kern w:val="0"/>
          <w:sz w:val="24"/>
          <w:szCs w:val="20"/>
        </w:rPr>
        <w:t>或预期实施现金分红后当年末资本充足率将低于监管标准的情况；</w:t>
      </w:r>
    </w:p>
    <w:p>
      <w:pPr>
        <w:widowControl/>
        <w:spacing w:line="320" w:lineRule="exact"/>
        <w:ind w:firstLine="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（二）已计提准备金未达到财政部门规定要求的情况；</w:t>
      </w:r>
    </w:p>
    <w:p>
      <w:pPr>
        <w:widowControl/>
        <w:spacing w:line="320" w:lineRule="exact"/>
        <w:ind w:firstLine="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（三）法律、法规规定的其他限制进行利润分配的情况；</w:t>
      </w:r>
    </w:p>
    <w:p>
      <w:pPr>
        <w:widowControl/>
        <w:spacing w:line="320" w:lineRule="exact"/>
        <w:ind w:firstLine="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（四）其他本行认为实施现金分红可能影响股东长期利益的情况。 </w:t>
      </w:r>
    </w:p>
    <w:p>
      <w:pPr>
        <w:widowControl/>
        <w:spacing w:line="320" w:lineRule="exact"/>
        <w:ind w:firstLine="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在上一个会计年度实现盈利，但董事会在上一会计年度结束后未提出现金分红预案的，应当在定期报告中详细说明未分红的原因、未用于分红的资金留存本行的用途，独立董事还应当对此发表独立意见。本行根据经营情况和长期发展的需要确需调整利润分配政策的，调整后的利润分配政策不得违反本行上市地监管机构的有关规定。有关调整利润分配政策的议案需事先征求独立董事和监事会的意见，并经本行董事会审议后提交股东大会批准。对现金分红政策进行调整的，应经出席股东大会的股东所持表决权的三分之二以上通过。</w:t>
      </w:r>
    </w:p>
    <w:p>
      <w:pPr>
        <w:widowControl/>
        <w:spacing w:line="320" w:lineRule="exact"/>
        <w:ind w:firstLine="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本行应当按照相关规定在定期报告中披露分红政策的执行情况及其他相关情况。</w:t>
      </w:r>
    </w:p>
    <w:p>
      <w:pPr>
        <w:widowControl/>
        <w:spacing w:before="100" w:beforeAutospacing="1" w:after="100" w:afterAutospacing="1" w:line="320" w:lineRule="exact"/>
        <w:jc w:val="center"/>
        <w:outlineLvl w:val="1"/>
        <w:rPr>
          <w:rFonts w:ascii="宋体" w:hAnsi="宋体" w:cs="宋体"/>
          <w:b/>
          <w:bCs/>
          <w:smallCaps/>
          <w:color w:val="000000"/>
          <w:kern w:val="0"/>
          <w:sz w:val="24"/>
        </w:rPr>
      </w:pPr>
      <w:bookmarkStart w:id="75" w:name="_Toc5425"/>
      <w:bookmarkStart w:id="76" w:name="_Toc30485"/>
      <w:bookmarkStart w:id="77" w:name="_Toc41895466"/>
      <w:r>
        <w:rPr>
          <w:rFonts w:ascii="宋体" w:hAnsi="宋体" w:cs="宋体"/>
          <w:b/>
          <w:bCs/>
          <w:smallCaps/>
          <w:color w:val="000000"/>
          <w:kern w:val="0"/>
          <w:sz w:val="24"/>
        </w:rPr>
        <w:t>第二节　</w:t>
      </w:r>
      <w:r>
        <w:rPr>
          <w:rFonts w:hint="eastAsia" w:ascii="宋体" w:hAnsi="宋体" w:cs="宋体"/>
          <w:b/>
          <w:bCs/>
          <w:smallCaps/>
          <w:color w:val="000000"/>
          <w:kern w:val="0"/>
          <w:sz w:val="24"/>
        </w:rPr>
        <w:t>内部审计</w:t>
      </w:r>
      <w:bookmarkEnd w:id="75"/>
      <w:bookmarkEnd w:id="76"/>
      <w:bookmarkEnd w:id="77"/>
    </w:p>
    <w:p>
      <w:pPr>
        <w:widowControl/>
        <w:numPr>
          <w:ilvl w:val="0"/>
          <w:numId w:val="2"/>
        </w:numPr>
        <w:spacing w:line="320" w:lineRule="exact"/>
        <w:jc w:val="left"/>
        <w:rPr>
          <w:rFonts w:ascii="宋体" w:hAnsi="宋体" w:cs="宋体"/>
          <w:bCs/>
          <w:smallCaps/>
          <w:color w:val="000000"/>
          <w:kern w:val="0"/>
          <w:sz w:val="24"/>
        </w:rPr>
      </w:pPr>
      <w:r>
        <w:rPr>
          <w:rFonts w:hint="eastAsia" w:ascii="宋体" w:hAnsi="宋体" w:cs="宋体"/>
          <w:bCs/>
          <w:smallCaps/>
          <w:color w:val="000000"/>
          <w:kern w:val="0"/>
          <w:sz w:val="24"/>
        </w:rPr>
        <w:t xml:space="preserve">  本行实行内部审计制度，配备专职审计人员，对本行财务收支和经济活动进行内部审计监督。</w:t>
      </w:r>
    </w:p>
    <w:p>
      <w:pPr>
        <w:widowControl/>
        <w:numPr>
          <w:ilvl w:val="0"/>
          <w:numId w:val="2"/>
        </w:numPr>
        <w:spacing w:line="320" w:lineRule="exact"/>
        <w:jc w:val="left"/>
        <w:rPr>
          <w:rFonts w:ascii="宋体" w:hAnsi="宋体" w:cs="宋体"/>
          <w:bCs/>
          <w:smallCaps/>
          <w:color w:val="000000"/>
          <w:kern w:val="0"/>
          <w:sz w:val="24"/>
        </w:rPr>
      </w:pPr>
      <w:r>
        <w:rPr>
          <w:rFonts w:hint="eastAsia" w:ascii="宋体" w:hAnsi="宋体" w:cs="宋体"/>
          <w:bCs/>
          <w:smallCaps/>
          <w:color w:val="000000"/>
          <w:kern w:val="0"/>
          <w:sz w:val="24"/>
        </w:rPr>
        <w:t xml:space="preserve">  本行内部审计制度和审计人员的职责，应当经董事会批准后实施。本行审计部门对董事会负责并报告工作。</w:t>
      </w:r>
    </w:p>
    <w:p>
      <w:pPr>
        <w:widowControl/>
        <w:spacing w:before="100" w:beforeAutospacing="1" w:after="100" w:afterAutospacing="1" w:line="320" w:lineRule="exact"/>
        <w:jc w:val="center"/>
        <w:outlineLvl w:val="1"/>
        <w:rPr>
          <w:rFonts w:ascii="宋体" w:hAnsi="宋体" w:cs="宋体"/>
          <w:b/>
          <w:bCs/>
          <w:smallCaps/>
          <w:color w:val="000000"/>
          <w:kern w:val="0"/>
          <w:sz w:val="24"/>
        </w:rPr>
      </w:pPr>
      <w:bookmarkStart w:id="78" w:name="_Toc11805"/>
      <w:bookmarkStart w:id="79" w:name="_Toc22786"/>
      <w:bookmarkStart w:id="80" w:name="_Toc41895467"/>
      <w:r>
        <w:rPr>
          <w:rFonts w:hint="eastAsia" w:ascii="宋体" w:hAnsi="宋体" w:cs="宋体"/>
          <w:b/>
          <w:bCs/>
          <w:smallCaps/>
          <w:color w:val="000000"/>
          <w:kern w:val="0"/>
          <w:sz w:val="24"/>
        </w:rPr>
        <w:t xml:space="preserve">第三节  </w:t>
      </w:r>
      <w:r>
        <w:rPr>
          <w:rFonts w:ascii="宋体" w:hAnsi="宋体" w:cs="宋体"/>
          <w:b/>
          <w:bCs/>
          <w:smallCaps/>
          <w:color w:val="000000"/>
          <w:kern w:val="0"/>
          <w:sz w:val="24"/>
        </w:rPr>
        <w:t>会计师事务所的聘任</w:t>
      </w:r>
      <w:bookmarkEnd w:id="78"/>
      <w:bookmarkEnd w:id="79"/>
      <w:bookmarkEnd w:id="80"/>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本行聘用</w:t>
      </w:r>
      <w:r>
        <w:rPr>
          <w:rFonts w:hint="eastAsia" w:ascii="宋体" w:hAnsi="宋体" w:cs="宋体"/>
          <w:bCs/>
          <w:smallCaps/>
          <w:color w:val="000000"/>
          <w:kern w:val="0"/>
          <w:sz w:val="24"/>
          <w:szCs w:val="20"/>
          <w:lang w:val="en-US" w:eastAsia="zh-CN"/>
        </w:rPr>
        <w:t>符合</w:t>
      </w:r>
      <w:r>
        <w:rPr>
          <w:rFonts w:hint="eastAsia" w:ascii="宋体" w:hAnsi="宋体" w:cs="宋体"/>
          <w:bCs/>
          <w:smallCaps/>
          <w:color w:val="000000"/>
          <w:kern w:val="0"/>
          <w:sz w:val="24"/>
          <w:szCs w:val="20"/>
          <w:lang w:eastAsia="zh-CN"/>
        </w:rPr>
        <w:t>《</w:t>
      </w:r>
      <w:r>
        <w:rPr>
          <w:rFonts w:hint="eastAsia" w:ascii="宋体" w:hAnsi="宋体" w:cs="宋体"/>
          <w:bCs/>
          <w:smallCaps/>
          <w:color w:val="000000"/>
          <w:kern w:val="0"/>
          <w:sz w:val="24"/>
          <w:szCs w:val="20"/>
          <w:lang w:val="en-US" w:eastAsia="zh-CN"/>
        </w:rPr>
        <w:t>证券法</w:t>
      </w:r>
      <w:r>
        <w:rPr>
          <w:rFonts w:hint="eastAsia" w:ascii="宋体" w:hAnsi="宋体" w:cs="宋体"/>
          <w:bCs/>
          <w:smallCaps/>
          <w:color w:val="000000"/>
          <w:kern w:val="0"/>
          <w:sz w:val="24"/>
          <w:szCs w:val="20"/>
          <w:lang w:eastAsia="zh-CN"/>
        </w:rPr>
        <w:t>》</w:t>
      </w:r>
      <w:r>
        <w:rPr>
          <w:rFonts w:hint="eastAsia" w:ascii="宋体" w:hAnsi="宋体" w:cs="宋体"/>
          <w:bCs/>
          <w:smallCaps/>
          <w:color w:val="000000"/>
          <w:kern w:val="0"/>
          <w:sz w:val="24"/>
          <w:szCs w:val="20"/>
          <w:lang w:val="en-US" w:eastAsia="zh-CN"/>
        </w:rPr>
        <w:t>规定</w:t>
      </w:r>
      <w:r>
        <w:rPr>
          <w:rFonts w:hint="eastAsia" w:ascii="宋体" w:hAnsi="宋体" w:cs="宋体"/>
          <w:bCs/>
          <w:smallCaps/>
          <w:color w:val="000000"/>
          <w:kern w:val="0"/>
          <w:sz w:val="24"/>
          <w:szCs w:val="20"/>
        </w:rPr>
        <w:t>的会计师事务所进行会计报表审计、净资产验证及其他相关的咨询服务等业务，聘期一年，可以续聘。</w:t>
      </w:r>
    </w:p>
    <w:p>
      <w:pPr>
        <w:widowControl/>
        <w:numPr>
          <w:ilvl w:val="0"/>
          <w:numId w:val="2"/>
        </w:numPr>
        <w:spacing w:line="320" w:lineRule="exact"/>
        <w:jc w:val="left"/>
        <w:rPr>
          <w:rFonts w:ascii="宋体" w:hAnsi="宋体" w:cs="宋体"/>
          <w:color w:val="000000"/>
          <w:kern w:val="0"/>
          <w:sz w:val="24"/>
        </w:rPr>
      </w:pPr>
      <w:r>
        <w:rPr>
          <w:rFonts w:hint="eastAsia" w:ascii="宋体" w:hAnsi="宋体" w:cs="宋体"/>
          <w:color w:val="000000"/>
          <w:kern w:val="0"/>
          <w:sz w:val="24"/>
        </w:rPr>
        <w:t xml:space="preserve">  本行聘用为</w:t>
      </w:r>
      <w:r>
        <w:rPr>
          <w:rFonts w:hint="eastAsia" w:ascii="宋体" w:hAnsi="宋体" w:cs="宋体"/>
          <w:color w:val="000000"/>
          <w:kern w:val="0"/>
          <w:sz w:val="24"/>
          <w:lang w:val="en-US" w:eastAsia="zh-CN"/>
        </w:rPr>
        <w:t>本行</w:t>
      </w:r>
      <w:r>
        <w:rPr>
          <w:rFonts w:hint="eastAsia" w:ascii="宋体" w:hAnsi="宋体" w:cs="宋体"/>
          <w:color w:val="000000"/>
          <w:kern w:val="0"/>
          <w:sz w:val="24"/>
        </w:rPr>
        <w:t>财务报告进行定期法定审计的会计师事务所必须由股东大会决定，董事会不得在股东大会决定前委任定期法定审计的会计师事务所。</w:t>
      </w:r>
    </w:p>
    <w:p>
      <w:pPr>
        <w:widowControl/>
        <w:spacing w:line="320" w:lineRule="exact"/>
        <w:ind w:firstLine="480"/>
        <w:jc w:val="left"/>
        <w:rPr>
          <w:rFonts w:ascii="宋体" w:hAnsi="宋体" w:cs="宋体"/>
          <w:color w:val="000000"/>
          <w:kern w:val="0"/>
          <w:sz w:val="24"/>
        </w:rPr>
      </w:pPr>
      <w:r>
        <w:rPr>
          <w:rFonts w:hint="eastAsia" w:ascii="宋体" w:hAnsi="宋体" w:cs="宋体"/>
          <w:color w:val="000000"/>
          <w:kern w:val="0"/>
          <w:sz w:val="24"/>
        </w:rPr>
        <w:t>如果定期法定审计的会计师事务所职位出现空缺，董事会在股东大会召开前，可以委任会计师事务所填补该空缺，但应经下一次年度股东大会确认。</w:t>
      </w:r>
    </w:p>
    <w:p>
      <w:pPr>
        <w:widowControl/>
        <w:numPr>
          <w:ilvl w:val="0"/>
          <w:numId w:val="2"/>
        </w:numPr>
        <w:tabs>
          <w:tab w:val="left" w:pos="2268"/>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本行保证向聘用的会计师事务所提供真实、完整的会计凭证、会计账簿、财务报告及其他会计资料，不得拒绝、隐匿、谎报。</w:t>
      </w:r>
    </w:p>
    <w:p>
      <w:pPr>
        <w:widowControl/>
        <w:numPr>
          <w:ilvl w:val="0"/>
          <w:numId w:val="2"/>
        </w:numPr>
        <w:tabs>
          <w:tab w:val="left" w:pos="2268"/>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为本行财务报告进行定期法定审计的会计师事务所的审计费用由股东大会决定。</w:t>
      </w:r>
    </w:p>
    <w:p>
      <w:pPr>
        <w:widowControl/>
        <w:numPr>
          <w:ilvl w:val="0"/>
          <w:numId w:val="2"/>
        </w:numPr>
        <w:tabs>
          <w:tab w:val="left" w:pos="2268"/>
          <w:tab w:val="clear" w:pos="1920"/>
        </w:tabs>
        <w:spacing w:line="320" w:lineRule="exact"/>
        <w:jc w:val="left"/>
        <w:rPr>
          <w:rFonts w:ascii="宋体" w:hAnsi="宋体" w:cs="宋体"/>
          <w:color w:val="000000"/>
          <w:kern w:val="0"/>
          <w:sz w:val="24"/>
        </w:rPr>
      </w:pPr>
      <w:r>
        <w:rPr>
          <w:rFonts w:hint="eastAsia" w:ascii="宋体" w:hAnsi="宋体" w:cs="宋体"/>
          <w:color w:val="000000"/>
          <w:kern w:val="0"/>
          <w:sz w:val="24"/>
        </w:rPr>
        <w:t>本行解聘或者不再续聘</w:t>
      </w:r>
      <w:r>
        <w:rPr>
          <w:rFonts w:hint="eastAsia" w:ascii="宋体" w:hAnsi="宋体" w:cs="宋体"/>
          <w:color w:val="000000"/>
          <w:kern w:val="0"/>
          <w:sz w:val="24"/>
          <w:lang w:val="en-US" w:eastAsia="zh-CN"/>
        </w:rPr>
        <w:t>定期法定审计的</w:t>
      </w:r>
      <w:r>
        <w:rPr>
          <w:rFonts w:hint="eastAsia" w:ascii="宋体" w:hAnsi="宋体" w:cs="宋体"/>
          <w:color w:val="000000"/>
          <w:kern w:val="0"/>
          <w:sz w:val="24"/>
        </w:rPr>
        <w:t xml:space="preserve">会计师事务所时，提前三十日事先通知会计师事务所，本行股东大会就解聘会计师事务所进行表决时，允许会计师事务所陈述意见。 </w:t>
      </w:r>
    </w:p>
    <w:p>
      <w:pPr>
        <w:widowControl/>
        <w:numPr>
          <w:ilvl w:val="0"/>
          <w:numId w:val="2"/>
        </w:numPr>
        <w:tabs>
          <w:tab w:val="left" w:pos="2268"/>
        </w:tabs>
        <w:spacing w:line="320" w:lineRule="exact"/>
        <w:jc w:val="left"/>
        <w:rPr>
          <w:rFonts w:ascii="宋体" w:hAnsi="宋体" w:cs="宋体"/>
          <w:color w:val="000000"/>
          <w:kern w:val="0"/>
          <w:sz w:val="24"/>
        </w:rPr>
      </w:pPr>
      <w:r>
        <w:rPr>
          <w:rFonts w:hint="eastAsia" w:ascii="宋体" w:hAnsi="宋体" w:cs="宋体"/>
          <w:color w:val="000000"/>
          <w:kern w:val="0"/>
          <w:sz w:val="24"/>
          <w:lang w:val="en-US" w:eastAsia="zh-CN"/>
        </w:rPr>
        <w:t>定期法定审计的</w:t>
      </w:r>
      <w:r>
        <w:rPr>
          <w:rFonts w:hint="eastAsia" w:ascii="宋体" w:hAnsi="宋体" w:cs="宋体"/>
          <w:color w:val="000000"/>
          <w:kern w:val="0"/>
          <w:sz w:val="24"/>
        </w:rPr>
        <w:t>会计师事务所提出辞聘的，应当向股东大会说明本行有无不当情形。</w:t>
      </w:r>
    </w:p>
    <w:p>
      <w:pPr>
        <w:widowControl/>
        <w:numPr>
          <w:ilvl w:val="0"/>
          <w:numId w:val="1"/>
        </w:numPr>
        <w:spacing w:before="100" w:beforeAutospacing="1" w:after="100" w:afterAutospacing="1" w:line="320" w:lineRule="exact"/>
        <w:jc w:val="center"/>
        <w:outlineLvl w:val="0"/>
        <w:rPr>
          <w:rFonts w:ascii="宋体" w:hAnsi="宋体" w:cs="宋体"/>
          <w:b/>
          <w:bCs/>
          <w:smallCaps/>
          <w:color w:val="000000"/>
          <w:kern w:val="0"/>
          <w:sz w:val="24"/>
        </w:rPr>
      </w:pPr>
      <w:bookmarkStart w:id="81" w:name="_Toc2894"/>
      <w:bookmarkStart w:id="82" w:name="_Toc41895468"/>
      <w:bookmarkStart w:id="83" w:name="_Toc24755"/>
      <w:r>
        <w:rPr>
          <w:rFonts w:ascii="宋体" w:hAnsi="宋体" w:cs="宋体"/>
          <w:b/>
          <w:bCs/>
          <w:smallCaps/>
          <w:color w:val="000000"/>
          <w:kern w:val="0"/>
          <w:sz w:val="24"/>
        </w:rPr>
        <w:t>通知和公告</w:t>
      </w:r>
      <w:bookmarkEnd w:id="81"/>
      <w:bookmarkEnd w:id="82"/>
      <w:bookmarkEnd w:id="83"/>
    </w:p>
    <w:p>
      <w:pPr>
        <w:widowControl/>
        <w:spacing w:before="100" w:beforeAutospacing="1" w:after="100" w:afterAutospacing="1" w:line="320" w:lineRule="exact"/>
        <w:jc w:val="center"/>
        <w:outlineLvl w:val="1"/>
        <w:rPr>
          <w:rFonts w:ascii="宋体" w:hAnsi="宋体" w:cs="宋体"/>
          <w:b/>
          <w:bCs/>
          <w:smallCaps/>
          <w:color w:val="000000"/>
          <w:kern w:val="0"/>
          <w:sz w:val="24"/>
        </w:rPr>
      </w:pPr>
      <w:bookmarkStart w:id="84" w:name="_Toc19877"/>
      <w:bookmarkStart w:id="85" w:name="_Toc10064"/>
      <w:bookmarkStart w:id="86" w:name="_Toc41895469"/>
      <w:r>
        <w:rPr>
          <w:rFonts w:ascii="宋体" w:hAnsi="宋体" w:cs="宋体"/>
          <w:b/>
          <w:bCs/>
          <w:smallCaps/>
          <w:color w:val="000000"/>
          <w:kern w:val="0"/>
          <w:sz w:val="24"/>
        </w:rPr>
        <w:t>第一节　通知</w:t>
      </w:r>
      <w:bookmarkEnd w:id="84"/>
      <w:bookmarkEnd w:id="85"/>
      <w:bookmarkEnd w:id="86"/>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w:t>
      </w:r>
      <w:r>
        <w:rPr>
          <w:rFonts w:ascii="宋体" w:hAnsi="宋体" w:cs="宋体"/>
          <w:bCs/>
          <w:smallCaps/>
          <w:color w:val="000000"/>
          <w:kern w:val="0"/>
          <w:sz w:val="24"/>
          <w:szCs w:val="20"/>
        </w:rPr>
        <w:t>的通知以下列形式发出：</w:t>
      </w:r>
    </w:p>
    <w:p>
      <w:pPr>
        <w:widowControl/>
        <w:numPr>
          <w:ilvl w:val="0"/>
          <w:numId w:val="33"/>
        </w:numPr>
        <w:spacing w:line="320" w:lineRule="exact"/>
        <w:jc w:val="left"/>
        <w:rPr>
          <w:rFonts w:ascii="宋体" w:hAnsi="宋体" w:cs="宋体"/>
          <w:color w:val="000000"/>
          <w:kern w:val="0"/>
          <w:sz w:val="24"/>
        </w:rPr>
      </w:pPr>
      <w:r>
        <w:rPr>
          <w:rFonts w:ascii="宋体" w:hAnsi="宋体" w:cs="宋体"/>
          <w:color w:val="000000"/>
          <w:kern w:val="0"/>
          <w:sz w:val="24"/>
        </w:rPr>
        <w:t>专人送</w:t>
      </w:r>
      <w:r>
        <w:rPr>
          <w:rFonts w:hint="eastAsia" w:ascii="宋体" w:hAnsi="宋体" w:cs="宋体"/>
          <w:color w:val="000000"/>
          <w:kern w:val="0"/>
          <w:sz w:val="24"/>
        </w:rPr>
        <w:t>达</w:t>
      </w:r>
      <w:r>
        <w:rPr>
          <w:rFonts w:ascii="宋体" w:hAnsi="宋体" w:cs="宋体"/>
          <w:color w:val="000000"/>
          <w:kern w:val="0"/>
          <w:sz w:val="24"/>
        </w:rPr>
        <w:t>；</w:t>
      </w:r>
    </w:p>
    <w:p>
      <w:pPr>
        <w:widowControl/>
        <w:numPr>
          <w:ilvl w:val="0"/>
          <w:numId w:val="33"/>
        </w:numPr>
        <w:tabs>
          <w:tab w:val="left" w:pos="0"/>
          <w:tab w:val="clear" w:pos="1200"/>
        </w:tabs>
        <w:spacing w:line="320" w:lineRule="exact"/>
        <w:jc w:val="left"/>
        <w:rPr>
          <w:rFonts w:ascii="宋体" w:hAnsi="宋体" w:cs="宋体"/>
          <w:color w:val="000000"/>
          <w:kern w:val="0"/>
          <w:sz w:val="24"/>
        </w:rPr>
      </w:pPr>
      <w:r>
        <w:rPr>
          <w:rFonts w:ascii="宋体" w:hAnsi="宋体" w:cs="宋体"/>
          <w:color w:val="000000"/>
          <w:kern w:val="0"/>
          <w:sz w:val="24"/>
        </w:rPr>
        <w:t>邮件</w:t>
      </w:r>
      <w:r>
        <w:rPr>
          <w:rFonts w:hint="eastAsia" w:ascii="宋体" w:hAnsi="宋体" w:cs="宋体"/>
          <w:color w:val="000000"/>
          <w:kern w:val="0"/>
          <w:sz w:val="24"/>
        </w:rPr>
        <w:t>（含电子邮件）</w:t>
      </w:r>
      <w:r>
        <w:rPr>
          <w:rFonts w:ascii="宋体" w:hAnsi="宋体" w:cs="宋体"/>
          <w:color w:val="000000"/>
          <w:kern w:val="0"/>
          <w:sz w:val="24"/>
        </w:rPr>
        <w:t>；</w:t>
      </w:r>
    </w:p>
    <w:p>
      <w:pPr>
        <w:widowControl/>
        <w:numPr>
          <w:ilvl w:val="0"/>
          <w:numId w:val="33"/>
        </w:numPr>
        <w:tabs>
          <w:tab w:val="left" w:pos="0"/>
          <w:tab w:val="clear" w:pos="1200"/>
        </w:tabs>
        <w:spacing w:line="320" w:lineRule="exact"/>
        <w:jc w:val="left"/>
        <w:rPr>
          <w:rFonts w:ascii="宋体" w:hAnsi="宋体" w:cs="宋体"/>
          <w:color w:val="000000"/>
          <w:kern w:val="0"/>
          <w:sz w:val="24"/>
        </w:rPr>
      </w:pPr>
      <w:r>
        <w:rPr>
          <w:rFonts w:ascii="宋体" w:hAnsi="宋体" w:cs="宋体"/>
          <w:color w:val="000000"/>
          <w:kern w:val="0"/>
          <w:sz w:val="24"/>
        </w:rPr>
        <w:t>公告；</w:t>
      </w:r>
    </w:p>
    <w:p>
      <w:pPr>
        <w:widowControl/>
        <w:numPr>
          <w:ilvl w:val="0"/>
          <w:numId w:val="33"/>
        </w:numPr>
        <w:tabs>
          <w:tab w:val="left" w:pos="0"/>
          <w:tab w:val="clear" w:pos="1200"/>
        </w:tabs>
        <w:spacing w:line="320" w:lineRule="exact"/>
        <w:jc w:val="left"/>
        <w:rPr>
          <w:rFonts w:ascii="宋体" w:hAnsi="宋体" w:cs="宋体"/>
          <w:color w:val="000000"/>
          <w:kern w:val="0"/>
          <w:sz w:val="24"/>
        </w:rPr>
      </w:pPr>
      <w:r>
        <w:rPr>
          <w:rFonts w:hint="eastAsia" w:ascii="宋体" w:hAnsi="宋体" w:cs="宋体"/>
          <w:color w:val="000000"/>
          <w:kern w:val="0"/>
          <w:sz w:val="24"/>
        </w:rPr>
        <w:t>本章程</w:t>
      </w:r>
      <w:r>
        <w:rPr>
          <w:rFonts w:ascii="宋体" w:hAnsi="宋体" w:cs="宋体"/>
          <w:color w:val="000000"/>
          <w:kern w:val="0"/>
          <w:sz w:val="24"/>
        </w:rPr>
        <w:t>规定的其他形式。</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w:t>
      </w:r>
      <w:r>
        <w:rPr>
          <w:rFonts w:ascii="宋体" w:hAnsi="宋体" w:cs="宋体"/>
          <w:bCs/>
          <w:smallCaps/>
          <w:color w:val="000000"/>
          <w:kern w:val="0"/>
          <w:sz w:val="24"/>
          <w:szCs w:val="20"/>
        </w:rPr>
        <w:t>发出的通知，以公告方式进行的，一经公告，视为所有相关人员收到通知。</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召开股东大会的会议通知，以</w:t>
      </w:r>
      <w:r>
        <w:rPr>
          <w:rFonts w:hint="eastAsia" w:ascii="宋体" w:hAnsi="宋体" w:cs="宋体"/>
          <w:bCs/>
          <w:smallCaps/>
          <w:color w:val="000000"/>
          <w:kern w:val="0"/>
          <w:sz w:val="24"/>
          <w:szCs w:val="20"/>
        </w:rPr>
        <w:t>公告</w:t>
      </w:r>
      <w:r>
        <w:rPr>
          <w:rFonts w:ascii="宋体" w:hAnsi="宋体" w:cs="宋体"/>
          <w:bCs/>
          <w:smallCaps/>
          <w:color w:val="000000"/>
          <w:kern w:val="0"/>
          <w:sz w:val="24"/>
          <w:szCs w:val="20"/>
        </w:rPr>
        <w:t>方式进行。</w:t>
      </w:r>
      <w:r>
        <w:rPr>
          <w:rFonts w:hint="eastAsia"/>
          <w:sz w:val="24"/>
        </w:rPr>
        <w:t>本行召开董事会、监事会的会议通知，以公告、邮件（含电子邮件）、传真方式之一进行。</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w:t>
      </w:r>
      <w:r>
        <w:rPr>
          <w:rFonts w:ascii="宋体" w:hAnsi="宋体" w:cs="宋体"/>
          <w:bCs/>
          <w:smallCaps/>
          <w:color w:val="000000"/>
          <w:kern w:val="0"/>
          <w:sz w:val="24"/>
          <w:szCs w:val="20"/>
        </w:rPr>
        <w:t>通知以专人送出的，由被送达人在送达</w:t>
      </w:r>
      <w:r>
        <w:rPr>
          <w:rFonts w:hint="eastAsia" w:ascii="宋体" w:hAnsi="宋体" w:cs="宋体"/>
          <w:bCs/>
          <w:smallCaps/>
          <w:color w:val="000000"/>
          <w:kern w:val="0"/>
          <w:sz w:val="24"/>
          <w:szCs w:val="20"/>
        </w:rPr>
        <w:t>回执</w:t>
      </w:r>
      <w:r>
        <w:rPr>
          <w:rFonts w:ascii="宋体" w:hAnsi="宋体" w:cs="宋体"/>
          <w:bCs/>
          <w:smallCaps/>
          <w:color w:val="000000"/>
          <w:kern w:val="0"/>
          <w:sz w:val="24"/>
          <w:szCs w:val="20"/>
        </w:rPr>
        <w:t>上签名（或盖章），被送达人签收日期为送达日期；</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通知以</w:t>
      </w:r>
      <w:r>
        <w:rPr>
          <w:rFonts w:hint="eastAsia" w:ascii="宋体" w:hAnsi="宋体" w:cs="宋体"/>
          <w:bCs/>
          <w:smallCaps/>
          <w:color w:val="000000"/>
          <w:kern w:val="0"/>
          <w:sz w:val="24"/>
          <w:szCs w:val="20"/>
        </w:rPr>
        <w:t>邮件</w:t>
      </w:r>
      <w:r>
        <w:rPr>
          <w:rFonts w:ascii="宋体" w:hAnsi="宋体" w:cs="宋体"/>
          <w:bCs/>
          <w:smallCaps/>
          <w:color w:val="000000"/>
          <w:kern w:val="0"/>
          <w:sz w:val="24"/>
          <w:szCs w:val="20"/>
        </w:rPr>
        <w:t>送出的，自</w:t>
      </w:r>
      <w:r>
        <w:rPr>
          <w:rFonts w:hint="eastAsia" w:ascii="宋体" w:hAnsi="宋体" w:cs="宋体"/>
          <w:bCs/>
          <w:smallCaps/>
          <w:color w:val="000000"/>
          <w:kern w:val="0"/>
          <w:sz w:val="24"/>
          <w:szCs w:val="20"/>
        </w:rPr>
        <w:t>寄送</w:t>
      </w:r>
      <w:r>
        <w:rPr>
          <w:rFonts w:ascii="宋体" w:hAnsi="宋体" w:cs="宋体"/>
          <w:bCs/>
          <w:smallCaps/>
          <w:color w:val="000000"/>
          <w:kern w:val="0"/>
          <w:sz w:val="24"/>
          <w:szCs w:val="20"/>
        </w:rPr>
        <w:t>之日起第</w:t>
      </w:r>
      <w:r>
        <w:rPr>
          <w:rFonts w:hint="eastAsia" w:ascii="宋体" w:hAnsi="宋体" w:cs="宋体"/>
          <w:bCs/>
          <w:smallCaps/>
          <w:color w:val="000000"/>
          <w:kern w:val="0"/>
          <w:sz w:val="24"/>
          <w:szCs w:val="20"/>
        </w:rPr>
        <w:t>五</w:t>
      </w:r>
      <w:r>
        <w:rPr>
          <w:rFonts w:ascii="宋体" w:hAnsi="宋体" w:cs="宋体"/>
          <w:bCs/>
          <w:smallCaps/>
          <w:color w:val="000000"/>
          <w:kern w:val="0"/>
          <w:sz w:val="24"/>
          <w:szCs w:val="20"/>
        </w:rPr>
        <w:t>个工作日为送达日期；</w:t>
      </w:r>
      <w:r>
        <w:rPr>
          <w:rFonts w:hint="eastAsia"/>
          <w:sz w:val="24"/>
        </w:rPr>
        <w:t>本行通知以电子邮件送出的，自发出电子邮件之日起第二个工作日为送达日期；</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通知以公告方式送出的，第一次公告刊登日为送达日期</w:t>
      </w:r>
      <w:r>
        <w:rPr>
          <w:rFonts w:hint="eastAsia" w:ascii="宋体" w:hAnsi="宋体" w:cs="宋体"/>
          <w:bCs/>
          <w:smallCaps/>
          <w:color w:val="000000"/>
          <w:kern w:val="0"/>
          <w:sz w:val="24"/>
          <w:szCs w:val="20"/>
        </w:rPr>
        <w:t>；</w:t>
      </w:r>
      <w:r>
        <w:rPr>
          <w:rFonts w:hint="eastAsia"/>
          <w:sz w:val="24"/>
        </w:rPr>
        <w:t>本行通知以传真方式送出的，传真当日为送达日期。</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因意外遗漏未向某有权得到通知的人送出会议通知或者该等人没有收到会议通知，会议及会议作出的决议并不因此无效。</w:t>
      </w:r>
    </w:p>
    <w:p>
      <w:pPr>
        <w:widowControl/>
        <w:spacing w:before="100" w:beforeAutospacing="1" w:after="100" w:afterAutospacing="1" w:line="320" w:lineRule="exact"/>
        <w:jc w:val="center"/>
        <w:outlineLvl w:val="1"/>
        <w:rPr>
          <w:rFonts w:ascii="宋体" w:hAnsi="宋体" w:cs="宋体"/>
          <w:b/>
          <w:bCs/>
          <w:smallCaps/>
          <w:color w:val="000000"/>
          <w:kern w:val="0"/>
          <w:sz w:val="24"/>
        </w:rPr>
      </w:pPr>
      <w:bookmarkStart w:id="87" w:name="_Toc41895470"/>
      <w:bookmarkStart w:id="88" w:name="_Toc30271"/>
      <w:bookmarkStart w:id="89" w:name="_Toc5482"/>
      <w:r>
        <w:rPr>
          <w:rFonts w:ascii="宋体" w:hAnsi="宋体" w:cs="宋体"/>
          <w:b/>
          <w:bCs/>
          <w:smallCaps/>
          <w:color w:val="000000"/>
          <w:kern w:val="0"/>
          <w:sz w:val="24"/>
        </w:rPr>
        <w:t>第二节　公告</w:t>
      </w:r>
      <w:bookmarkEnd w:id="87"/>
      <w:bookmarkEnd w:id="88"/>
      <w:bookmarkEnd w:id="89"/>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本行在《中国证券报》《上海证券报》《证券日报》《证券时报》其中一份或数份报纸和上海证券交易所网站刊登本行公告</w:t>
      </w:r>
      <w:r>
        <w:rPr>
          <w:rFonts w:ascii="宋体" w:hAnsi="宋体" w:cs="宋体"/>
          <w:bCs/>
          <w:smallCaps/>
          <w:color w:val="000000"/>
          <w:kern w:val="0"/>
          <w:sz w:val="24"/>
          <w:szCs w:val="20"/>
        </w:rPr>
        <w:t>和其他需要披露</w:t>
      </w:r>
      <w:r>
        <w:rPr>
          <w:rFonts w:hint="eastAsia" w:ascii="宋体" w:hAnsi="宋体" w:cs="宋体"/>
          <w:bCs/>
          <w:smallCaps/>
          <w:color w:val="000000"/>
          <w:kern w:val="0"/>
          <w:sz w:val="24"/>
          <w:szCs w:val="20"/>
        </w:rPr>
        <w:t>的</w:t>
      </w:r>
      <w:r>
        <w:rPr>
          <w:rFonts w:ascii="宋体" w:hAnsi="宋体" w:cs="宋体"/>
          <w:bCs/>
          <w:smallCaps/>
          <w:color w:val="000000"/>
          <w:kern w:val="0"/>
          <w:sz w:val="24"/>
          <w:szCs w:val="20"/>
        </w:rPr>
        <w:t>信息。</w:t>
      </w:r>
    </w:p>
    <w:p>
      <w:pPr>
        <w:widowControl/>
        <w:numPr>
          <w:ilvl w:val="0"/>
          <w:numId w:val="1"/>
        </w:numPr>
        <w:tabs>
          <w:tab w:val="left" w:pos="0"/>
          <w:tab w:val="clear" w:pos="1440"/>
        </w:tabs>
        <w:spacing w:before="100" w:beforeAutospacing="1" w:after="100" w:afterAutospacing="1" w:line="320" w:lineRule="exact"/>
        <w:ind w:left="0" w:firstLine="0"/>
        <w:jc w:val="center"/>
        <w:outlineLvl w:val="0"/>
        <w:rPr>
          <w:rFonts w:ascii="宋体" w:hAnsi="宋体" w:cs="宋体"/>
          <w:b/>
          <w:bCs/>
          <w:smallCaps/>
          <w:color w:val="000000"/>
          <w:kern w:val="0"/>
          <w:sz w:val="24"/>
        </w:rPr>
      </w:pPr>
      <w:bookmarkStart w:id="90" w:name="_Toc570"/>
      <w:bookmarkStart w:id="91" w:name="_Toc10114"/>
      <w:bookmarkStart w:id="92" w:name="_Toc41895471"/>
      <w:r>
        <w:rPr>
          <w:rFonts w:ascii="宋体" w:hAnsi="宋体" w:cs="宋体"/>
          <w:b/>
          <w:bCs/>
          <w:smallCaps/>
          <w:color w:val="000000"/>
          <w:kern w:val="0"/>
          <w:sz w:val="24"/>
        </w:rPr>
        <w:t>合并、分立、</w:t>
      </w:r>
      <w:r>
        <w:rPr>
          <w:rFonts w:hint="eastAsia" w:ascii="宋体" w:hAnsi="宋体" w:cs="宋体"/>
          <w:b/>
          <w:bCs/>
          <w:smallCaps/>
          <w:color w:val="000000"/>
          <w:kern w:val="0"/>
          <w:sz w:val="24"/>
        </w:rPr>
        <w:t>增资、减资、</w:t>
      </w:r>
      <w:r>
        <w:rPr>
          <w:rFonts w:ascii="宋体" w:hAnsi="宋体" w:cs="宋体"/>
          <w:b/>
          <w:bCs/>
          <w:smallCaps/>
          <w:color w:val="000000"/>
          <w:kern w:val="0"/>
          <w:sz w:val="24"/>
        </w:rPr>
        <w:t>解散和清算</w:t>
      </w:r>
      <w:bookmarkEnd w:id="90"/>
      <w:bookmarkEnd w:id="91"/>
      <w:bookmarkEnd w:id="92"/>
    </w:p>
    <w:p>
      <w:pPr>
        <w:widowControl/>
        <w:spacing w:before="100" w:beforeAutospacing="1" w:after="100" w:afterAutospacing="1" w:line="320" w:lineRule="exact"/>
        <w:jc w:val="center"/>
        <w:outlineLvl w:val="1"/>
        <w:rPr>
          <w:rFonts w:ascii="宋体" w:hAnsi="宋体" w:cs="宋体"/>
          <w:b/>
          <w:bCs/>
          <w:smallCaps/>
          <w:color w:val="000000"/>
          <w:kern w:val="0"/>
          <w:sz w:val="24"/>
        </w:rPr>
      </w:pPr>
      <w:bookmarkStart w:id="93" w:name="_Toc25782"/>
      <w:bookmarkStart w:id="94" w:name="_Toc24481"/>
      <w:bookmarkStart w:id="95" w:name="_Toc41895472"/>
      <w:r>
        <w:rPr>
          <w:rFonts w:ascii="宋体" w:hAnsi="宋体" w:cs="宋体"/>
          <w:b/>
          <w:bCs/>
          <w:smallCaps/>
          <w:color w:val="000000"/>
          <w:kern w:val="0"/>
          <w:sz w:val="24"/>
        </w:rPr>
        <w:t>第一节　合并</w:t>
      </w:r>
      <w:r>
        <w:rPr>
          <w:rFonts w:hint="eastAsia" w:ascii="宋体" w:hAnsi="宋体" w:cs="宋体"/>
          <w:b/>
          <w:bCs/>
          <w:smallCaps/>
          <w:color w:val="000000"/>
          <w:kern w:val="0"/>
          <w:sz w:val="24"/>
        </w:rPr>
        <w:t>、</w:t>
      </w:r>
      <w:r>
        <w:rPr>
          <w:rFonts w:ascii="宋体" w:hAnsi="宋体" w:cs="宋体"/>
          <w:b/>
          <w:bCs/>
          <w:smallCaps/>
          <w:color w:val="000000"/>
          <w:kern w:val="0"/>
          <w:sz w:val="24"/>
        </w:rPr>
        <w:t>分立</w:t>
      </w:r>
      <w:r>
        <w:rPr>
          <w:rFonts w:hint="eastAsia" w:ascii="宋体" w:hAnsi="宋体" w:cs="宋体"/>
          <w:b/>
          <w:bCs/>
          <w:smallCaps/>
          <w:color w:val="000000"/>
          <w:kern w:val="0"/>
          <w:sz w:val="24"/>
        </w:rPr>
        <w:t>、增资和减资</w:t>
      </w:r>
      <w:bookmarkEnd w:id="93"/>
      <w:bookmarkEnd w:id="94"/>
      <w:bookmarkEnd w:id="95"/>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本行合并可以釆取吸收合并或者新设合并。</w:t>
      </w:r>
    </w:p>
    <w:p>
      <w:pPr>
        <w:widowControl/>
        <w:spacing w:line="320" w:lineRule="exact"/>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一个公司吸收其他公司为吸收合并，被吸收的公司解散。两个以上公司合并设立一个新的公司为新设合并，合并各方解散。</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本行合并，应当由合并各方签订合并协议，并编制资产负债表及财产清单。本行应当自作出合并决议之日起10日内通知债权人，并于30日内在在本行指定的刊登公告的媒体上公告。</w:t>
      </w:r>
    </w:p>
    <w:p>
      <w:pPr>
        <w:widowControl/>
        <w:tabs>
          <w:tab w:val="left" w:pos="1920"/>
        </w:tabs>
        <w:spacing w:line="320" w:lineRule="exact"/>
        <w:ind w:firstLine="480" w:firstLineChars="200"/>
        <w:jc w:val="left"/>
        <w:rPr>
          <w:rFonts w:ascii="宋体" w:hAnsi="宋体" w:cs="宋体"/>
          <w:color w:val="000000"/>
          <w:kern w:val="0"/>
          <w:sz w:val="24"/>
        </w:rPr>
      </w:pPr>
      <w:r>
        <w:rPr>
          <w:rFonts w:hint="eastAsia" w:ascii="宋体" w:hAnsi="宋体" w:cs="宋体"/>
          <w:bCs/>
          <w:smallCaps/>
          <w:color w:val="000000"/>
          <w:kern w:val="0"/>
          <w:sz w:val="24"/>
          <w:szCs w:val="20"/>
        </w:rPr>
        <w:t>债权人自接到通知书之日起30日内，未接到通知书的自公告之日起45日内，可以要求本行清偿债务或者提供相应的担保。</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本行合并时，合并各方的债权、债务，由合并后存续的公司或者新设的公司承继。</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本行分立，其财产作相应的分割。</w:t>
      </w:r>
    </w:p>
    <w:p>
      <w:pPr>
        <w:widowControl/>
        <w:tabs>
          <w:tab w:val="left" w:pos="1920"/>
        </w:tabs>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本行分立，应当编制资产负债表及财产清单。本行应当自作出分立决议之日起10日内通知债权人，并于30日内在本行指定的刊登公告的媒体上公告。</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本行分立前的债务由分立后的公司承担连带责任。但是，公司在分立前与债权人就债务清偿达成的书面协议另有约定的除外。</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w:t>
      </w:r>
      <w:r>
        <w:rPr>
          <w:rFonts w:ascii="宋体" w:hAnsi="宋体" w:cs="宋体"/>
          <w:bCs/>
          <w:smallCaps/>
          <w:color w:val="000000"/>
          <w:kern w:val="0"/>
          <w:sz w:val="24"/>
          <w:szCs w:val="20"/>
        </w:rPr>
        <w:t>需要减少注册资本时</w:t>
      </w:r>
      <w:r>
        <w:rPr>
          <w:rFonts w:hint="eastAsia" w:ascii="宋体" w:hAnsi="宋体" w:cs="宋体"/>
          <w:bCs/>
          <w:smallCaps/>
          <w:color w:val="000000"/>
          <w:kern w:val="0"/>
          <w:sz w:val="24"/>
          <w:szCs w:val="20"/>
        </w:rPr>
        <w:t>，</w:t>
      </w:r>
      <w:r>
        <w:rPr>
          <w:rFonts w:ascii="宋体" w:hAnsi="宋体" w:cs="宋体"/>
          <w:bCs/>
          <w:smallCaps/>
          <w:color w:val="000000"/>
          <w:kern w:val="0"/>
          <w:sz w:val="24"/>
          <w:szCs w:val="20"/>
        </w:rPr>
        <w:t>必须编制资产负债表及财产清单。</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应当自作出减少注册资本决议之日起</w:t>
      </w:r>
      <w:r>
        <w:rPr>
          <w:rFonts w:hint="eastAsia" w:ascii="宋体" w:hAnsi="宋体" w:cs="宋体"/>
          <w:bCs/>
          <w:smallCaps/>
          <w:color w:val="000000"/>
          <w:kern w:val="0"/>
          <w:sz w:val="24"/>
          <w:szCs w:val="20"/>
        </w:rPr>
        <w:t>十</w:t>
      </w:r>
      <w:r>
        <w:rPr>
          <w:rFonts w:ascii="宋体" w:hAnsi="宋体" w:cs="宋体"/>
          <w:bCs/>
          <w:smallCaps/>
          <w:color w:val="000000"/>
          <w:kern w:val="0"/>
          <w:sz w:val="24"/>
          <w:szCs w:val="20"/>
        </w:rPr>
        <w:t>日内通知债权人</w:t>
      </w:r>
      <w:r>
        <w:rPr>
          <w:rFonts w:hint="eastAsia" w:ascii="宋体" w:hAnsi="宋体" w:cs="宋体"/>
          <w:bCs/>
          <w:smallCaps/>
          <w:color w:val="000000"/>
          <w:kern w:val="0"/>
          <w:sz w:val="24"/>
          <w:szCs w:val="20"/>
        </w:rPr>
        <w:t>，</w:t>
      </w:r>
      <w:r>
        <w:rPr>
          <w:rFonts w:ascii="宋体" w:hAnsi="宋体" w:cs="宋体"/>
          <w:bCs/>
          <w:smallCaps/>
          <w:color w:val="000000"/>
          <w:kern w:val="0"/>
          <w:sz w:val="24"/>
          <w:szCs w:val="20"/>
        </w:rPr>
        <w:t>并于</w:t>
      </w:r>
      <w:r>
        <w:rPr>
          <w:rFonts w:hint="eastAsia" w:ascii="宋体" w:hAnsi="宋体" w:cs="宋体"/>
          <w:bCs/>
          <w:smallCaps/>
          <w:color w:val="000000"/>
          <w:kern w:val="0"/>
          <w:sz w:val="24"/>
          <w:szCs w:val="20"/>
        </w:rPr>
        <w:t>三十</w:t>
      </w:r>
      <w:r>
        <w:rPr>
          <w:rFonts w:ascii="宋体" w:hAnsi="宋体" w:cs="宋体"/>
          <w:bCs/>
          <w:smallCaps/>
          <w:color w:val="000000"/>
          <w:kern w:val="0"/>
          <w:sz w:val="24"/>
          <w:szCs w:val="20"/>
        </w:rPr>
        <w:t>日内在</w:t>
      </w:r>
      <w:r>
        <w:rPr>
          <w:rFonts w:hint="eastAsia" w:ascii="宋体" w:hAnsi="宋体" w:cs="宋体"/>
          <w:bCs/>
          <w:smallCaps/>
          <w:color w:val="000000"/>
          <w:kern w:val="0"/>
          <w:sz w:val="24"/>
          <w:szCs w:val="20"/>
        </w:rPr>
        <w:t>本行指定的刊登公告的媒体上</w:t>
      </w:r>
      <w:r>
        <w:rPr>
          <w:rFonts w:ascii="宋体" w:hAnsi="宋体" w:cs="宋体"/>
          <w:bCs/>
          <w:smallCaps/>
          <w:color w:val="000000"/>
          <w:kern w:val="0"/>
          <w:sz w:val="24"/>
          <w:szCs w:val="20"/>
        </w:rPr>
        <w:t>公告。债权人自接到通知书之日起</w:t>
      </w:r>
      <w:r>
        <w:rPr>
          <w:rFonts w:hint="eastAsia" w:ascii="宋体" w:hAnsi="宋体" w:cs="宋体"/>
          <w:bCs/>
          <w:smallCaps/>
          <w:color w:val="000000"/>
          <w:kern w:val="0"/>
          <w:sz w:val="24"/>
          <w:szCs w:val="20"/>
        </w:rPr>
        <w:t>三十</w:t>
      </w:r>
      <w:r>
        <w:rPr>
          <w:rFonts w:ascii="宋体" w:hAnsi="宋体" w:cs="宋体"/>
          <w:bCs/>
          <w:smallCaps/>
          <w:color w:val="000000"/>
          <w:kern w:val="0"/>
          <w:sz w:val="24"/>
          <w:szCs w:val="20"/>
        </w:rPr>
        <w:t>日内</w:t>
      </w:r>
      <w:r>
        <w:rPr>
          <w:rFonts w:hint="eastAsia" w:ascii="宋体" w:hAnsi="宋体" w:cs="宋体"/>
          <w:bCs/>
          <w:smallCaps/>
          <w:color w:val="000000"/>
          <w:kern w:val="0"/>
          <w:sz w:val="24"/>
          <w:szCs w:val="20"/>
        </w:rPr>
        <w:t>，</w:t>
      </w:r>
      <w:r>
        <w:rPr>
          <w:rFonts w:ascii="宋体" w:hAnsi="宋体" w:cs="宋体"/>
          <w:bCs/>
          <w:smallCaps/>
          <w:color w:val="000000"/>
          <w:kern w:val="0"/>
          <w:sz w:val="24"/>
          <w:szCs w:val="20"/>
        </w:rPr>
        <w:t>未接到通知书的自公告之日起</w:t>
      </w:r>
      <w:r>
        <w:rPr>
          <w:rFonts w:hint="eastAsia" w:ascii="宋体" w:hAnsi="宋体" w:cs="宋体"/>
          <w:bCs/>
          <w:smallCaps/>
          <w:color w:val="000000"/>
          <w:kern w:val="0"/>
          <w:sz w:val="24"/>
          <w:szCs w:val="20"/>
        </w:rPr>
        <w:t>四十五</w:t>
      </w:r>
      <w:r>
        <w:rPr>
          <w:rFonts w:ascii="宋体" w:hAnsi="宋体" w:cs="宋体"/>
          <w:bCs/>
          <w:smallCaps/>
          <w:color w:val="000000"/>
          <w:kern w:val="0"/>
          <w:sz w:val="24"/>
          <w:szCs w:val="20"/>
        </w:rPr>
        <w:t>日内</w:t>
      </w:r>
      <w:r>
        <w:rPr>
          <w:rFonts w:hint="eastAsia" w:ascii="宋体" w:hAnsi="宋体" w:cs="宋体"/>
          <w:bCs/>
          <w:smallCaps/>
          <w:color w:val="000000"/>
          <w:kern w:val="0"/>
          <w:sz w:val="24"/>
          <w:szCs w:val="20"/>
        </w:rPr>
        <w:t>，</w:t>
      </w:r>
      <w:r>
        <w:rPr>
          <w:rFonts w:ascii="宋体" w:hAnsi="宋体" w:cs="宋体"/>
          <w:bCs/>
          <w:smallCaps/>
          <w:color w:val="000000"/>
          <w:kern w:val="0"/>
          <w:sz w:val="24"/>
          <w:szCs w:val="20"/>
        </w:rPr>
        <w:t>有权要求</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清偿债务或者提供相应的担保。</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减资后的注册资本应不低于法定的最低限额。</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w:t>
      </w:r>
      <w:r>
        <w:rPr>
          <w:rFonts w:ascii="宋体" w:hAnsi="宋体" w:cs="宋体"/>
          <w:bCs/>
          <w:smallCaps/>
          <w:color w:val="000000"/>
          <w:kern w:val="0"/>
          <w:sz w:val="24"/>
          <w:szCs w:val="20"/>
        </w:rPr>
        <w:t>合并或者分立，登记事项发生变更的，依法向公司登记机关办理变更登记；</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解散的，依法办理公司注销登记；设立新公司的，依法办理公司设立登记。</w:t>
      </w:r>
    </w:p>
    <w:p>
      <w:pPr>
        <w:widowControl/>
        <w:spacing w:line="320" w:lineRule="exact"/>
        <w:ind w:left="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本行增加或者减少注册资本，应当依法向本行登记机关办理变更登记。</w:t>
      </w:r>
    </w:p>
    <w:p>
      <w:pPr>
        <w:widowControl/>
        <w:spacing w:before="100" w:beforeAutospacing="1" w:after="100" w:afterAutospacing="1" w:line="320" w:lineRule="exact"/>
        <w:jc w:val="center"/>
        <w:outlineLvl w:val="1"/>
        <w:rPr>
          <w:rFonts w:ascii="宋体" w:hAnsi="宋体" w:cs="宋体"/>
          <w:b/>
          <w:bCs/>
          <w:smallCaps/>
          <w:color w:val="000000"/>
          <w:kern w:val="0"/>
          <w:sz w:val="24"/>
        </w:rPr>
      </w:pPr>
      <w:bookmarkStart w:id="96" w:name="_Toc30868"/>
      <w:bookmarkStart w:id="97" w:name="_Toc41895473"/>
      <w:bookmarkStart w:id="98" w:name="_Toc19292"/>
      <w:r>
        <w:rPr>
          <w:rFonts w:ascii="宋体" w:hAnsi="宋体" w:cs="宋体"/>
          <w:b/>
          <w:bCs/>
          <w:smallCaps/>
          <w:color w:val="000000"/>
          <w:kern w:val="0"/>
          <w:sz w:val="24"/>
        </w:rPr>
        <w:t>第二节　解散和清算</w:t>
      </w:r>
      <w:bookmarkEnd w:id="96"/>
      <w:bookmarkEnd w:id="97"/>
      <w:bookmarkEnd w:id="98"/>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本行因下列原因解散：</w:t>
      </w:r>
    </w:p>
    <w:p>
      <w:pPr>
        <w:widowControl/>
        <w:tabs>
          <w:tab w:val="left" w:pos="1920"/>
        </w:tabs>
        <w:spacing w:line="320" w:lineRule="exact"/>
        <w:ind w:left="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（一）股东大会决议解散；</w:t>
      </w:r>
    </w:p>
    <w:p>
      <w:pPr>
        <w:widowControl/>
        <w:tabs>
          <w:tab w:val="left" w:pos="1920"/>
        </w:tabs>
        <w:spacing w:line="320" w:lineRule="exact"/>
        <w:ind w:left="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（二）因本行合并或者分立需要解散；</w:t>
      </w:r>
    </w:p>
    <w:p>
      <w:pPr>
        <w:widowControl/>
        <w:tabs>
          <w:tab w:val="left" w:pos="1920"/>
        </w:tabs>
        <w:spacing w:line="320" w:lineRule="exact"/>
        <w:ind w:left="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（三）依法被吊销营业执照、责令关闭或者被撤销；</w:t>
      </w:r>
    </w:p>
    <w:p>
      <w:pPr>
        <w:widowControl/>
        <w:tabs>
          <w:tab w:val="left" w:pos="1920"/>
        </w:tabs>
        <w:spacing w:line="320" w:lineRule="exact"/>
        <w:ind w:firstLine="480" w:firstLineChars="200"/>
        <w:jc w:val="left"/>
        <w:rPr>
          <w:rFonts w:ascii="宋体" w:hAnsi="宋体" w:cs="宋体"/>
          <w:color w:val="000000"/>
          <w:kern w:val="0"/>
          <w:sz w:val="24"/>
        </w:rPr>
      </w:pPr>
      <w:r>
        <w:rPr>
          <w:rFonts w:hint="eastAsia" w:ascii="宋体" w:hAnsi="宋体" w:cs="宋体"/>
          <w:bCs/>
          <w:smallCaps/>
          <w:color w:val="000000"/>
          <w:kern w:val="0"/>
          <w:sz w:val="24"/>
          <w:szCs w:val="20"/>
        </w:rPr>
        <w:t>（四）本行经营管理发生严重困难，继续存续会使股东利益受到重大损失，通过其他途径不能解决的，持有本行全部股东表决权10%以上的股东，可以请求人民法院解散公司。</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因本章程第二百一十条第（一）项、第（三）项、第（四）项规定而解散的，应当在解散事由出现之日起15日内成立清算组，开始清算。清算组由董事或者股东大会确定的人员组成。逾期不成立清算组进行清算的，债权人可以申请人民法院指定有关人员组成清算组进行清算。</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清算组在清算期间行使下列职权：</w:t>
      </w:r>
    </w:p>
    <w:p>
      <w:pPr>
        <w:widowControl/>
        <w:tabs>
          <w:tab w:val="left" w:pos="1920"/>
        </w:tabs>
        <w:spacing w:line="320" w:lineRule="exact"/>
        <w:ind w:left="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（一）清理本行财产，分别编制资产负债表和财产清单；</w:t>
      </w:r>
    </w:p>
    <w:p>
      <w:pPr>
        <w:widowControl/>
        <w:tabs>
          <w:tab w:val="left" w:pos="1920"/>
        </w:tabs>
        <w:spacing w:line="320" w:lineRule="exact"/>
        <w:ind w:left="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（二）通知、公告债权人；</w:t>
      </w:r>
    </w:p>
    <w:p>
      <w:pPr>
        <w:widowControl/>
        <w:tabs>
          <w:tab w:val="left" w:pos="1920"/>
        </w:tabs>
        <w:spacing w:line="320" w:lineRule="exact"/>
        <w:ind w:left="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（三）处理与清算有关的本行未了结的业务；</w:t>
      </w:r>
    </w:p>
    <w:p>
      <w:pPr>
        <w:widowControl/>
        <w:tabs>
          <w:tab w:val="left" w:pos="1920"/>
        </w:tabs>
        <w:spacing w:line="320" w:lineRule="exact"/>
        <w:ind w:left="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（四）清缴所欠税款以及清算过程中产生的税款；</w:t>
      </w:r>
    </w:p>
    <w:p>
      <w:pPr>
        <w:widowControl/>
        <w:tabs>
          <w:tab w:val="left" w:pos="1920"/>
        </w:tabs>
        <w:spacing w:line="320" w:lineRule="exact"/>
        <w:ind w:left="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（五）清理债权、债务；</w:t>
      </w:r>
    </w:p>
    <w:p>
      <w:pPr>
        <w:widowControl/>
        <w:tabs>
          <w:tab w:val="left" w:pos="1920"/>
        </w:tabs>
        <w:spacing w:line="320" w:lineRule="exact"/>
        <w:ind w:left="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（六）处理本行清偿债务后的剩余财产；</w:t>
      </w:r>
    </w:p>
    <w:p>
      <w:pPr>
        <w:widowControl/>
        <w:tabs>
          <w:tab w:val="left" w:pos="1920"/>
        </w:tabs>
        <w:spacing w:line="320" w:lineRule="exact"/>
        <w:ind w:left="480"/>
        <w:jc w:val="left"/>
        <w:rPr>
          <w:rFonts w:ascii="宋体" w:hAnsi="宋体" w:cs="宋体"/>
          <w:color w:val="000000"/>
          <w:kern w:val="0"/>
          <w:sz w:val="24"/>
        </w:rPr>
      </w:pPr>
      <w:r>
        <w:rPr>
          <w:rFonts w:hint="eastAsia" w:ascii="宋体" w:hAnsi="宋体" w:cs="宋体"/>
          <w:bCs/>
          <w:smallCaps/>
          <w:color w:val="000000"/>
          <w:kern w:val="0"/>
          <w:sz w:val="24"/>
          <w:szCs w:val="20"/>
        </w:rPr>
        <w:t>（七）代表本行参与民事诉讼活动。</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清算组应当自成立之日起10日内通知债权人，并于60日内在本行指定的刊登公告的媒体上公告。债权人应当自接到通知书之日起30日内，未接到通知书的自公告之日起45日内，向清算组申报其债权。</w:t>
      </w:r>
    </w:p>
    <w:p>
      <w:pPr>
        <w:widowControl/>
        <w:tabs>
          <w:tab w:val="left" w:pos="1920"/>
        </w:tabs>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债权人申报债权，应当说明债权的有关事项，并提供证明材料。清算组应当对债权进行登记。</w:t>
      </w:r>
    </w:p>
    <w:p>
      <w:pPr>
        <w:widowControl/>
        <w:tabs>
          <w:tab w:val="left" w:pos="1920"/>
        </w:tabs>
        <w:spacing w:line="320" w:lineRule="exact"/>
        <w:ind w:left="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在申报债权期间，清算组不得对债权人进行清偿。</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清算组在清理</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财产、编制资产负债表和财产清单后，应当制定清算方案，并报股东大会或者</w:t>
      </w:r>
      <w:r>
        <w:rPr>
          <w:rFonts w:hint="eastAsia" w:ascii="宋体" w:hAnsi="宋体" w:cs="宋体"/>
          <w:bCs/>
          <w:smallCaps/>
          <w:color w:val="000000"/>
          <w:kern w:val="0"/>
          <w:sz w:val="24"/>
          <w:szCs w:val="20"/>
        </w:rPr>
        <w:t>人民法院</w:t>
      </w:r>
      <w:r>
        <w:rPr>
          <w:rFonts w:ascii="宋体" w:hAnsi="宋体" w:cs="宋体"/>
          <w:bCs/>
          <w:smallCaps/>
          <w:color w:val="000000"/>
          <w:kern w:val="0"/>
          <w:sz w:val="24"/>
          <w:szCs w:val="20"/>
        </w:rPr>
        <w:t>确认。</w:t>
      </w:r>
    </w:p>
    <w:p>
      <w:pPr>
        <w:widowControl/>
        <w:tabs>
          <w:tab w:val="left" w:pos="1920"/>
        </w:tabs>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本行财产在分别支付清算费用、职工的工资、社会保险费用和法定补偿金，缴纳所欠税款，清偿本行债务后的剩余财产，本行按照股东持有的股份比例分配。</w:t>
      </w:r>
    </w:p>
    <w:p>
      <w:pPr>
        <w:widowControl/>
        <w:tabs>
          <w:tab w:val="left" w:pos="1920"/>
        </w:tabs>
        <w:spacing w:line="320" w:lineRule="exact"/>
        <w:ind w:left="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清算期间，本行存续，但不能开展与清算无关的经营活动。</w:t>
      </w:r>
    </w:p>
    <w:p>
      <w:pPr>
        <w:widowControl/>
        <w:tabs>
          <w:tab w:val="left" w:pos="1920"/>
        </w:tabs>
        <w:spacing w:line="320" w:lineRule="exact"/>
        <w:ind w:left="48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本行财产在未按前款规定清偿前，将不会分配给股东。</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清算组在清理</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财产、编制资产负债表和财产清单后，</w:t>
      </w:r>
      <w:r>
        <w:rPr>
          <w:rFonts w:hint="eastAsia" w:ascii="宋体" w:hAnsi="宋体" w:cs="宋体"/>
          <w:bCs/>
          <w:smallCaps/>
          <w:color w:val="000000"/>
          <w:kern w:val="0"/>
          <w:sz w:val="24"/>
          <w:szCs w:val="20"/>
        </w:rPr>
        <w:t>发现本行</w:t>
      </w:r>
      <w:r>
        <w:rPr>
          <w:rFonts w:ascii="宋体" w:hAnsi="宋体" w:cs="宋体"/>
          <w:bCs/>
          <w:smallCaps/>
          <w:color w:val="000000"/>
          <w:kern w:val="0"/>
          <w:sz w:val="24"/>
          <w:szCs w:val="20"/>
        </w:rPr>
        <w:t>财产不足清偿债务的，应当向人民法院申请宣告破产。</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经人民法院裁定宣告破产后，清算组应当将清算事务移交给人民法院。</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本行清算结束后，清算组应当制作清算报告，报股东大会或者人民法院确认，并报送公司登记机关，申请注销本行登记，公告本行终止。</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清算组</w:t>
      </w:r>
      <w:r>
        <w:rPr>
          <w:rFonts w:hint="eastAsia" w:ascii="宋体" w:hAnsi="宋体" w:cs="宋体"/>
          <w:bCs/>
          <w:smallCaps/>
          <w:color w:val="000000"/>
          <w:kern w:val="0"/>
          <w:sz w:val="24"/>
          <w:szCs w:val="20"/>
        </w:rPr>
        <w:t>成员</w:t>
      </w:r>
      <w:r>
        <w:rPr>
          <w:rFonts w:ascii="宋体" w:hAnsi="宋体" w:cs="宋体"/>
          <w:bCs/>
          <w:smallCaps/>
          <w:color w:val="000000"/>
          <w:kern w:val="0"/>
          <w:sz w:val="24"/>
          <w:szCs w:val="20"/>
        </w:rPr>
        <w:t>应当忠于职守，依法履行清算义务</w:t>
      </w:r>
      <w:r>
        <w:rPr>
          <w:rFonts w:hint="eastAsia" w:ascii="宋体" w:hAnsi="宋体" w:cs="宋体"/>
          <w:bCs/>
          <w:smallCaps/>
          <w:color w:val="000000"/>
          <w:kern w:val="0"/>
          <w:sz w:val="24"/>
          <w:szCs w:val="20"/>
        </w:rPr>
        <w:t>。</w:t>
      </w:r>
    </w:p>
    <w:p>
      <w:pPr>
        <w:widowControl/>
        <w:tabs>
          <w:tab w:val="left" w:pos="1920"/>
        </w:tabs>
        <w:spacing w:line="320" w:lineRule="exact"/>
        <w:ind w:firstLine="480" w:firstLineChars="200"/>
        <w:jc w:val="left"/>
        <w:rPr>
          <w:rFonts w:ascii="宋体" w:hAnsi="宋体" w:cs="宋体"/>
          <w:bCs/>
          <w:smallCaps/>
          <w:color w:val="000000"/>
          <w:kern w:val="0"/>
          <w:sz w:val="24"/>
          <w:szCs w:val="20"/>
        </w:rPr>
      </w:pPr>
      <w:r>
        <w:rPr>
          <w:rFonts w:ascii="宋体" w:hAnsi="宋体" w:cs="宋体"/>
          <w:bCs/>
          <w:smallCaps/>
          <w:color w:val="000000"/>
          <w:kern w:val="0"/>
          <w:sz w:val="24"/>
          <w:szCs w:val="20"/>
        </w:rPr>
        <w:t>清算组成员不得利用职权收受贿赂或者其他非法收入，不得侵占</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财产。</w:t>
      </w:r>
    </w:p>
    <w:p>
      <w:pPr>
        <w:widowControl/>
        <w:spacing w:line="320" w:lineRule="exact"/>
        <w:ind w:firstLine="480" w:firstLineChars="200"/>
        <w:jc w:val="left"/>
        <w:rPr>
          <w:rFonts w:ascii="宋体" w:hAnsi="宋体" w:cs="宋体"/>
          <w:bCs/>
          <w:smallCaps/>
          <w:color w:val="000000"/>
          <w:kern w:val="0"/>
          <w:sz w:val="24"/>
          <w:szCs w:val="20"/>
        </w:rPr>
      </w:pPr>
      <w:r>
        <w:rPr>
          <w:rFonts w:ascii="宋体" w:hAnsi="宋体" w:cs="宋体"/>
          <w:bCs/>
          <w:smallCaps/>
          <w:color w:val="000000"/>
          <w:kern w:val="0"/>
          <w:sz w:val="24"/>
          <w:szCs w:val="20"/>
        </w:rPr>
        <w:t>清算组</w:t>
      </w:r>
      <w:r>
        <w:rPr>
          <w:rFonts w:hint="eastAsia" w:ascii="宋体" w:hAnsi="宋体" w:cs="宋体"/>
          <w:bCs/>
          <w:smallCaps/>
          <w:color w:val="000000"/>
          <w:kern w:val="0"/>
          <w:sz w:val="24"/>
          <w:szCs w:val="20"/>
        </w:rPr>
        <w:t>成员</w:t>
      </w:r>
      <w:r>
        <w:rPr>
          <w:rFonts w:ascii="宋体" w:hAnsi="宋体" w:cs="宋体"/>
          <w:bCs/>
          <w:smallCaps/>
          <w:color w:val="000000"/>
          <w:kern w:val="0"/>
          <w:sz w:val="24"/>
          <w:szCs w:val="20"/>
        </w:rPr>
        <w:t>因故意或者重大过失给</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或者债权人造成损失的，应当承担赔偿责任。</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本行被依法宣告破产的，依照有关企业破产的法律实施破产清算。</w:t>
      </w:r>
    </w:p>
    <w:p>
      <w:pPr>
        <w:widowControl/>
        <w:numPr>
          <w:ilvl w:val="0"/>
          <w:numId w:val="2"/>
        </w:numPr>
        <w:spacing w:line="320" w:lineRule="exact"/>
        <w:ind w:firstLine="482"/>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如本行被</w:t>
      </w:r>
      <w:r>
        <w:rPr>
          <w:rFonts w:hint="eastAsia" w:ascii="宋体" w:hAnsi="宋体" w:cs="宋体"/>
          <w:color w:val="000000"/>
          <w:kern w:val="0"/>
          <w:sz w:val="24"/>
        </w:rPr>
        <w:t>银行业监督管理机构</w:t>
      </w:r>
      <w:r>
        <w:rPr>
          <w:rFonts w:hint="eastAsia" w:ascii="宋体" w:hAnsi="宋体" w:cs="宋体"/>
          <w:bCs/>
          <w:smallCaps/>
          <w:color w:val="000000"/>
          <w:kern w:val="0"/>
          <w:sz w:val="24"/>
          <w:szCs w:val="20"/>
        </w:rPr>
        <w:t>依法撤销，撤销后清算的有关事宜及程序适用《金融机构撤销条例》。</w:t>
      </w:r>
    </w:p>
    <w:p>
      <w:pPr>
        <w:widowControl/>
        <w:numPr>
          <w:ilvl w:val="0"/>
          <w:numId w:val="1"/>
        </w:numPr>
        <w:spacing w:before="100" w:beforeAutospacing="1" w:after="100" w:afterAutospacing="1" w:line="320" w:lineRule="exact"/>
        <w:jc w:val="center"/>
        <w:outlineLvl w:val="0"/>
        <w:rPr>
          <w:rFonts w:ascii="宋体" w:hAnsi="宋体" w:cs="宋体"/>
          <w:b/>
          <w:bCs/>
          <w:smallCaps/>
          <w:color w:val="000000"/>
          <w:kern w:val="0"/>
          <w:sz w:val="24"/>
        </w:rPr>
      </w:pPr>
      <w:bookmarkStart w:id="99" w:name="_Toc24382"/>
      <w:bookmarkStart w:id="100" w:name="_Toc41895474"/>
      <w:bookmarkStart w:id="101" w:name="_Toc28168"/>
      <w:r>
        <w:rPr>
          <w:rFonts w:ascii="宋体" w:hAnsi="宋体" w:cs="宋体"/>
          <w:b/>
          <w:bCs/>
          <w:smallCaps/>
          <w:color w:val="000000"/>
          <w:kern w:val="0"/>
          <w:sz w:val="24"/>
        </w:rPr>
        <w:t>修改章程</w:t>
      </w:r>
      <w:bookmarkEnd w:id="99"/>
      <w:bookmarkEnd w:id="100"/>
      <w:bookmarkEnd w:id="101"/>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有下列情形之一的，</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应当修改章程：</w:t>
      </w:r>
    </w:p>
    <w:p>
      <w:pPr>
        <w:widowControl/>
        <w:numPr>
          <w:ilvl w:val="0"/>
          <w:numId w:val="34"/>
        </w:numPr>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章程规定的内容与《公司法》《商业银行法》等有关法律、行政法规的规定相抵触的</w:t>
      </w:r>
      <w:r>
        <w:rPr>
          <w:rFonts w:ascii="宋体" w:hAnsi="宋体" w:cs="宋体"/>
          <w:color w:val="000000"/>
          <w:kern w:val="0"/>
          <w:sz w:val="24"/>
        </w:rPr>
        <w:t>；</w:t>
      </w:r>
    </w:p>
    <w:p>
      <w:pPr>
        <w:widowControl/>
        <w:numPr>
          <w:ilvl w:val="0"/>
          <w:numId w:val="34"/>
        </w:numPr>
        <w:spacing w:line="320" w:lineRule="exact"/>
        <w:ind w:left="0" w:firstLine="480"/>
        <w:jc w:val="left"/>
        <w:rPr>
          <w:rFonts w:ascii="宋体" w:hAnsi="宋体" w:cs="宋体"/>
          <w:color w:val="000000"/>
          <w:kern w:val="0"/>
          <w:sz w:val="24"/>
        </w:rPr>
      </w:pPr>
      <w:r>
        <w:rPr>
          <w:rFonts w:hint="eastAsia" w:ascii="宋体" w:hAnsi="宋体" w:cs="宋体"/>
          <w:color w:val="000000"/>
          <w:kern w:val="0"/>
          <w:sz w:val="24"/>
        </w:rPr>
        <w:t>本行</w:t>
      </w:r>
      <w:r>
        <w:rPr>
          <w:rFonts w:ascii="宋体" w:hAnsi="宋体" w:cs="宋体"/>
          <w:color w:val="000000"/>
          <w:kern w:val="0"/>
          <w:sz w:val="24"/>
        </w:rPr>
        <w:t>的情况发生变化，与章程记载的事项不一致；</w:t>
      </w:r>
    </w:p>
    <w:p>
      <w:pPr>
        <w:widowControl/>
        <w:numPr>
          <w:ilvl w:val="0"/>
          <w:numId w:val="34"/>
        </w:numPr>
        <w:spacing w:line="320" w:lineRule="exact"/>
        <w:ind w:left="0" w:firstLine="480"/>
        <w:jc w:val="left"/>
        <w:rPr>
          <w:rFonts w:ascii="宋体" w:hAnsi="宋体" w:cs="宋体"/>
          <w:color w:val="000000"/>
          <w:kern w:val="0"/>
          <w:sz w:val="24"/>
        </w:rPr>
      </w:pPr>
      <w:r>
        <w:rPr>
          <w:rFonts w:ascii="宋体" w:hAnsi="宋体" w:cs="宋体"/>
          <w:color w:val="000000"/>
          <w:kern w:val="0"/>
          <w:sz w:val="24"/>
        </w:rPr>
        <w:t>股东大会决定修改章程。</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股东大会决议通过的章程修改事项应经主管机关审批的，须报原审批的主管机关批准；涉及</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登记事项的，依法办理变更登记。</w:t>
      </w:r>
    </w:p>
    <w:p>
      <w:pPr>
        <w:widowControl/>
        <w:numPr>
          <w:ilvl w:val="0"/>
          <w:numId w:val="2"/>
        </w:numPr>
        <w:spacing w:line="320" w:lineRule="exact"/>
        <w:jc w:val="left"/>
        <w:rPr>
          <w:rFonts w:ascii="宋体" w:hAnsi="宋体" w:cs="宋体"/>
          <w:b/>
          <w:bCs/>
          <w:smallCaps/>
          <w:color w:val="000000"/>
          <w:kern w:val="0"/>
          <w:sz w:val="24"/>
        </w:rPr>
      </w:pPr>
      <w:r>
        <w:rPr>
          <w:rFonts w:ascii="宋体" w:hAnsi="宋体" w:cs="宋体"/>
          <w:bCs/>
          <w:smallCaps/>
          <w:color w:val="000000"/>
          <w:kern w:val="0"/>
          <w:sz w:val="24"/>
          <w:szCs w:val="20"/>
        </w:rPr>
        <w:t>董事会依照股东大会修改章程的决议和有关主管机关的审批意见修改</w:t>
      </w:r>
      <w:r>
        <w:rPr>
          <w:rFonts w:hint="eastAsia" w:ascii="宋体" w:hAnsi="宋体" w:cs="宋体"/>
          <w:bCs/>
          <w:smallCaps/>
          <w:color w:val="000000"/>
          <w:kern w:val="0"/>
          <w:sz w:val="24"/>
          <w:szCs w:val="20"/>
        </w:rPr>
        <w:t>本章程</w:t>
      </w:r>
      <w:r>
        <w:rPr>
          <w:rFonts w:ascii="宋体" w:hAnsi="宋体" w:cs="宋体"/>
          <w:bCs/>
          <w:smallCaps/>
          <w:color w:val="000000"/>
          <w:kern w:val="0"/>
          <w:sz w:val="24"/>
          <w:szCs w:val="20"/>
        </w:rPr>
        <w:t>。</w:t>
      </w:r>
    </w:p>
    <w:p>
      <w:pPr>
        <w:widowControl/>
        <w:numPr>
          <w:ilvl w:val="0"/>
          <w:numId w:val="2"/>
        </w:numPr>
        <w:spacing w:line="320" w:lineRule="exact"/>
        <w:jc w:val="left"/>
        <w:rPr>
          <w:rFonts w:ascii="宋体" w:hAnsi="宋体" w:cs="宋体"/>
          <w:b/>
          <w:bCs/>
          <w:smallCaps/>
          <w:color w:val="000000"/>
          <w:kern w:val="0"/>
          <w:sz w:val="24"/>
        </w:rPr>
      </w:pPr>
      <w:r>
        <w:rPr>
          <w:rFonts w:hint="eastAsia" w:ascii="宋体" w:hAnsi="宋体" w:cs="宋体"/>
          <w:bCs/>
          <w:smallCaps/>
          <w:color w:val="000000"/>
          <w:kern w:val="0"/>
          <w:sz w:val="24"/>
          <w:szCs w:val="20"/>
        </w:rPr>
        <w:t xml:space="preserve">  章程修改事项属于法律、行政法规要求披露的信息，按规定予以公告。</w:t>
      </w:r>
    </w:p>
    <w:p>
      <w:pPr>
        <w:widowControl/>
        <w:numPr>
          <w:ilvl w:val="0"/>
          <w:numId w:val="1"/>
        </w:numPr>
        <w:spacing w:before="100" w:beforeAutospacing="1" w:after="100" w:afterAutospacing="1" w:line="320" w:lineRule="exact"/>
        <w:jc w:val="center"/>
        <w:outlineLvl w:val="0"/>
        <w:rPr>
          <w:rFonts w:ascii="宋体" w:hAnsi="宋体" w:cs="宋体"/>
          <w:b/>
          <w:bCs/>
          <w:smallCaps/>
          <w:color w:val="000000"/>
          <w:kern w:val="0"/>
          <w:sz w:val="24"/>
        </w:rPr>
      </w:pPr>
      <w:bookmarkStart w:id="102" w:name="_Toc16219"/>
      <w:bookmarkStart w:id="103" w:name="_Toc30308"/>
      <w:bookmarkStart w:id="104" w:name="_Toc41895475"/>
      <w:r>
        <w:rPr>
          <w:rFonts w:ascii="宋体" w:hAnsi="宋体" w:cs="宋体"/>
          <w:b/>
          <w:bCs/>
          <w:smallCaps/>
          <w:color w:val="000000"/>
          <w:kern w:val="0"/>
          <w:sz w:val="24"/>
        </w:rPr>
        <w:t>附则</w:t>
      </w:r>
      <w:bookmarkEnd w:id="102"/>
      <w:bookmarkEnd w:id="103"/>
      <w:bookmarkEnd w:id="104"/>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本章程未尽事项，依照中华人民共和国法律、法规结合本行实际情况处理。</w:t>
      </w:r>
      <w:r>
        <w:rPr>
          <w:rFonts w:ascii="宋体" w:hAnsi="宋体" w:cs="宋体"/>
          <w:bCs/>
          <w:smallCaps/>
          <w:color w:val="000000"/>
          <w:kern w:val="0"/>
          <w:sz w:val="24"/>
          <w:szCs w:val="20"/>
        </w:rPr>
        <w:t>本章程以中文书写，其他任何语种或不同版本的章程与本章程有歧义时，以在</w:t>
      </w:r>
      <w:r>
        <w:rPr>
          <w:rFonts w:hint="eastAsia" w:ascii="宋体" w:hAnsi="宋体" w:cs="宋体"/>
          <w:bCs/>
          <w:smallCaps/>
          <w:color w:val="000000"/>
          <w:kern w:val="0"/>
          <w:sz w:val="24"/>
          <w:szCs w:val="20"/>
        </w:rPr>
        <w:t>厦门市市场监督管理部门</w:t>
      </w:r>
      <w:r>
        <w:rPr>
          <w:rFonts w:ascii="宋体" w:hAnsi="宋体" w:cs="宋体"/>
          <w:bCs/>
          <w:smallCaps/>
          <w:color w:val="000000"/>
          <w:kern w:val="0"/>
          <w:sz w:val="24"/>
          <w:szCs w:val="20"/>
        </w:rPr>
        <w:t>最近一次核准登记后的中文版章程为准。</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本章程所称高级管理人员，是指行长和副行长、行长助理、董事会秘书、首席财务官、首席风险官、首席信息官及由董事会聘任的其他高级管理人员。</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本章程所称“控股股东”，是指具备下列条件之一的股东：</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（一）</w:t>
      </w:r>
      <w:r>
        <w:rPr>
          <w:rFonts w:hint="eastAsia" w:ascii="宋体" w:hAnsi="宋体" w:cs="宋体"/>
          <w:bCs/>
          <w:smallCaps/>
          <w:color w:val="000000"/>
          <w:kern w:val="0"/>
          <w:sz w:val="24"/>
          <w:szCs w:val="20"/>
        </w:rPr>
        <w:tab/>
      </w:r>
      <w:r>
        <w:rPr>
          <w:rFonts w:hint="eastAsia" w:ascii="宋体" w:hAnsi="宋体" w:cs="宋体"/>
          <w:bCs/>
          <w:smallCaps/>
          <w:color w:val="000000"/>
          <w:kern w:val="0"/>
          <w:sz w:val="24"/>
          <w:szCs w:val="20"/>
        </w:rPr>
        <w:t>持有的股份占本行股份总额百分之五十以上的股东；</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（二）</w:t>
      </w:r>
      <w:r>
        <w:rPr>
          <w:rFonts w:hint="eastAsia" w:ascii="宋体" w:hAnsi="宋体" w:cs="宋体"/>
          <w:bCs/>
          <w:smallCaps/>
          <w:color w:val="000000"/>
          <w:kern w:val="0"/>
          <w:sz w:val="24"/>
          <w:szCs w:val="20"/>
        </w:rPr>
        <w:tab/>
      </w:r>
      <w:r>
        <w:rPr>
          <w:rFonts w:hint="eastAsia" w:ascii="宋体" w:hAnsi="宋体" w:cs="宋体"/>
          <w:bCs/>
          <w:smallCaps/>
          <w:color w:val="000000"/>
          <w:kern w:val="0"/>
          <w:sz w:val="24"/>
          <w:szCs w:val="20"/>
        </w:rPr>
        <w:t>持有股份的比例虽然不足百分之五十，但依其持有的股份所享有的表决权已足以对本行股东大会的决议产生重大影响的股东。</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本章程所称“实际控制人”，是指虽不是公司的股东，但通过投资关系、协议或者其他安排，能够实际支配公司行为的人。</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章程所称“关联关系”，是指公司控股股东、实际控制人、董事、监事、高级管理人员与其直接或者间接控制的企业之间的关系，以及可能导致公司利益转移的其他关系。但是，国家控股的企业之间不仅因为同受国家控股而具有关联关系。</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本章程所称“主要股东”，是指持有或控制本行百分之五以上股份或表决权，或持有资本总额或股份总额不足百分之五但对本行经营管理有重大影响的股东。</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前款中的“重大影响”，包括但不限于向本行派驻董事、监事或高级管理人员，通过协议或其他方式影响本行的财务和经营管理决策以及银保监会或其派出机构认定的其他情形。</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w:t>
      </w:r>
      <w:r>
        <w:rPr>
          <w:rFonts w:hint="eastAsia" w:ascii="宋体" w:hAnsi="宋体" w:cs="宋体"/>
          <w:bCs/>
          <w:smallCaps/>
          <w:color w:val="000000"/>
          <w:kern w:val="0"/>
          <w:sz w:val="24"/>
          <w:szCs w:val="20"/>
          <w:lang w:val="en-US" w:eastAsia="zh-CN"/>
        </w:rPr>
        <w:t>本</w:t>
      </w:r>
      <w:r>
        <w:rPr>
          <w:rFonts w:hint="eastAsia" w:ascii="宋体" w:hAnsi="宋体" w:cs="宋体"/>
          <w:bCs/>
          <w:smallCaps/>
          <w:color w:val="000000"/>
          <w:kern w:val="0"/>
          <w:sz w:val="24"/>
          <w:szCs w:val="20"/>
        </w:rPr>
        <w:t>章程所称“执行董事”是指在本行除担任董事外，还承担高级管理人员职责的董事。</w:t>
      </w:r>
    </w:p>
    <w:p>
      <w:pPr>
        <w:widowControl/>
        <w:numPr>
          <w:ilvl w:val="-1"/>
          <w:numId w:val="0"/>
        </w:numPr>
        <w:spacing w:line="320" w:lineRule="exact"/>
        <w:ind w:left="480" w:firstLine="0"/>
        <w:jc w:val="left"/>
        <w:rPr>
          <w:rFonts w:hint="eastAsia" w:ascii="宋体" w:hAnsi="宋体" w:cs="宋体"/>
          <w:bCs/>
          <w:smallCaps/>
          <w:color w:val="000000"/>
          <w:kern w:val="0"/>
          <w:sz w:val="24"/>
          <w:szCs w:val="20"/>
          <w:lang w:val="en-US" w:eastAsia="zh-CN"/>
        </w:rPr>
      </w:pPr>
      <w:r>
        <w:rPr>
          <w:rFonts w:hint="eastAsia" w:ascii="宋体" w:hAnsi="宋体" w:cs="宋体"/>
          <w:bCs/>
          <w:smallCaps/>
          <w:color w:val="000000"/>
          <w:kern w:val="0"/>
          <w:sz w:val="24"/>
          <w:szCs w:val="20"/>
          <w:lang w:val="en-US" w:eastAsia="zh-CN"/>
        </w:rPr>
        <w:t>本章程所称“非执行董事”是指在本行不担任除董事外的其他职务，且不承担</w:t>
      </w:r>
    </w:p>
    <w:p>
      <w:pPr>
        <w:widowControl/>
        <w:numPr>
          <w:ilvl w:val="-1"/>
          <w:numId w:val="0"/>
        </w:numPr>
        <w:spacing w:line="320" w:lineRule="exact"/>
        <w:ind w:left="0" w:firstLine="0"/>
        <w:jc w:val="left"/>
        <w:rPr>
          <w:rFonts w:hint="eastAsia" w:ascii="宋体" w:hAnsi="宋体" w:eastAsia="宋体" w:cs="宋体"/>
          <w:bCs/>
          <w:smallCaps/>
          <w:color w:val="000000"/>
          <w:kern w:val="0"/>
          <w:sz w:val="24"/>
          <w:szCs w:val="20"/>
          <w:lang w:val="en-US" w:eastAsia="zh-CN"/>
        </w:rPr>
      </w:pPr>
      <w:r>
        <w:rPr>
          <w:rFonts w:hint="eastAsia" w:ascii="宋体" w:hAnsi="宋体" w:cs="宋体"/>
          <w:bCs/>
          <w:smallCaps/>
          <w:color w:val="000000"/>
          <w:kern w:val="0"/>
          <w:sz w:val="24"/>
          <w:szCs w:val="20"/>
          <w:lang w:val="en-US" w:eastAsia="zh-CN"/>
        </w:rPr>
        <w:t>高级管理人员职责的董事。</w:t>
      </w:r>
    </w:p>
    <w:p>
      <w:pPr>
        <w:widowControl/>
        <w:numPr>
          <w:ilvl w:val="-1"/>
          <w:numId w:val="0"/>
        </w:numPr>
        <w:spacing w:line="320" w:lineRule="exact"/>
        <w:ind w:left="480" w:firstLine="0"/>
        <w:jc w:val="left"/>
        <w:rPr>
          <w:rFonts w:hint="eastAsia" w:ascii="宋体" w:hAnsi="宋体" w:cs="宋体"/>
          <w:bCs/>
          <w:smallCaps/>
          <w:color w:val="000000"/>
          <w:kern w:val="0"/>
          <w:sz w:val="24"/>
          <w:szCs w:val="20"/>
        </w:rPr>
      </w:pPr>
      <w:r>
        <w:rPr>
          <w:rFonts w:hint="eastAsia" w:ascii="宋体" w:hAnsi="宋体" w:cs="宋体"/>
          <w:bCs/>
          <w:smallCaps/>
          <w:color w:val="000000"/>
          <w:kern w:val="0"/>
          <w:sz w:val="24"/>
          <w:szCs w:val="20"/>
        </w:rPr>
        <w:t>本章程所称“独立董事”，是指不在本行担任除董事以外的其他职务，并与本</w:t>
      </w:r>
    </w:p>
    <w:p>
      <w:pPr>
        <w:widowControl/>
        <w:numPr>
          <w:ilvl w:val="-1"/>
          <w:numId w:val="0"/>
        </w:numPr>
        <w:spacing w:line="320" w:lineRule="exact"/>
        <w:ind w:left="0" w:firstLine="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行及其主要股东不存在任何可能妨碍其进行独立、客观判断关系的董事。</w:t>
      </w:r>
    </w:p>
    <w:p>
      <w:pPr>
        <w:widowControl/>
        <w:spacing w:line="320" w:lineRule="exact"/>
        <w:ind w:firstLine="480" w:firstLineChars="200"/>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本章程所称“外部监事”，是指不在本行担任除监事外的其他职务，并与本行及其主要股东之间不存在可能影响其独立判断关系的监事。</w:t>
      </w:r>
    </w:p>
    <w:p>
      <w:pPr>
        <w:widowControl/>
        <w:numPr>
          <w:ilvl w:val="0"/>
          <w:numId w:val="2"/>
        </w:numPr>
        <w:spacing w:line="320" w:lineRule="exact"/>
        <w:jc w:val="left"/>
        <w:rPr>
          <w:rFonts w:ascii="宋体" w:hAnsi="宋体" w:cs="宋体"/>
          <w:bCs/>
          <w:smallCaps/>
          <w:color w:val="000000"/>
          <w:kern w:val="0"/>
          <w:sz w:val="24"/>
          <w:szCs w:val="20"/>
        </w:rPr>
      </w:pPr>
      <w:r>
        <w:rPr>
          <w:rFonts w:ascii="宋体" w:hAnsi="宋体" w:cs="宋体"/>
          <w:bCs/>
          <w:smallCaps/>
          <w:color w:val="000000"/>
          <w:kern w:val="0"/>
          <w:sz w:val="24"/>
          <w:szCs w:val="20"/>
        </w:rPr>
        <w:t>本章程所称“以上”、“以内”、“以下”都含本数；“不</w:t>
      </w:r>
      <w:r>
        <w:rPr>
          <w:rFonts w:hint="eastAsia" w:ascii="宋体" w:hAnsi="宋体" w:cs="宋体"/>
          <w:bCs/>
          <w:smallCaps/>
          <w:color w:val="000000"/>
          <w:kern w:val="0"/>
          <w:sz w:val="24"/>
          <w:szCs w:val="20"/>
        </w:rPr>
        <w:t>足</w:t>
      </w:r>
      <w:r>
        <w:rPr>
          <w:rFonts w:ascii="宋体" w:hAnsi="宋体" w:cs="宋体"/>
          <w:bCs/>
          <w:smallCaps/>
          <w:color w:val="000000"/>
          <w:kern w:val="0"/>
          <w:sz w:val="24"/>
          <w:szCs w:val="20"/>
        </w:rPr>
        <w:t>”、“以外”</w:t>
      </w:r>
      <w:r>
        <w:rPr>
          <w:rFonts w:hint="eastAsia" w:ascii="宋体" w:hAnsi="宋体" w:cs="宋体"/>
          <w:bCs/>
          <w:smallCaps/>
          <w:color w:val="000000"/>
          <w:kern w:val="0"/>
          <w:sz w:val="24"/>
          <w:szCs w:val="20"/>
        </w:rPr>
        <w:t>、“超过”、“过</w:t>
      </w:r>
      <w:r>
        <w:rPr>
          <w:rFonts w:ascii="宋体" w:hAnsi="宋体" w:cs="宋体"/>
          <w:bCs/>
          <w:smallCaps/>
          <w:color w:val="000000"/>
          <w:kern w:val="0"/>
          <w:sz w:val="24"/>
          <w:szCs w:val="20"/>
        </w:rPr>
        <w:t>”</w:t>
      </w:r>
      <w:r>
        <w:rPr>
          <w:rFonts w:hint="eastAsia" w:ascii="宋体" w:hAnsi="宋体" w:cs="宋体"/>
          <w:bCs/>
          <w:smallCaps/>
          <w:color w:val="000000"/>
          <w:kern w:val="0"/>
          <w:sz w:val="24"/>
          <w:szCs w:val="20"/>
        </w:rPr>
        <w:t>、“未达到”、“低于”、“多于”</w:t>
      </w:r>
      <w:r>
        <w:rPr>
          <w:rFonts w:ascii="宋体" w:hAnsi="宋体" w:cs="宋体"/>
          <w:bCs/>
          <w:smallCaps/>
          <w:color w:val="000000"/>
          <w:kern w:val="0"/>
          <w:sz w:val="24"/>
          <w:szCs w:val="20"/>
        </w:rPr>
        <w:t>不含本数。</w:t>
      </w:r>
    </w:p>
    <w:p>
      <w:pPr>
        <w:widowControl/>
        <w:numPr>
          <w:ilvl w:val="0"/>
          <w:numId w:val="2"/>
        </w:numPr>
        <w:spacing w:line="320" w:lineRule="exact"/>
        <w:jc w:val="left"/>
        <w:rPr>
          <w:rFonts w:ascii="宋体" w:hAnsi="宋体" w:cs="宋体"/>
          <w:bCs/>
          <w:smallCaps/>
          <w:color w:val="000000"/>
          <w:kern w:val="0"/>
          <w:sz w:val="24"/>
          <w:szCs w:val="20"/>
        </w:rPr>
      </w:pPr>
      <w:r>
        <w:rPr>
          <w:rFonts w:hint="eastAsia" w:ascii="宋体" w:hAnsi="宋体" w:cs="宋体"/>
          <w:bCs/>
          <w:smallCaps/>
          <w:color w:val="000000"/>
          <w:kern w:val="0"/>
          <w:sz w:val="24"/>
          <w:szCs w:val="20"/>
        </w:rPr>
        <w:t xml:space="preserve">    本章程经股东大会审议通过并经中国银行业监督管理机构核准后生效。自本章程生效之日起，本行原章程自动失效。</w:t>
      </w:r>
    </w:p>
    <w:p>
      <w:pPr>
        <w:widowControl/>
        <w:numPr>
          <w:ilvl w:val="0"/>
          <w:numId w:val="2"/>
        </w:numPr>
        <w:spacing w:line="320" w:lineRule="exact"/>
        <w:jc w:val="left"/>
        <w:rPr>
          <w:rFonts w:ascii="黑体" w:eastAsia="黑体"/>
          <w:sz w:val="24"/>
        </w:rPr>
      </w:pPr>
      <w:r>
        <w:rPr>
          <w:rFonts w:hint="eastAsia" w:ascii="宋体" w:hAnsi="宋体" w:cs="宋体"/>
          <w:bCs/>
          <w:smallCaps/>
          <w:color w:val="000000"/>
          <w:kern w:val="0"/>
          <w:sz w:val="24"/>
          <w:szCs w:val="20"/>
        </w:rPr>
        <w:t xml:space="preserve">  本</w:t>
      </w:r>
      <w:r>
        <w:rPr>
          <w:rFonts w:ascii="宋体" w:hAnsi="宋体" w:cs="宋体"/>
          <w:bCs/>
          <w:smallCaps/>
          <w:color w:val="000000"/>
          <w:kern w:val="0"/>
          <w:sz w:val="24"/>
          <w:szCs w:val="20"/>
        </w:rPr>
        <w:t>章程由</w:t>
      </w:r>
      <w:r>
        <w:rPr>
          <w:rFonts w:hint="eastAsia" w:ascii="宋体" w:hAnsi="宋体" w:cs="宋体"/>
          <w:bCs/>
          <w:smallCaps/>
          <w:color w:val="000000"/>
          <w:kern w:val="0"/>
          <w:sz w:val="24"/>
          <w:szCs w:val="20"/>
        </w:rPr>
        <w:t>本行</w:t>
      </w:r>
      <w:r>
        <w:rPr>
          <w:rFonts w:ascii="宋体" w:hAnsi="宋体" w:cs="宋体"/>
          <w:bCs/>
          <w:smallCaps/>
          <w:color w:val="000000"/>
          <w:kern w:val="0"/>
          <w:sz w:val="24"/>
          <w:szCs w:val="20"/>
        </w:rPr>
        <w:t>董事会负责解释。</w:t>
      </w:r>
      <w:bookmarkStart w:id="105" w:name="_GoBack"/>
      <w:bookmarkEnd w:id="105"/>
    </w:p>
    <w:sectPr>
      <w:footerReference r:id="rId3" w:type="default"/>
      <w:footerReference r:id="rId4" w:type="even"/>
      <w:pgSz w:w="11906" w:h="16838"/>
      <w:pgMar w:top="1247" w:right="1469" w:bottom="1440" w:left="1622"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iti SC Light">
    <w:altName w:val="Malgun Gothic Semilight"/>
    <w:panose1 w:val="00000000000000000000"/>
    <w:charset w:val="80"/>
    <w:family w:val="auto"/>
    <w:pitch w:val="default"/>
    <w:sig w:usb0="00000000" w:usb1="00000000" w:usb2="00000000" w:usb3="00000000" w:csb0="203E0000" w:csb1="00000000"/>
  </w:font>
  <w:font w:name="仿宋_GB2312">
    <w:altName w:val="仿宋"/>
    <w:panose1 w:val="02010609030101010101"/>
    <w:charset w:val="86"/>
    <w:family w:val="modern"/>
    <w:pitch w:val="default"/>
    <w:sig w:usb0="00000000" w:usb1="00000000" w:usb2="00000000" w:usb3="00000000" w:csb0="00040000" w:csb1="00000000"/>
  </w:font>
  <w:font w:name="̥_GB2312">
    <w:altName w:val="Segoe Print"/>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
    <w:altName w:val="Segoe Print"/>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8"/>
      </w:rPr>
    </w:pPr>
    <w:r>
      <w:rPr>
        <w:rStyle w:val="18"/>
      </w:rPr>
      <w:fldChar w:fldCharType="begin"/>
    </w:r>
    <w:r>
      <w:rPr>
        <w:rStyle w:val="18"/>
      </w:rPr>
      <w:instrText xml:space="preserve">PAGE  </w:instrText>
    </w:r>
    <w:r>
      <w:rPr>
        <w:rStyle w:val="18"/>
      </w:rPr>
      <w:fldChar w:fldCharType="separate"/>
    </w:r>
    <w:r>
      <w:rPr>
        <w:rStyle w:val="18"/>
      </w:rPr>
      <w:t>2</w:t>
    </w:r>
    <w:r>
      <w:rPr>
        <w:rStyle w:val="18"/>
      </w:rPr>
      <w:fldChar w:fldCharType="end"/>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8"/>
      </w:rPr>
    </w:pPr>
    <w:r>
      <w:rPr>
        <w:rStyle w:val="18"/>
      </w:rPr>
      <w:fldChar w:fldCharType="begin"/>
    </w:r>
    <w:r>
      <w:rPr>
        <w:rStyle w:val="18"/>
      </w:rPr>
      <w:instrText xml:space="preserve">PAGE  </w:instrText>
    </w:r>
    <w:r>
      <w:rPr>
        <w:rStyle w:val="18"/>
      </w:rPr>
      <w:fldChar w:fldCharType="end"/>
    </w:r>
  </w:p>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2B77D7"/>
    <w:multiLevelType w:val="multilevel"/>
    <w:tmpl w:val="012B77D7"/>
    <w:lvl w:ilvl="0" w:tentative="0">
      <w:start w:val="1"/>
      <w:numFmt w:val="japaneseCounting"/>
      <w:lvlText w:val="第%1节"/>
      <w:lvlJc w:val="left"/>
      <w:pPr>
        <w:tabs>
          <w:tab w:val="left" w:pos="3600"/>
        </w:tabs>
        <w:ind w:left="3600" w:hanging="915"/>
      </w:pPr>
      <w:rPr>
        <w:rFonts w:hint="default"/>
      </w:rPr>
    </w:lvl>
    <w:lvl w:ilvl="1" w:tentative="0">
      <w:start w:val="1"/>
      <w:numFmt w:val="lowerLetter"/>
      <w:lvlText w:val="%2)"/>
      <w:lvlJc w:val="left"/>
      <w:pPr>
        <w:tabs>
          <w:tab w:val="left" w:pos="3525"/>
        </w:tabs>
        <w:ind w:left="3525" w:hanging="420"/>
      </w:pPr>
    </w:lvl>
    <w:lvl w:ilvl="2" w:tentative="0">
      <w:start w:val="1"/>
      <w:numFmt w:val="lowerRoman"/>
      <w:lvlText w:val="%3."/>
      <w:lvlJc w:val="right"/>
      <w:pPr>
        <w:tabs>
          <w:tab w:val="left" w:pos="3945"/>
        </w:tabs>
        <w:ind w:left="3945" w:hanging="420"/>
      </w:pPr>
    </w:lvl>
    <w:lvl w:ilvl="3" w:tentative="0">
      <w:start w:val="1"/>
      <w:numFmt w:val="decimal"/>
      <w:lvlText w:val="%4."/>
      <w:lvlJc w:val="left"/>
      <w:pPr>
        <w:tabs>
          <w:tab w:val="left" w:pos="4365"/>
        </w:tabs>
        <w:ind w:left="4365" w:hanging="420"/>
      </w:pPr>
    </w:lvl>
    <w:lvl w:ilvl="4" w:tentative="0">
      <w:start w:val="1"/>
      <w:numFmt w:val="lowerLetter"/>
      <w:lvlText w:val="%5)"/>
      <w:lvlJc w:val="left"/>
      <w:pPr>
        <w:tabs>
          <w:tab w:val="left" w:pos="4785"/>
        </w:tabs>
        <w:ind w:left="4785" w:hanging="420"/>
      </w:pPr>
    </w:lvl>
    <w:lvl w:ilvl="5" w:tentative="0">
      <w:start w:val="1"/>
      <w:numFmt w:val="lowerRoman"/>
      <w:lvlText w:val="%6."/>
      <w:lvlJc w:val="right"/>
      <w:pPr>
        <w:tabs>
          <w:tab w:val="left" w:pos="5205"/>
        </w:tabs>
        <w:ind w:left="5205" w:hanging="420"/>
      </w:pPr>
    </w:lvl>
    <w:lvl w:ilvl="6" w:tentative="0">
      <w:start w:val="1"/>
      <w:numFmt w:val="decimal"/>
      <w:lvlText w:val="%7."/>
      <w:lvlJc w:val="left"/>
      <w:pPr>
        <w:tabs>
          <w:tab w:val="left" w:pos="5625"/>
        </w:tabs>
        <w:ind w:left="5625" w:hanging="420"/>
      </w:pPr>
    </w:lvl>
    <w:lvl w:ilvl="7" w:tentative="0">
      <w:start w:val="1"/>
      <w:numFmt w:val="lowerLetter"/>
      <w:lvlText w:val="%8)"/>
      <w:lvlJc w:val="left"/>
      <w:pPr>
        <w:tabs>
          <w:tab w:val="left" w:pos="6045"/>
        </w:tabs>
        <w:ind w:left="6045" w:hanging="420"/>
      </w:pPr>
    </w:lvl>
    <w:lvl w:ilvl="8" w:tentative="0">
      <w:start w:val="1"/>
      <w:numFmt w:val="lowerRoman"/>
      <w:lvlText w:val="%9."/>
      <w:lvlJc w:val="right"/>
      <w:pPr>
        <w:tabs>
          <w:tab w:val="left" w:pos="6465"/>
        </w:tabs>
        <w:ind w:left="6465" w:hanging="420"/>
      </w:pPr>
    </w:lvl>
  </w:abstractNum>
  <w:abstractNum w:abstractNumId="1">
    <w:nsid w:val="02D84137"/>
    <w:multiLevelType w:val="multilevel"/>
    <w:tmpl w:val="02D84137"/>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6DE21FB"/>
    <w:multiLevelType w:val="multilevel"/>
    <w:tmpl w:val="06DE21FB"/>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752137B"/>
    <w:multiLevelType w:val="multilevel"/>
    <w:tmpl w:val="0752137B"/>
    <w:lvl w:ilvl="0" w:tentative="0">
      <w:start w:val="1"/>
      <w:numFmt w:val="japaneseCounting"/>
      <w:lvlText w:val="（%1）"/>
      <w:lvlJc w:val="left"/>
      <w:pPr>
        <w:tabs>
          <w:tab w:val="left" w:pos="1288"/>
        </w:tabs>
        <w:ind w:left="1288"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AAF201B"/>
    <w:multiLevelType w:val="multilevel"/>
    <w:tmpl w:val="0AAF201B"/>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12613D09"/>
    <w:multiLevelType w:val="multilevel"/>
    <w:tmpl w:val="12613D09"/>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1E3475E4"/>
    <w:multiLevelType w:val="multilevel"/>
    <w:tmpl w:val="1E3475E4"/>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23BA4396"/>
    <w:multiLevelType w:val="multilevel"/>
    <w:tmpl w:val="23BA4396"/>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24AC0500"/>
    <w:multiLevelType w:val="multilevel"/>
    <w:tmpl w:val="24AC0500"/>
    <w:lvl w:ilvl="0" w:tentative="0">
      <w:start w:val="1"/>
      <w:numFmt w:val="japaneseCounting"/>
      <w:lvlText w:val="第%1章"/>
      <w:lvlJc w:val="left"/>
      <w:pPr>
        <w:tabs>
          <w:tab w:val="left" w:pos="1440"/>
        </w:tabs>
        <w:ind w:left="1440" w:hanging="960"/>
      </w:pPr>
      <w:rPr>
        <w:rFonts w:hint="eastAsia"/>
      </w:rPr>
    </w:lvl>
    <w:lvl w:ilvl="1" w:tentative="0">
      <w:start w:val="1"/>
      <w:numFmt w:val="chineseCountingThousand"/>
      <w:lvlText w:val="第%2条"/>
      <w:lvlJc w:val="left"/>
      <w:pPr>
        <w:tabs>
          <w:tab w:val="left" w:pos="1380"/>
        </w:tabs>
        <w:ind w:left="1380" w:hanging="960"/>
      </w:pPr>
      <w:rPr>
        <w:rFonts w:hint="default"/>
        <w:b/>
      </w:rPr>
    </w:lvl>
    <w:lvl w:ilvl="2" w:tentative="0">
      <w:start w:val="1"/>
      <w:numFmt w:val="japaneseCounting"/>
      <w:lvlText w:val="第%3条"/>
      <w:lvlJc w:val="left"/>
      <w:pPr>
        <w:tabs>
          <w:tab w:val="left" w:pos="2280"/>
        </w:tabs>
        <w:ind w:left="2280" w:hanging="1440"/>
      </w:pPr>
      <w:rPr>
        <w:rFonts w:hint="default"/>
        <w:b/>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27470FB8"/>
    <w:multiLevelType w:val="multilevel"/>
    <w:tmpl w:val="27470FB8"/>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2EF80EDF"/>
    <w:multiLevelType w:val="multilevel"/>
    <w:tmpl w:val="2EF80EDF"/>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2F6D32DB"/>
    <w:multiLevelType w:val="multilevel"/>
    <w:tmpl w:val="2F6D32DB"/>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32FC29E9"/>
    <w:multiLevelType w:val="multilevel"/>
    <w:tmpl w:val="32FC29E9"/>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37F569B7"/>
    <w:multiLevelType w:val="multilevel"/>
    <w:tmpl w:val="37F569B7"/>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3D5059A4"/>
    <w:multiLevelType w:val="multilevel"/>
    <w:tmpl w:val="3D5059A4"/>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4084576E"/>
    <w:multiLevelType w:val="multilevel"/>
    <w:tmpl w:val="4084576E"/>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471D6E94"/>
    <w:multiLevelType w:val="multilevel"/>
    <w:tmpl w:val="471D6E94"/>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47442DDA"/>
    <w:multiLevelType w:val="multilevel"/>
    <w:tmpl w:val="47442DDA"/>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495B7891"/>
    <w:multiLevelType w:val="multilevel"/>
    <w:tmpl w:val="495B7891"/>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4A042CF2"/>
    <w:multiLevelType w:val="multilevel"/>
    <w:tmpl w:val="4A042CF2"/>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4B122C2A"/>
    <w:multiLevelType w:val="multilevel"/>
    <w:tmpl w:val="4B122C2A"/>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4D39427C"/>
    <w:multiLevelType w:val="multilevel"/>
    <w:tmpl w:val="4D39427C"/>
    <w:lvl w:ilvl="0" w:tentative="0">
      <w:start w:val="1"/>
      <w:numFmt w:val="japaneseCounting"/>
      <w:lvlText w:val="（%1）"/>
      <w:lvlJc w:val="left"/>
      <w:pPr>
        <w:tabs>
          <w:tab w:val="left" w:pos="1200"/>
        </w:tabs>
        <w:ind w:left="1200" w:hanging="720"/>
      </w:pPr>
      <w:rPr>
        <w:rFonts w:hint="default"/>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4F0B0FB1"/>
    <w:multiLevelType w:val="multilevel"/>
    <w:tmpl w:val="4F0B0FB1"/>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3">
    <w:nsid w:val="50C02F5A"/>
    <w:multiLevelType w:val="multilevel"/>
    <w:tmpl w:val="50C02F5A"/>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54883074"/>
    <w:multiLevelType w:val="multilevel"/>
    <w:tmpl w:val="54883074"/>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54B03C7F"/>
    <w:multiLevelType w:val="multilevel"/>
    <w:tmpl w:val="54B03C7F"/>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5D431BD8"/>
    <w:multiLevelType w:val="multilevel"/>
    <w:tmpl w:val="5D431BD8"/>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5E787323"/>
    <w:multiLevelType w:val="multilevel"/>
    <w:tmpl w:val="5E787323"/>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60543F40"/>
    <w:multiLevelType w:val="multilevel"/>
    <w:tmpl w:val="60543F40"/>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69EB2375"/>
    <w:multiLevelType w:val="multilevel"/>
    <w:tmpl w:val="69EB2375"/>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0">
    <w:nsid w:val="725D2BC8"/>
    <w:multiLevelType w:val="multilevel"/>
    <w:tmpl w:val="725D2BC8"/>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1">
    <w:nsid w:val="744C6861"/>
    <w:multiLevelType w:val="multilevel"/>
    <w:tmpl w:val="744C6861"/>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2">
    <w:nsid w:val="7C256AD2"/>
    <w:multiLevelType w:val="multilevel"/>
    <w:tmpl w:val="7C256AD2"/>
    <w:lvl w:ilvl="0" w:tentative="0">
      <w:start w:val="1"/>
      <w:numFmt w:val="chineseCountingThousand"/>
      <w:lvlText w:val="第%1条"/>
      <w:lvlJc w:val="left"/>
      <w:pPr>
        <w:tabs>
          <w:tab w:val="left" w:pos="1920"/>
        </w:tabs>
        <w:ind w:left="0" w:firstLine="480"/>
      </w:pPr>
      <w:rPr>
        <w:rFonts w:hint="default"/>
        <w:b/>
        <w:lang w:val="en-US"/>
      </w:rPr>
    </w:lvl>
    <w:lvl w:ilvl="1" w:tentative="0">
      <w:start w:val="1"/>
      <w:numFmt w:val="japaneseCounting"/>
      <w:lvlText w:val="（%2）"/>
      <w:lvlJc w:val="left"/>
      <w:pPr>
        <w:tabs>
          <w:tab w:val="left" w:pos="1140"/>
        </w:tabs>
        <w:ind w:left="1140" w:hanging="720"/>
      </w:pPr>
      <w:rPr>
        <w:rFonts w:hint="default"/>
        <w:b/>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3">
    <w:nsid w:val="7E457F90"/>
    <w:multiLevelType w:val="multilevel"/>
    <w:tmpl w:val="7E457F90"/>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8"/>
  </w:num>
  <w:num w:numId="2">
    <w:abstractNumId w:val="32"/>
  </w:num>
  <w:num w:numId="3">
    <w:abstractNumId w:val="22"/>
  </w:num>
  <w:num w:numId="4">
    <w:abstractNumId w:val="31"/>
  </w:num>
  <w:num w:numId="5">
    <w:abstractNumId w:val="29"/>
  </w:num>
  <w:num w:numId="6">
    <w:abstractNumId w:val="0"/>
  </w:num>
  <w:num w:numId="7">
    <w:abstractNumId w:val="9"/>
  </w:num>
  <w:num w:numId="8">
    <w:abstractNumId w:val="11"/>
  </w:num>
  <w:num w:numId="9">
    <w:abstractNumId w:val="26"/>
  </w:num>
  <w:num w:numId="10">
    <w:abstractNumId w:val="12"/>
  </w:num>
  <w:num w:numId="11">
    <w:abstractNumId w:val="24"/>
  </w:num>
  <w:num w:numId="12">
    <w:abstractNumId w:val="1"/>
  </w:num>
  <w:num w:numId="13">
    <w:abstractNumId w:val="7"/>
  </w:num>
  <w:num w:numId="14">
    <w:abstractNumId w:val="18"/>
  </w:num>
  <w:num w:numId="15">
    <w:abstractNumId w:val="10"/>
  </w:num>
  <w:num w:numId="16">
    <w:abstractNumId w:val="17"/>
  </w:num>
  <w:num w:numId="17">
    <w:abstractNumId w:val="21"/>
  </w:num>
  <w:num w:numId="18">
    <w:abstractNumId w:val="3"/>
  </w:num>
  <w:num w:numId="19">
    <w:abstractNumId w:val="30"/>
  </w:num>
  <w:num w:numId="20">
    <w:abstractNumId w:val="33"/>
  </w:num>
  <w:num w:numId="21">
    <w:abstractNumId w:val="28"/>
  </w:num>
  <w:num w:numId="22">
    <w:abstractNumId w:val="19"/>
  </w:num>
  <w:num w:numId="23">
    <w:abstractNumId w:val="15"/>
  </w:num>
  <w:num w:numId="24">
    <w:abstractNumId w:val="2"/>
  </w:num>
  <w:num w:numId="25">
    <w:abstractNumId w:val="6"/>
  </w:num>
  <w:num w:numId="26">
    <w:abstractNumId w:val="25"/>
  </w:num>
  <w:num w:numId="27">
    <w:abstractNumId w:val="5"/>
  </w:num>
  <w:num w:numId="28">
    <w:abstractNumId w:val="16"/>
  </w:num>
  <w:num w:numId="29">
    <w:abstractNumId w:val="23"/>
  </w:num>
  <w:num w:numId="30">
    <w:abstractNumId w:val="13"/>
  </w:num>
  <w:num w:numId="31">
    <w:abstractNumId w:val="4"/>
  </w:num>
  <w:num w:numId="32">
    <w:abstractNumId w:val="14"/>
  </w:num>
  <w:num w:numId="33">
    <w:abstractNumId w:val="20"/>
  </w:num>
  <w:num w:numId="3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5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7CB2"/>
    <w:rsid w:val="00000C05"/>
    <w:rsid w:val="0000165B"/>
    <w:rsid w:val="00002210"/>
    <w:rsid w:val="00002BC8"/>
    <w:rsid w:val="00003543"/>
    <w:rsid w:val="00005295"/>
    <w:rsid w:val="00005A28"/>
    <w:rsid w:val="00006B43"/>
    <w:rsid w:val="00006B87"/>
    <w:rsid w:val="00007C98"/>
    <w:rsid w:val="00011744"/>
    <w:rsid w:val="0001398E"/>
    <w:rsid w:val="0001409E"/>
    <w:rsid w:val="000147FC"/>
    <w:rsid w:val="0001542E"/>
    <w:rsid w:val="0002078F"/>
    <w:rsid w:val="00020C1E"/>
    <w:rsid w:val="00020E68"/>
    <w:rsid w:val="00021120"/>
    <w:rsid w:val="00025B64"/>
    <w:rsid w:val="00030057"/>
    <w:rsid w:val="000320FC"/>
    <w:rsid w:val="000330DD"/>
    <w:rsid w:val="000350D4"/>
    <w:rsid w:val="000356EB"/>
    <w:rsid w:val="0004045B"/>
    <w:rsid w:val="00041348"/>
    <w:rsid w:val="000413DD"/>
    <w:rsid w:val="00042E78"/>
    <w:rsid w:val="00043F3B"/>
    <w:rsid w:val="000441A8"/>
    <w:rsid w:val="00044A80"/>
    <w:rsid w:val="000464D0"/>
    <w:rsid w:val="00047183"/>
    <w:rsid w:val="00050867"/>
    <w:rsid w:val="00060477"/>
    <w:rsid w:val="000617F8"/>
    <w:rsid w:val="00061E08"/>
    <w:rsid w:val="0006724D"/>
    <w:rsid w:val="0007000A"/>
    <w:rsid w:val="000729B5"/>
    <w:rsid w:val="00074A9A"/>
    <w:rsid w:val="000753B3"/>
    <w:rsid w:val="0007540A"/>
    <w:rsid w:val="0007703F"/>
    <w:rsid w:val="000770F8"/>
    <w:rsid w:val="00080981"/>
    <w:rsid w:val="00083BDE"/>
    <w:rsid w:val="00085336"/>
    <w:rsid w:val="000950DE"/>
    <w:rsid w:val="000A1AE9"/>
    <w:rsid w:val="000A2E33"/>
    <w:rsid w:val="000A313A"/>
    <w:rsid w:val="000A36FD"/>
    <w:rsid w:val="000A3D76"/>
    <w:rsid w:val="000A6973"/>
    <w:rsid w:val="000B2145"/>
    <w:rsid w:val="000B362D"/>
    <w:rsid w:val="000B4B10"/>
    <w:rsid w:val="000B4FFA"/>
    <w:rsid w:val="000B5318"/>
    <w:rsid w:val="000C383B"/>
    <w:rsid w:val="000C5DFB"/>
    <w:rsid w:val="000D5226"/>
    <w:rsid w:val="000D59FF"/>
    <w:rsid w:val="000D7488"/>
    <w:rsid w:val="000E35D8"/>
    <w:rsid w:val="000E38B1"/>
    <w:rsid w:val="000E48D7"/>
    <w:rsid w:val="000E5CCF"/>
    <w:rsid w:val="000E6DB7"/>
    <w:rsid w:val="000F653E"/>
    <w:rsid w:val="00100D41"/>
    <w:rsid w:val="0010505B"/>
    <w:rsid w:val="0010743B"/>
    <w:rsid w:val="001169C0"/>
    <w:rsid w:val="00117D0A"/>
    <w:rsid w:val="001210A3"/>
    <w:rsid w:val="00122B66"/>
    <w:rsid w:val="00124692"/>
    <w:rsid w:val="00124B55"/>
    <w:rsid w:val="0012552B"/>
    <w:rsid w:val="00127EFA"/>
    <w:rsid w:val="00130165"/>
    <w:rsid w:val="0013053C"/>
    <w:rsid w:val="001316E4"/>
    <w:rsid w:val="00131827"/>
    <w:rsid w:val="001331F1"/>
    <w:rsid w:val="001353EC"/>
    <w:rsid w:val="00136713"/>
    <w:rsid w:val="001376D6"/>
    <w:rsid w:val="00142207"/>
    <w:rsid w:val="0014295B"/>
    <w:rsid w:val="001436EA"/>
    <w:rsid w:val="00143A30"/>
    <w:rsid w:val="00144A66"/>
    <w:rsid w:val="0014537F"/>
    <w:rsid w:val="00145CB8"/>
    <w:rsid w:val="001468F6"/>
    <w:rsid w:val="00146D8B"/>
    <w:rsid w:val="00147A8D"/>
    <w:rsid w:val="00151D3F"/>
    <w:rsid w:val="00152C2A"/>
    <w:rsid w:val="00156B5C"/>
    <w:rsid w:val="00161744"/>
    <w:rsid w:val="00163235"/>
    <w:rsid w:val="001634A5"/>
    <w:rsid w:val="00163C09"/>
    <w:rsid w:val="001659DB"/>
    <w:rsid w:val="0016712C"/>
    <w:rsid w:val="001758CA"/>
    <w:rsid w:val="00175E9F"/>
    <w:rsid w:val="0018040B"/>
    <w:rsid w:val="00180444"/>
    <w:rsid w:val="0018119A"/>
    <w:rsid w:val="00181EE4"/>
    <w:rsid w:val="00187C7E"/>
    <w:rsid w:val="001912F5"/>
    <w:rsid w:val="0019511E"/>
    <w:rsid w:val="001A24AA"/>
    <w:rsid w:val="001A3342"/>
    <w:rsid w:val="001A33B9"/>
    <w:rsid w:val="001A44A1"/>
    <w:rsid w:val="001A45B5"/>
    <w:rsid w:val="001A58A0"/>
    <w:rsid w:val="001B18F1"/>
    <w:rsid w:val="001B2031"/>
    <w:rsid w:val="001B4C04"/>
    <w:rsid w:val="001B4F4D"/>
    <w:rsid w:val="001B5035"/>
    <w:rsid w:val="001B61A4"/>
    <w:rsid w:val="001C00F1"/>
    <w:rsid w:val="001C502C"/>
    <w:rsid w:val="001C7F83"/>
    <w:rsid w:val="001D32D5"/>
    <w:rsid w:val="001D3594"/>
    <w:rsid w:val="001D710A"/>
    <w:rsid w:val="001D77DD"/>
    <w:rsid w:val="001E16F4"/>
    <w:rsid w:val="001E38E8"/>
    <w:rsid w:val="001E4BEC"/>
    <w:rsid w:val="001E6722"/>
    <w:rsid w:val="001E7950"/>
    <w:rsid w:val="001F3A8F"/>
    <w:rsid w:val="001F4571"/>
    <w:rsid w:val="001F52E6"/>
    <w:rsid w:val="001F705D"/>
    <w:rsid w:val="001F7B85"/>
    <w:rsid w:val="001F7CCE"/>
    <w:rsid w:val="00200005"/>
    <w:rsid w:val="0020028E"/>
    <w:rsid w:val="00201264"/>
    <w:rsid w:val="00201DBC"/>
    <w:rsid w:val="002026A1"/>
    <w:rsid w:val="002033C8"/>
    <w:rsid w:val="00206798"/>
    <w:rsid w:val="00207286"/>
    <w:rsid w:val="0020768C"/>
    <w:rsid w:val="00210640"/>
    <w:rsid w:val="0021134B"/>
    <w:rsid w:val="00211730"/>
    <w:rsid w:val="002159AA"/>
    <w:rsid w:val="002214B7"/>
    <w:rsid w:val="002273C1"/>
    <w:rsid w:val="00230109"/>
    <w:rsid w:val="0023506E"/>
    <w:rsid w:val="0023662B"/>
    <w:rsid w:val="002379FA"/>
    <w:rsid w:val="002450C8"/>
    <w:rsid w:val="00251592"/>
    <w:rsid w:val="00251960"/>
    <w:rsid w:val="00251D64"/>
    <w:rsid w:val="00254EF5"/>
    <w:rsid w:val="00257A80"/>
    <w:rsid w:val="002607B9"/>
    <w:rsid w:val="00260E60"/>
    <w:rsid w:val="0026189A"/>
    <w:rsid w:val="00262AC9"/>
    <w:rsid w:val="002630B4"/>
    <w:rsid w:val="0026462E"/>
    <w:rsid w:val="00265ECE"/>
    <w:rsid w:val="00266354"/>
    <w:rsid w:val="002663A5"/>
    <w:rsid w:val="0026676A"/>
    <w:rsid w:val="00274EBB"/>
    <w:rsid w:val="002806B9"/>
    <w:rsid w:val="00281226"/>
    <w:rsid w:val="002838CF"/>
    <w:rsid w:val="00286514"/>
    <w:rsid w:val="002879F9"/>
    <w:rsid w:val="00287C49"/>
    <w:rsid w:val="0029168B"/>
    <w:rsid w:val="00293169"/>
    <w:rsid w:val="00293C82"/>
    <w:rsid w:val="00293CC4"/>
    <w:rsid w:val="00295433"/>
    <w:rsid w:val="00296E7A"/>
    <w:rsid w:val="00297C53"/>
    <w:rsid w:val="002A2219"/>
    <w:rsid w:val="002A25CA"/>
    <w:rsid w:val="002A5A7A"/>
    <w:rsid w:val="002A5ED0"/>
    <w:rsid w:val="002A6096"/>
    <w:rsid w:val="002A75F6"/>
    <w:rsid w:val="002B0706"/>
    <w:rsid w:val="002C4BFE"/>
    <w:rsid w:val="002D00F6"/>
    <w:rsid w:val="002D041C"/>
    <w:rsid w:val="002D1FE9"/>
    <w:rsid w:val="002D2F04"/>
    <w:rsid w:val="002D3287"/>
    <w:rsid w:val="002D5BE8"/>
    <w:rsid w:val="002D5CB3"/>
    <w:rsid w:val="002D6AF0"/>
    <w:rsid w:val="002D71B6"/>
    <w:rsid w:val="002E2B69"/>
    <w:rsid w:val="002E5F11"/>
    <w:rsid w:val="002E64BB"/>
    <w:rsid w:val="002F0DCB"/>
    <w:rsid w:val="002F2695"/>
    <w:rsid w:val="002F3CC2"/>
    <w:rsid w:val="002F5C59"/>
    <w:rsid w:val="003007B3"/>
    <w:rsid w:val="00303226"/>
    <w:rsid w:val="00303C91"/>
    <w:rsid w:val="00304506"/>
    <w:rsid w:val="00310478"/>
    <w:rsid w:val="003109FF"/>
    <w:rsid w:val="00311F69"/>
    <w:rsid w:val="00320DFF"/>
    <w:rsid w:val="00325226"/>
    <w:rsid w:val="00327F18"/>
    <w:rsid w:val="00332086"/>
    <w:rsid w:val="003334B6"/>
    <w:rsid w:val="00334D53"/>
    <w:rsid w:val="00335ECE"/>
    <w:rsid w:val="00336562"/>
    <w:rsid w:val="0034143A"/>
    <w:rsid w:val="00343572"/>
    <w:rsid w:val="00345200"/>
    <w:rsid w:val="00346D64"/>
    <w:rsid w:val="00347876"/>
    <w:rsid w:val="00347A18"/>
    <w:rsid w:val="00352CCB"/>
    <w:rsid w:val="00353D56"/>
    <w:rsid w:val="00361A8E"/>
    <w:rsid w:val="003711E5"/>
    <w:rsid w:val="0037234C"/>
    <w:rsid w:val="00374029"/>
    <w:rsid w:val="003746F8"/>
    <w:rsid w:val="00376294"/>
    <w:rsid w:val="003773B6"/>
    <w:rsid w:val="00381C9E"/>
    <w:rsid w:val="00383B6A"/>
    <w:rsid w:val="00384036"/>
    <w:rsid w:val="00384257"/>
    <w:rsid w:val="003845DE"/>
    <w:rsid w:val="00384785"/>
    <w:rsid w:val="00384A07"/>
    <w:rsid w:val="003850A3"/>
    <w:rsid w:val="00386993"/>
    <w:rsid w:val="00391627"/>
    <w:rsid w:val="003927F7"/>
    <w:rsid w:val="00392EDE"/>
    <w:rsid w:val="00394453"/>
    <w:rsid w:val="00394B95"/>
    <w:rsid w:val="003A0816"/>
    <w:rsid w:val="003A0876"/>
    <w:rsid w:val="003A0E04"/>
    <w:rsid w:val="003A48A6"/>
    <w:rsid w:val="003B46F8"/>
    <w:rsid w:val="003B7F56"/>
    <w:rsid w:val="003C011C"/>
    <w:rsid w:val="003C035A"/>
    <w:rsid w:val="003C10F1"/>
    <w:rsid w:val="003C19AD"/>
    <w:rsid w:val="003C38BC"/>
    <w:rsid w:val="003C4A6F"/>
    <w:rsid w:val="003C6452"/>
    <w:rsid w:val="003D08ED"/>
    <w:rsid w:val="003D279B"/>
    <w:rsid w:val="003D2C31"/>
    <w:rsid w:val="003D307D"/>
    <w:rsid w:val="003E0378"/>
    <w:rsid w:val="003E0A0E"/>
    <w:rsid w:val="003E298D"/>
    <w:rsid w:val="003E51D3"/>
    <w:rsid w:val="003F256E"/>
    <w:rsid w:val="003F2751"/>
    <w:rsid w:val="003F4BD0"/>
    <w:rsid w:val="003F4E03"/>
    <w:rsid w:val="00400D96"/>
    <w:rsid w:val="004016E6"/>
    <w:rsid w:val="00403441"/>
    <w:rsid w:val="00407297"/>
    <w:rsid w:val="00407B66"/>
    <w:rsid w:val="004108C6"/>
    <w:rsid w:val="00413C70"/>
    <w:rsid w:val="00415013"/>
    <w:rsid w:val="00415F9C"/>
    <w:rsid w:val="004170C8"/>
    <w:rsid w:val="00420069"/>
    <w:rsid w:val="004235DB"/>
    <w:rsid w:val="0042547E"/>
    <w:rsid w:val="004269DA"/>
    <w:rsid w:val="00427EC9"/>
    <w:rsid w:val="00432588"/>
    <w:rsid w:val="004360CC"/>
    <w:rsid w:val="004464CB"/>
    <w:rsid w:val="00446F9C"/>
    <w:rsid w:val="004518CD"/>
    <w:rsid w:val="00453237"/>
    <w:rsid w:val="00453988"/>
    <w:rsid w:val="0046111D"/>
    <w:rsid w:val="004629BA"/>
    <w:rsid w:val="00465A34"/>
    <w:rsid w:val="004673BD"/>
    <w:rsid w:val="00471F61"/>
    <w:rsid w:val="00471FEE"/>
    <w:rsid w:val="004758C0"/>
    <w:rsid w:val="0047695F"/>
    <w:rsid w:val="00476DBA"/>
    <w:rsid w:val="00476F47"/>
    <w:rsid w:val="00477C61"/>
    <w:rsid w:val="00480980"/>
    <w:rsid w:val="00484DB2"/>
    <w:rsid w:val="00493997"/>
    <w:rsid w:val="004939FC"/>
    <w:rsid w:val="00494FC4"/>
    <w:rsid w:val="0049630B"/>
    <w:rsid w:val="004965B1"/>
    <w:rsid w:val="00496CD6"/>
    <w:rsid w:val="00497761"/>
    <w:rsid w:val="004A06C0"/>
    <w:rsid w:val="004A1B76"/>
    <w:rsid w:val="004A4A3D"/>
    <w:rsid w:val="004A6234"/>
    <w:rsid w:val="004A7008"/>
    <w:rsid w:val="004B07A4"/>
    <w:rsid w:val="004B1312"/>
    <w:rsid w:val="004B1719"/>
    <w:rsid w:val="004B3873"/>
    <w:rsid w:val="004B6C55"/>
    <w:rsid w:val="004C1098"/>
    <w:rsid w:val="004C10FD"/>
    <w:rsid w:val="004C203B"/>
    <w:rsid w:val="004C2627"/>
    <w:rsid w:val="004C2716"/>
    <w:rsid w:val="004C4064"/>
    <w:rsid w:val="004C43F3"/>
    <w:rsid w:val="004D1633"/>
    <w:rsid w:val="004D37EE"/>
    <w:rsid w:val="004D4BE4"/>
    <w:rsid w:val="004D6F3D"/>
    <w:rsid w:val="004D74F2"/>
    <w:rsid w:val="004E439D"/>
    <w:rsid w:val="004E6926"/>
    <w:rsid w:val="004F2217"/>
    <w:rsid w:val="004F6F03"/>
    <w:rsid w:val="005004E8"/>
    <w:rsid w:val="00500999"/>
    <w:rsid w:val="00500D43"/>
    <w:rsid w:val="00503BCC"/>
    <w:rsid w:val="00506E92"/>
    <w:rsid w:val="005104DF"/>
    <w:rsid w:val="00513E6B"/>
    <w:rsid w:val="00513E9B"/>
    <w:rsid w:val="005212FE"/>
    <w:rsid w:val="00523953"/>
    <w:rsid w:val="005253F8"/>
    <w:rsid w:val="0052677E"/>
    <w:rsid w:val="0053074C"/>
    <w:rsid w:val="005308DB"/>
    <w:rsid w:val="00530D8D"/>
    <w:rsid w:val="00531021"/>
    <w:rsid w:val="00533E6F"/>
    <w:rsid w:val="00534334"/>
    <w:rsid w:val="005345D5"/>
    <w:rsid w:val="005357BF"/>
    <w:rsid w:val="0053621C"/>
    <w:rsid w:val="00537B8E"/>
    <w:rsid w:val="00537DBD"/>
    <w:rsid w:val="00544F72"/>
    <w:rsid w:val="00545941"/>
    <w:rsid w:val="0054625A"/>
    <w:rsid w:val="00546531"/>
    <w:rsid w:val="005465E6"/>
    <w:rsid w:val="00546871"/>
    <w:rsid w:val="005540FF"/>
    <w:rsid w:val="005541CE"/>
    <w:rsid w:val="005567E5"/>
    <w:rsid w:val="00557D12"/>
    <w:rsid w:val="00562F6D"/>
    <w:rsid w:val="00563B35"/>
    <w:rsid w:val="00564900"/>
    <w:rsid w:val="00565CCC"/>
    <w:rsid w:val="00566F60"/>
    <w:rsid w:val="00567A2A"/>
    <w:rsid w:val="00567A45"/>
    <w:rsid w:val="00571427"/>
    <w:rsid w:val="0057239A"/>
    <w:rsid w:val="00574C8C"/>
    <w:rsid w:val="00574F5C"/>
    <w:rsid w:val="00575C79"/>
    <w:rsid w:val="00580975"/>
    <w:rsid w:val="005810EA"/>
    <w:rsid w:val="005820D1"/>
    <w:rsid w:val="005857D0"/>
    <w:rsid w:val="00590105"/>
    <w:rsid w:val="0059017B"/>
    <w:rsid w:val="00590EEE"/>
    <w:rsid w:val="00591D6C"/>
    <w:rsid w:val="00593B83"/>
    <w:rsid w:val="00596570"/>
    <w:rsid w:val="005A0AA6"/>
    <w:rsid w:val="005A508B"/>
    <w:rsid w:val="005B4166"/>
    <w:rsid w:val="005C2B94"/>
    <w:rsid w:val="005C2D38"/>
    <w:rsid w:val="005C468D"/>
    <w:rsid w:val="005C4930"/>
    <w:rsid w:val="005C5D78"/>
    <w:rsid w:val="005D3CA3"/>
    <w:rsid w:val="005D667A"/>
    <w:rsid w:val="005D7E5A"/>
    <w:rsid w:val="005E0298"/>
    <w:rsid w:val="005E1335"/>
    <w:rsid w:val="005E305B"/>
    <w:rsid w:val="005E4004"/>
    <w:rsid w:val="005E5CAF"/>
    <w:rsid w:val="005E63D0"/>
    <w:rsid w:val="005E7207"/>
    <w:rsid w:val="005F2083"/>
    <w:rsid w:val="005F225F"/>
    <w:rsid w:val="005F2BE6"/>
    <w:rsid w:val="005F321F"/>
    <w:rsid w:val="005F3434"/>
    <w:rsid w:val="0060369A"/>
    <w:rsid w:val="0060435E"/>
    <w:rsid w:val="00606192"/>
    <w:rsid w:val="006074DE"/>
    <w:rsid w:val="006115BD"/>
    <w:rsid w:val="006121F8"/>
    <w:rsid w:val="006135AB"/>
    <w:rsid w:val="006137CA"/>
    <w:rsid w:val="006200C8"/>
    <w:rsid w:val="0062076C"/>
    <w:rsid w:val="006219D9"/>
    <w:rsid w:val="00621EFB"/>
    <w:rsid w:val="00623173"/>
    <w:rsid w:val="00623779"/>
    <w:rsid w:val="0062572C"/>
    <w:rsid w:val="00626D7B"/>
    <w:rsid w:val="0062786F"/>
    <w:rsid w:val="00627971"/>
    <w:rsid w:val="00627AAE"/>
    <w:rsid w:val="00627CB0"/>
    <w:rsid w:val="006319E9"/>
    <w:rsid w:val="006332C1"/>
    <w:rsid w:val="00634A34"/>
    <w:rsid w:val="00635195"/>
    <w:rsid w:val="0063582D"/>
    <w:rsid w:val="006364CA"/>
    <w:rsid w:val="00641C8B"/>
    <w:rsid w:val="006432BB"/>
    <w:rsid w:val="00644C2E"/>
    <w:rsid w:val="0065164C"/>
    <w:rsid w:val="00652503"/>
    <w:rsid w:val="00652FE5"/>
    <w:rsid w:val="00654E35"/>
    <w:rsid w:val="0065764F"/>
    <w:rsid w:val="006603ED"/>
    <w:rsid w:val="00660990"/>
    <w:rsid w:val="006613A8"/>
    <w:rsid w:val="0066149E"/>
    <w:rsid w:val="0066436E"/>
    <w:rsid w:val="0066473A"/>
    <w:rsid w:val="00676928"/>
    <w:rsid w:val="00682D03"/>
    <w:rsid w:val="00683D6B"/>
    <w:rsid w:val="006875C8"/>
    <w:rsid w:val="00692EF9"/>
    <w:rsid w:val="0069326D"/>
    <w:rsid w:val="00695B73"/>
    <w:rsid w:val="006A01B0"/>
    <w:rsid w:val="006A0391"/>
    <w:rsid w:val="006A2C50"/>
    <w:rsid w:val="006A6051"/>
    <w:rsid w:val="006B2FAA"/>
    <w:rsid w:val="006B4EBF"/>
    <w:rsid w:val="006C3D03"/>
    <w:rsid w:val="006C484A"/>
    <w:rsid w:val="006C7E73"/>
    <w:rsid w:val="006D3790"/>
    <w:rsid w:val="006D4289"/>
    <w:rsid w:val="006D45F5"/>
    <w:rsid w:val="006D4ACD"/>
    <w:rsid w:val="006D53AB"/>
    <w:rsid w:val="006D67B6"/>
    <w:rsid w:val="006E2DA5"/>
    <w:rsid w:val="006E75B1"/>
    <w:rsid w:val="006F2FB5"/>
    <w:rsid w:val="006F3BE2"/>
    <w:rsid w:val="006F55D8"/>
    <w:rsid w:val="006F6A80"/>
    <w:rsid w:val="0070541D"/>
    <w:rsid w:val="00705BD5"/>
    <w:rsid w:val="00706764"/>
    <w:rsid w:val="00713CD9"/>
    <w:rsid w:val="00723514"/>
    <w:rsid w:val="00724482"/>
    <w:rsid w:val="00724EAF"/>
    <w:rsid w:val="00731085"/>
    <w:rsid w:val="0073486A"/>
    <w:rsid w:val="007353B9"/>
    <w:rsid w:val="00735B69"/>
    <w:rsid w:val="007376E7"/>
    <w:rsid w:val="007403C6"/>
    <w:rsid w:val="00744F09"/>
    <w:rsid w:val="0074507F"/>
    <w:rsid w:val="00745D7F"/>
    <w:rsid w:val="00756A05"/>
    <w:rsid w:val="007609A7"/>
    <w:rsid w:val="00761244"/>
    <w:rsid w:val="0076791B"/>
    <w:rsid w:val="00767D2C"/>
    <w:rsid w:val="007712BB"/>
    <w:rsid w:val="007727C5"/>
    <w:rsid w:val="00773A26"/>
    <w:rsid w:val="007743FF"/>
    <w:rsid w:val="00777952"/>
    <w:rsid w:val="00777B4E"/>
    <w:rsid w:val="00780DD3"/>
    <w:rsid w:val="00785742"/>
    <w:rsid w:val="00786C34"/>
    <w:rsid w:val="00790E89"/>
    <w:rsid w:val="007929C1"/>
    <w:rsid w:val="00793025"/>
    <w:rsid w:val="00793B60"/>
    <w:rsid w:val="00795AF7"/>
    <w:rsid w:val="007A00E8"/>
    <w:rsid w:val="007A1D52"/>
    <w:rsid w:val="007A43CC"/>
    <w:rsid w:val="007A49C1"/>
    <w:rsid w:val="007A5147"/>
    <w:rsid w:val="007A5E1C"/>
    <w:rsid w:val="007B287F"/>
    <w:rsid w:val="007B422E"/>
    <w:rsid w:val="007B49C4"/>
    <w:rsid w:val="007C0068"/>
    <w:rsid w:val="007C6326"/>
    <w:rsid w:val="007C7550"/>
    <w:rsid w:val="007C7734"/>
    <w:rsid w:val="007D0751"/>
    <w:rsid w:val="007D2B44"/>
    <w:rsid w:val="007D2E0F"/>
    <w:rsid w:val="007D60DF"/>
    <w:rsid w:val="007D7BC8"/>
    <w:rsid w:val="007E1D0A"/>
    <w:rsid w:val="007E258D"/>
    <w:rsid w:val="007F06CB"/>
    <w:rsid w:val="007F6514"/>
    <w:rsid w:val="007F74A9"/>
    <w:rsid w:val="008001F2"/>
    <w:rsid w:val="008076CA"/>
    <w:rsid w:val="008105A4"/>
    <w:rsid w:val="00815116"/>
    <w:rsid w:val="00815867"/>
    <w:rsid w:val="00816983"/>
    <w:rsid w:val="00820083"/>
    <w:rsid w:val="008207A8"/>
    <w:rsid w:val="00827D9D"/>
    <w:rsid w:val="008303DE"/>
    <w:rsid w:val="00831F33"/>
    <w:rsid w:val="00832176"/>
    <w:rsid w:val="008326D5"/>
    <w:rsid w:val="00834753"/>
    <w:rsid w:val="00836C36"/>
    <w:rsid w:val="008376E6"/>
    <w:rsid w:val="008379ED"/>
    <w:rsid w:val="008401EE"/>
    <w:rsid w:val="00840A8A"/>
    <w:rsid w:val="008411D0"/>
    <w:rsid w:val="00842F43"/>
    <w:rsid w:val="008456CE"/>
    <w:rsid w:val="00846429"/>
    <w:rsid w:val="008464FD"/>
    <w:rsid w:val="00846928"/>
    <w:rsid w:val="00851B42"/>
    <w:rsid w:val="00852C85"/>
    <w:rsid w:val="00854E5E"/>
    <w:rsid w:val="008651F9"/>
    <w:rsid w:val="00871B95"/>
    <w:rsid w:val="00872392"/>
    <w:rsid w:val="00874F36"/>
    <w:rsid w:val="00875D03"/>
    <w:rsid w:val="00875E80"/>
    <w:rsid w:val="008764CF"/>
    <w:rsid w:val="0088088B"/>
    <w:rsid w:val="008819AC"/>
    <w:rsid w:val="00886B54"/>
    <w:rsid w:val="0089048D"/>
    <w:rsid w:val="00890AB1"/>
    <w:rsid w:val="00891932"/>
    <w:rsid w:val="00897BD2"/>
    <w:rsid w:val="008A0454"/>
    <w:rsid w:val="008A17BB"/>
    <w:rsid w:val="008A1BDC"/>
    <w:rsid w:val="008A1F1D"/>
    <w:rsid w:val="008A48E9"/>
    <w:rsid w:val="008A5147"/>
    <w:rsid w:val="008B0179"/>
    <w:rsid w:val="008B3D6C"/>
    <w:rsid w:val="008B60D4"/>
    <w:rsid w:val="008B6BC6"/>
    <w:rsid w:val="008B7093"/>
    <w:rsid w:val="008B7DE8"/>
    <w:rsid w:val="008C05FD"/>
    <w:rsid w:val="008C2129"/>
    <w:rsid w:val="008C344E"/>
    <w:rsid w:val="008C51D8"/>
    <w:rsid w:val="008D16DB"/>
    <w:rsid w:val="008D1D9E"/>
    <w:rsid w:val="008D67BF"/>
    <w:rsid w:val="008E02DB"/>
    <w:rsid w:val="008E14AF"/>
    <w:rsid w:val="008E4E52"/>
    <w:rsid w:val="008E5A96"/>
    <w:rsid w:val="008E646F"/>
    <w:rsid w:val="008E747C"/>
    <w:rsid w:val="008F42D0"/>
    <w:rsid w:val="008F50BF"/>
    <w:rsid w:val="008F53BF"/>
    <w:rsid w:val="008F5942"/>
    <w:rsid w:val="008F6B5C"/>
    <w:rsid w:val="00900107"/>
    <w:rsid w:val="0090183E"/>
    <w:rsid w:val="00903B2E"/>
    <w:rsid w:val="009052BB"/>
    <w:rsid w:val="00906747"/>
    <w:rsid w:val="00907CEE"/>
    <w:rsid w:val="00912524"/>
    <w:rsid w:val="009133B5"/>
    <w:rsid w:val="00921578"/>
    <w:rsid w:val="00921747"/>
    <w:rsid w:val="00923D9A"/>
    <w:rsid w:val="00927981"/>
    <w:rsid w:val="009328E5"/>
    <w:rsid w:val="00936370"/>
    <w:rsid w:val="0094105B"/>
    <w:rsid w:val="00941A2D"/>
    <w:rsid w:val="009434A1"/>
    <w:rsid w:val="009453FC"/>
    <w:rsid w:val="00950035"/>
    <w:rsid w:val="00950D97"/>
    <w:rsid w:val="00960E80"/>
    <w:rsid w:val="009614AC"/>
    <w:rsid w:val="00962CD6"/>
    <w:rsid w:val="0096402F"/>
    <w:rsid w:val="00965A43"/>
    <w:rsid w:val="00965D5F"/>
    <w:rsid w:val="00966578"/>
    <w:rsid w:val="009678A7"/>
    <w:rsid w:val="00970C68"/>
    <w:rsid w:val="00971CBF"/>
    <w:rsid w:val="00971EAE"/>
    <w:rsid w:val="009723D4"/>
    <w:rsid w:val="00972EEB"/>
    <w:rsid w:val="009737FB"/>
    <w:rsid w:val="00976C0F"/>
    <w:rsid w:val="00976C45"/>
    <w:rsid w:val="00982EDA"/>
    <w:rsid w:val="00983469"/>
    <w:rsid w:val="0098408E"/>
    <w:rsid w:val="009905A6"/>
    <w:rsid w:val="00990D29"/>
    <w:rsid w:val="0099198A"/>
    <w:rsid w:val="00994630"/>
    <w:rsid w:val="00996DEC"/>
    <w:rsid w:val="00997654"/>
    <w:rsid w:val="00997ED9"/>
    <w:rsid w:val="009A0746"/>
    <w:rsid w:val="009A30B1"/>
    <w:rsid w:val="009A4255"/>
    <w:rsid w:val="009B2CFB"/>
    <w:rsid w:val="009B5308"/>
    <w:rsid w:val="009B64D2"/>
    <w:rsid w:val="009B7465"/>
    <w:rsid w:val="009B7C80"/>
    <w:rsid w:val="009C0579"/>
    <w:rsid w:val="009C3634"/>
    <w:rsid w:val="009C4858"/>
    <w:rsid w:val="009D272A"/>
    <w:rsid w:val="009D284A"/>
    <w:rsid w:val="009D3723"/>
    <w:rsid w:val="009D6C83"/>
    <w:rsid w:val="009E048F"/>
    <w:rsid w:val="009E2751"/>
    <w:rsid w:val="009E3459"/>
    <w:rsid w:val="009E3798"/>
    <w:rsid w:val="009F4885"/>
    <w:rsid w:val="009F6155"/>
    <w:rsid w:val="00A0000C"/>
    <w:rsid w:val="00A062BA"/>
    <w:rsid w:val="00A07C46"/>
    <w:rsid w:val="00A10371"/>
    <w:rsid w:val="00A109DB"/>
    <w:rsid w:val="00A10E7D"/>
    <w:rsid w:val="00A12C4E"/>
    <w:rsid w:val="00A130BD"/>
    <w:rsid w:val="00A15C9F"/>
    <w:rsid w:val="00A1624C"/>
    <w:rsid w:val="00A25583"/>
    <w:rsid w:val="00A25AEB"/>
    <w:rsid w:val="00A25BA6"/>
    <w:rsid w:val="00A33D54"/>
    <w:rsid w:val="00A41166"/>
    <w:rsid w:val="00A425C3"/>
    <w:rsid w:val="00A42634"/>
    <w:rsid w:val="00A44008"/>
    <w:rsid w:val="00A4518C"/>
    <w:rsid w:val="00A4666E"/>
    <w:rsid w:val="00A50E25"/>
    <w:rsid w:val="00A50E36"/>
    <w:rsid w:val="00A51370"/>
    <w:rsid w:val="00A5291B"/>
    <w:rsid w:val="00A65533"/>
    <w:rsid w:val="00A708DA"/>
    <w:rsid w:val="00A76120"/>
    <w:rsid w:val="00A7615B"/>
    <w:rsid w:val="00A774E2"/>
    <w:rsid w:val="00A77DCE"/>
    <w:rsid w:val="00A77F21"/>
    <w:rsid w:val="00A81543"/>
    <w:rsid w:val="00A81A72"/>
    <w:rsid w:val="00A830B0"/>
    <w:rsid w:val="00A8461F"/>
    <w:rsid w:val="00A907C4"/>
    <w:rsid w:val="00A9312B"/>
    <w:rsid w:val="00A93C7A"/>
    <w:rsid w:val="00AA107D"/>
    <w:rsid w:val="00AA3AF8"/>
    <w:rsid w:val="00AA3C9D"/>
    <w:rsid w:val="00AA53D7"/>
    <w:rsid w:val="00AA5E29"/>
    <w:rsid w:val="00AA698B"/>
    <w:rsid w:val="00AA7336"/>
    <w:rsid w:val="00AB0871"/>
    <w:rsid w:val="00AB1849"/>
    <w:rsid w:val="00AB282B"/>
    <w:rsid w:val="00AB416F"/>
    <w:rsid w:val="00AB48CF"/>
    <w:rsid w:val="00AC2D9A"/>
    <w:rsid w:val="00AC4CE3"/>
    <w:rsid w:val="00AC6C6E"/>
    <w:rsid w:val="00AD3973"/>
    <w:rsid w:val="00AE2540"/>
    <w:rsid w:val="00AE26D2"/>
    <w:rsid w:val="00AE2B70"/>
    <w:rsid w:val="00AE30E4"/>
    <w:rsid w:val="00AE3712"/>
    <w:rsid w:val="00AE4714"/>
    <w:rsid w:val="00AF216E"/>
    <w:rsid w:val="00AF41AA"/>
    <w:rsid w:val="00AF7366"/>
    <w:rsid w:val="00AF73F0"/>
    <w:rsid w:val="00B01B04"/>
    <w:rsid w:val="00B0481F"/>
    <w:rsid w:val="00B05D9D"/>
    <w:rsid w:val="00B05E27"/>
    <w:rsid w:val="00B067FC"/>
    <w:rsid w:val="00B11A67"/>
    <w:rsid w:val="00B11DC7"/>
    <w:rsid w:val="00B12C5F"/>
    <w:rsid w:val="00B12FE1"/>
    <w:rsid w:val="00B143EE"/>
    <w:rsid w:val="00B16445"/>
    <w:rsid w:val="00B2042C"/>
    <w:rsid w:val="00B2144A"/>
    <w:rsid w:val="00B22F8F"/>
    <w:rsid w:val="00B27A46"/>
    <w:rsid w:val="00B30746"/>
    <w:rsid w:val="00B30906"/>
    <w:rsid w:val="00B30A4B"/>
    <w:rsid w:val="00B33188"/>
    <w:rsid w:val="00B35BBE"/>
    <w:rsid w:val="00B376BF"/>
    <w:rsid w:val="00B41303"/>
    <w:rsid w:val="00B4408B"/>
    <w:rsid w:val="00B51C9E"/>
    <w:rsid w:val="00B526DD"/>
    <w:rsid w:val="00B6181C"/>
    <w:rsid w:val="00B62F47"/>
    <w:rsid w:val="00B63EDE"/>
    <w:rsid w:val="00B640AF"/>
    <w:rsid w:val="00B67E21"/>
    <w:rsid w:val="00B70BDD"/>
    <w:rsid w:val="00B737C7"/>
    <w:rsid w:val="00B75241"/>
    <w:rsid w:val="00B7744C"/>
    <w:rsid w:val="00B808F0"/>
    <w:rsid w:val="00B82832"/>
    <w:rsid w:val="00B85074"/>
    <w:rsid w:val="00B86327"/>
    <w:rsid w:val="00B867EA"/>
    <w:rsid w:val="00B90AF7"/>
    <w:rsid w:val="00B9124F"/>
    <w:rsid w:val="00B9176A"/>
    <w:rsid w:val="00B965C2"/>
    <w:rsid w:val="00BA1EB7"/>
    <w:rsid w:val="00BA2020"/>
    <w:rsid w:val="00BA300C"/>
    <w:rsid w:val="00BA4333"/>
    <w:rsid w:val="00BA47A2"/>
    <w:rsid w:val="00BB0703"/>
    <w:rsid w:val="00BB376B"/>
    <w:rsid w:val="00BB3F29"/>
    <w:rsid w:val="00BB55D6"/>
    <w:rsid w:val="00BB6BC7"/>
    <w:rsid w:val="00BB7BB7"/>
    <w:rsid w:val="00BC202F"/>
    <w:rsid w:val="00BC55CA"/>
    <w:rsid w:val="00BC6DF1"/>
    <w:rsid w:val="00BC7957"/>
    <w:rsid w:val="00BD08C6"/>
    <w:rsid w:val="00BD0911"/>
    <w:rsid w:val="00BD0943"/>
    <w:rsid w:val="00BD40E5"/>
    <w:rsid w:val="00BD6301"/>
    <w:rsid w:val="00BE1B22"/>
    <w:rsid w:val="00BE4617"/>
    <w:rsid w:val="00BE4FFE"/>
    <w:rsid w:val="00BE5E5D"/>
    <w:rsid w:val="00BE6E13"/>
    <w:rsid w:val="00BF0CF1"/>
    <w:rsid w:val="00BF58D8"/>
    <w:rsid w:val="00BF5B25"/>
    <w:rsid w:val="00BF6164"/>
    <w:rsid w:val="00BF6573"/>
    <w:rsid w:val="00BF7ADB"/>
    <w:rsid w:val="00C003F7"/>
    <w:rsid w:val="00C00D41"/>
    <w:rsid w:val="00C0169D"/>
    <w:rsid w:val="00C0188E"/>
    <w:rsid w:val="00C03B06"/>
    <w:rsid w:val="00C046CC"/>
    <w:rsid w:val="00C0570E"/>
    <w:rsid w:val="00C103AF"/>
    <w:rsid w:val="00C15694"/>
    <w:rsid w:val="00C17999"/>
    <w:rsid w:val="00C20027"/>
    <w:rsid w:val="00C20D61"/>
    <w:rsid w:val="00C20F79"/>
    <w:rsid w:val="00C2126D"/>
    <w:rsid w:val="00C23F76"/>
    <w:rsid w:val="00C2417F"/>
    <w:rsid w:val="00C27043"/>
    <w:rsid w:val="00C27D81"/>
    <w:rsid w:val="00C3089D"/>
    <w:rsid w:val="00C309D1"/>
    <w:rsid w:val="00C3472D"/>
    <w:rsid w:val="00C35E57"/>
    <w:rsid w:val="00C44A85"/>
    <w:rsid w:val="00C46C4D"/>
    <w:rsid w:val="00C47318"/>
    <w:rsid w:val="00C473E7"/>
    <w:rsid w:val="00C538A7"/>
    <w:rsid w:val="00C53D92"/>
    <w:rsid w:val="00C540F2"/>
    <w:rsid w:val="00C54F84"/>
    <w:rsid w:val="00C55183"/>
    <w:rsid w:val="00C55E49"/>
    <w:rsid w:val="00C57774"/>
    <w:rsid w:val="00C6315C"/>
    <w:rsid w:val="00C6332E"/>
    <w:rsid w:val="00C63701"/>
    <w:rsid w:val="00C649A5"/>
    <w:rsid w:val="00C73AB3"/>
    <w:rsid w:val="00C760E0"/>
    <w:rsid w:val="00C76170"/>
    <w:rsid w:val="00C821D4"/>
    <w:rsid w:val="00C82956"/>
    <w:rsid w:val="00C82B66"/>
    <w:rsid w:val="00C82D5B"/>
    <w:rsid w:val="00C84F6B"/>
    <w:rsid w:val="00C937E0"/>
    <w:rsid w:val="00C95D99"/>
    <w:rsid w:val="00C96139"/>
    <w:rsid w:val="00CA0C2A"/>
    <w:rsid w:val="00CA0E9C"/>
    <w:rsid w:val="00CA12D8"/>
    <w:rsid w:val="00CA5B07"/>
    <w:rsid w:val="00CA6814"/>
    <w:rsid w:val="00CB0DE0"/>
    <w:rsid w:val="00CB5C42"/>
    <w:rsid w:val="00CB7567"/>
    <w:rsid w:val="00CC2BE6"/>
    <w:rsid w:val="00CC3C8B"/>
    <w:rsid w:val="00CC590B"/>
    <w:rsid w:val="00CC6368"/>
    <w:rsid w:val="00CC7F0A"/>
    <w:rsid w:val="00CD1D22"/>
    <w:rsid w:val="00CD1E6E"/>
    <w:rsid w:val="00CD3B9E"/>
    <w:rsid w:val="00CD496B"/>
    <w:rsid w:val="00CD70F8"/>
    <w:rsid w:val="00CE27BA"/>
    <w:rsid w:val="00CE30A1"/>
    <w:rsid w:val="00CE6875"/>
    <w:rsid w:val="00CF02BE"/>
    <w:rsid w:val="00CF1329"/>
    <w:rsid w:val="00CF525F"/>
    <w:rsid w:val="00CF54D1"/>
    <w:rsid w:val="00CF7272"/>
    <w:rsid w:val="00CF7D39"/>
    <w:rsid w:val="00CF7D53"/>
    <w:rsid w:val="00CF7E99"/>
    <w:rsid w:val="00CF7F94"/>
    <w:rsid w:val="00D016A8"/>
    <w:rsid w:val="00D03033"/>
    <w:rsid w:val="00D06B57"/>
    <w:rsid w:val="00D10072"/>
    <w:rsid w:val="00D11662"/>
    <w:rsid w:val="00D12C70"/>
    <w:rsid w:val="00D1341F"/>
    <w:rsid w:val="00D137E3"/>
    <w:rsid w:val="00D146A9"/>
    <w:rsid w:val="00D15C4C"/>
    <w:rsid w:val="00D16B9A"/>
    <w:rsid w:val="00D172B4"/>
    <w:rsid w:val="00D20256"/>
    <w:rsid w:val="00D21954"/>
    <w:rsid w:val="00D2213E"/>
    <w:rsid w:val="00D221F2"/>
    <w:rsid w:val="00D25DE7"/>
    <w:rsid w:val="00D302DB"/>
    <w:rsid w:val="00D30E63"/>
    <w:rsid w:val="00D31278"/>
    <w:rsid w:val="00D34E17"/>
    <w:rsid w:val="00D3618F"/>
    <w:rsid w:val="00D36A27"/>
    <w:rsid w:val="00D40412"/>
    <w:rsid w:val="00D414BE"/>
    <w:rsid w:val="00D424BC"/>
    <w:rsid w:val="00D424C7"/>
    <w:rsid w:val="00D458C7"/>
    <w:rsid w:val="00D45A6B"/>
    <w:rsid w:val="00D469BA"/>
    <w:rsid w:val="00D51F53"/>
    <w:rsid w:val="00D521C5"/>
    <w:rsid w:val="00D52FC0"/>
    <w:rsid w:val="00D54D82"/>
    <w:rsid w:val="00D5693B"/>
    <w:rsid w:val="00D56C30"/>
    <w:rsid w:val="00D62D5F"/>
    <w:rsid w:val="00D65105"/>
    <w:rsid w:val="00D6762F"/>
    <w:rsid w:val="00D702FE"/>
    <w:rsid w:val="00D706A7"/>
    <w:rsid w:val="00D70E95"/>
    <w:rsid w:val="00D72B31"/>
    <w:rsid w:val="00D72FCC"/>
    <w:rsid w:val="00D74A58"/>
    <w:rsid w:val="00D804B5"/>
    <w:rsid w:val="00D811B2"/>
    <w:rsid w:val="00D82F6B"/>
    <w:rsid w:val="00D844AC"/>
    <w:rsid w:val="00D86A97"/>
    <w:rsid w:val="00D87251"/>
    <w:rsid w:val="00D912C3"/>
    <w:rsid w:val="00D92554"/>
    <w:rsid w:val="00D935C0"/>
    <w:rsid w:val="00D94834"/>
    <w:rsid w:val="00D969FB"/>
    <w:rsid w:val="00D96E26"/>
    <w:rsid w:val="00DA115C"/>
    <w:rsid w:val="00DA15A1"/>
    <w:rsid w:val="00DA2194"/>
    <w:rsid w:val="00DA4DF3"/>
    <w:rsid w:val="00DA739D"/>
    <w:rsid w:val="00DA7F46"/>
    <w:rsid w:val="00DB3C28"/>
    <w:rsid w:val="00DB4CE0"/>
    <w:rsid w:val="00DC3226"/>
    <w:rsid w:val="00DC4E87"/>
    <w:rsid w:val="00DC6EDB"/>
    <w:rsid w:val="00DD050F"/>
    <w:rsid w:val="00DD187D"/>
    <w:rsid w:val="00DD2068"/>
    <w:rsid w:val="00DD2925"/>
    <w:rsid w:val="00DD7C8C"/>
    <w:rsid w:val="00DE0CCC"/>
    <w:rsid w:val="00DE1C29"/>
    <w:rsid w:val="00DE25A5"/>
    <w:rsid w:val="00DE3EA5"/>
    <w:rsid w:val="00DE4272"/>
    <w:rsid w:val="00DE6A8A"/>
    <w:rsid w:val="00DE6CB7"/>
    <w:rsid w:val="00DE71FD"/>
    <w:rsid w:val="00DF008F"/>
    <w:rsid w:val="00DF0B0F"/>
    <w:rsid w:val="00DF0F23"/>
    <w:rsid w:val="00DF4419"/>
    <w:rsid w:val="00DF56B2"/>
    <w:rsid w:val="00DF5880"/>
    <w:rsid w:val="00DF588D"/>
    <w:rsid w:val="00DF63A0"/>
    <w:rsid w:val="00E0089C"/>
    <w:rsid w:val="00E019A1"/>
    <w:rsid w:val="00E020C3"/>
    <w:rsid w:val="00E028C4"/>
    <w:rsid w:val="00E14B50"/>
    <w:rsid w:val="00E2226A"/>
    <w:rsid w:val="00E2240A"/>
    <w:rsid w:val="00E22A1B"/>
    <w:rsid w:val="00E23D72"/>
    <w:rsid w:val="00E24FF7"/>
    <w:rsid w:val="00E25061"/>
    <w:rsid w:val="00E31E79"/>
    <w:rsid w:val="00E335A7"/>
    <w:rsid w:val="00E33980"/>
    <w:rsid w:val="00E36978"/>
    <w:rsid w:val="00E37CB2"/>
    <w:rsid w:val="00E40577"/>
    <w:rsid w:val="00E43715"/>
    <w:rsid w:val="00E444C0"/>
    <w:rsid w:val="00E44E3F"/>
    <w:rsid w:val="00E50D74"/>
    <w:rsid w:val="00E524C9"/>
    <w:rsid w:val="00E54F78"/>
    <w:rsid w:val="00E57D49"/>
    <w:rsid w:val="00E57EA1"/>
    <w:rsid w:val="00E62756"/>
    <w:rsid w:val="00E66817"/>
    <w:rsid w:val="00E7348E"/>
    <w:rsid w:val="00E744EE"/>
    <w:rsid w:val="00E74E7B"/>
    <w:rsid w:val="00E75ECF"/>
    <w:rsid w:val="00E8033D"/>
    <w:rsid w:val="00E80DA1"/>
    <w:rsid w:val="00E857E0"/>
    <w:rsid w:val="00E85B91"/>
    <w:rsid w:val="00E860A7"/>
    <w:rsid w:val="00E863EA"/>
    <w:rsid w:val="00E869A7"/>
    <w:rsid w:val="00E90533"/>
    <w:rsid w:val="00E9313B"/>
    <w:rsid w:val="00E93967"/>
    <w:rsid w:val="00E977B0"/>
    <w:rsid w:val="00EA266C"/>
    <w:rsid w:val="00EA550C"/>
    <w:rsid w:val="00EA7703"/>
    <w:rsid w:val="00EB12CB"/>
    <w:rsid w:val="00EB1EF0"/>
    <w:rsid w:val="00EB320B"/>
    <w:rsid w:val="00EB3B10"/>
    <w:rsid w:val="00EB5104"/>
    <w:rsid w:val="00EB5221"/>
    <w:rsid w:val="00EB6820"/>
    <w:rsid w:val="00EC6D7E"/>
    <w:rsid w:val="00EC7A66"/>
    <w:rsid w:val="00ED31F8"/>
    <w:rsid w:val="00ED3FA8"/>
    <w:rsid w:val="00EE02F8"/>
    <w:rsid w:val="00EE1B23"/>
    <w:rsid w:val="00EE2E4B"/>
    <w:rsid w:val="00EE33A1"/>
    <w:rsid w:val="00EE44B9"/>
    <w:rsid w:val="00EF34B2"/>
    <w:rsid w:val="00EF35AE"/>
    <w:rsid w:val="00F0249B"/>
    <w:rsid w:val="00F046AE"/>
    <w:rsid w:val="00F04E06"/>
    <w:rsid w:val="00F07061"/>
    <w:rsid w:val="00F15AB1"/>
    <w:rsid w:val="00F1658C"/>
    <w:rsid w:val="00F17829"/>
    <w:rsid w:val="00F2167E"/>
    <w:rsid w:val="00F23932"/>
    <w:rsid w:val="00F255A1"/>
    <w:rsid w:val="00F26971"/>
    <w:rsid w:val="00F304F2"/>
    <w:rsid w:val="00F3166C"/>
    <w:rsid w:val="00F35DC6"/>
    <w:rsid w:val="00F36EF0"/>
    <w:rsid w:val="00F41B04"/>
    <w:rsid w:val="00F443E9"/>
    <w:rsid w:val="00F467A9"/>
    <w:rsid w:val="00F467AE"/>
    <w:rsid w:val="00F46EBD"/>
    <w:rsid w:val="00F50EF6"/>
    <w:rsid w:val="00F54231"/>
    <w:rsid w:val="00F5713D"/>
    <w:rsid w:val="00F60731"/>
    <w:rsid w:val="00F61EE3"/>
    <w:rsid w:val="00F623C3"/>
    <w:rsid w:val="00F63149"/>
    <w:rsid w:val="00F643ED"/>
    <w:rsid w:val="00F6694C"/>
    <w:rsid w:val="00F70C1E"/>
    <w:rsid w:val="00F73465"/>
    <w:rsid w:val="00F7672B"/>
    <w:rsid w:val="00F772DB"/>
    <w:rsid w:val="00F802B6"/>
    <w:rsid w:val="00F80A64"/>
    <w:rsid w:val="00F81B07"/>
    <w:rsid w:val="00F83ED8"/>
    <w:rsid w:val="00F841F3"/>
    <w:rsid w:val="00F84B0E"/>
    <w:rsid w:val="00F902AA"/>
    <w:rsid w:val="00F90C7B"/>
    <w:rsid w:val="00F90CEB"/>
    <w:rsid w:val="00F93DA7"/>
    <w:rsid w:val="00FA0010"/>
    <w:rsid w:val="00FA0370"/>
    <w:rsid w:val="00FA12C1"/>
    <w:rsid w:val="00FA1F1F"/>
    <w:rsid w:val="00FA377E"/>
    <w:rsid w:val="00FA5C14"/>
    <w:rsid w:val="00FA7AAB"/>
    <w:rsid w:val="00FB0CCE"/>
    <w:rsid w:val="00FB1B02"/>
    <w:rsid w:val="00FB2248"/>
    <w:rsid w:val="00FB25F5"/>
    <w:rsid w:val="00FB3B6B"/>
    <w:rsid w:val="00FB3EE8"/>
    <w:rsid w:val="00FB507B"/>
    <w:rsid w:val="00FB54C3"/>
    <w:rsid w:val="00FB66E7"/>
    <w:rsid w:val="00FB6F69"/>
    <w:rsid w:val="00FC02B4"/>
    <w:rsid w:val="00FC3357"/>
    <w:rsid w:val="00FC39EE"/>
    <w:rsid w:val="00FC5FD6"/>
    <w:rsid w:val="00FD0BF0"/>
    <w:rsid w:val="00FD2D3A"/>
    <w:rsid w:val="00FD4E75"/>
    <w:rsid w:val="00FD5E20"/>
    <w:rsid w:val="00FE15EF"/>
    <w:rsid w:val="00FE1F87"/>
    <w:rsid w:val="00FE28F9"/>
    <w:rsid w:val="00FE3D09"/>
    <w:rsid w:val="00FF261F"/>
    <w:rsid w:val="00FF4288"/>
    <w:rsid w:val="01CD0F9F"/>
    <w:rsid w:val="0300639E"/>
    <w:rsid w:val="03153189"/>
    <w:rsid w:val="03642900"/>
    <w:rsid w:val="04DB134D"/>
    <w:rsid w:val="080D50EE"/>
    <w:rsid w:val="09D543DF"/>
    <w:rsid w:val="09E53CEA"/>
    <w:rsid w:val="0A83170F"/>
    <w:rsid w:val="0C741892"/>
    <w:rsid w:val="0E10762E"/>
    <w:rsid w:val="0E60162A"/>
    <w:rsid w:val="0EB2248F"/>
    <w:rsid w:val="11F70350"/>
    <w:rsid w:val="135031AC"/>
    <w:rsid w:val="136510FE"/>
    <w:rsid w:val="15EE4EE9"/>
    <w:rsid w:val="166411DD"/>
    <w:rsid w:val="1BF30E24"/>
    <w:rsid w:val="1C1F7AB8"/>
    <w:rsid w:val="1C634632"/>
    <w:rsid w:val="1CF041C4"/>
    <w:rsid w:val="1F080903"/>
    <w:rsid w:val="1FC6060D"/>
    <w:rsid w:val="20B0170A"/>
    <w:rsid w:val="21A77FF7"/>
    <w:rsid w:val="220D3923"/>
    <w:rsid w:val="225F7E4A"/>
    <w:rsid w:val="292C05F1"/>
    <w:rsid w:val="296E5EEC"/>
    <w:rsid w:val="2A570FEB"/>
    <w:rsid w:val="2A5B7500"/>
    <w:rsid w:val="2C975B4D"/>
    <w:rsid w:val="2D210291"/>
    <w:rsid w:val="2D3E31DF"/>
    <w:rsid w:val="2FEE6807"/>
    <w:rsid w:val="307F7C4D"/>
    <w:rsid w:val="31400AED"/>
    <w:rsid w:val="3345279D"/>
    <w:rsid w:val="336C3D44"/>
    <w:rsid w:val="34554724"/>
    <w:rsid w:val="35212079"/>
    <w:rsid w:val="35CA325D"/>
    <w:rsid w:val="35F072EC"/>
    <w:rsid w:val="35F20E93"/>
    <w:rsid w:val="36606E21"/>
    <w:rsid w:val="38AC4CD3"/>
    <w:rsid w:val="39AC6AA8"/>
    <w:rsid w:val="3AC336D0"/>
    <w:rsid w:val="3E477641"/>
    <w:rsid w:val="3FED481E"/>
    <w:rsid w:val="40695582"/>
    <w:rsid w:val="41E54455"/>
    <w:rsid w:val="45203D39"/>
    <w:rsid w:val="45353FEC"/>
    <w:rsid w:val="47A76204"/>
    <w:rsid w:val="48717413"/>
    <w:rsid w:val="48773513"/>
    <w:rsid w:val="4BCE3280"/>
    <w:rsid w:val="4C186334"/>
    <w:rsid w:val="4C414FBA"/>
    <w:rsid w:val="4E53652C"/>
    <w:rsid w:val="4FFD7628"/>
    <w:rsid w:val="50457D77"/>
    <w:rsid w:val="522265E4"/>
    <w:rsid w:val="545D150C"/>
    <w:rsid w:val="553155AD"/>
    <w:rsid w:val="55616EB1"/>
    <w:rsid w:val="5734475E"/>
    <w:rsid w:val="585B2034"/>
    <w:rsid w:val="58ED75B0"/>
    <w:rsid w:val="5A836973"/>
    <w:rsid w:val="5B102F24"/>
    <w:rsid w:val="5B8E4C40"/>
    <w:rsid w:val="5C8712C4"/>
    <w:rsid w:val="6010773B"/>
    <w:rsid w:val="60B555F6"/>
    <w:rsid w:val="62C443A4"/>
    <w:rsid w:val="649D3796"/>
    <w:rsid w:val="64C85E94"/>
    <w:rsid w:val="658462C2"/>
    <w:rsid w:val="65B84C8D"/>
    <w:rsid w:val="6673111F"/>
    <w:rsid w:val="68D27F12"/>
    <w:rsid w:val="68E345FB"/>
    <w:rsid w:val="691537BF"/>
    <w:rsid w:val="6A717C32"/>
    <w:rsid w:val="6BFB6E70"/>
    <w:rsid w:val="6CAF1681"/>
    <w:rsid w:val="6E5F5C9C"/>
    <w:rsid w:val="6F41269D"/>
    <w:rsid w:val="7203258A"/>
    <w:rsid w:val="7231214A"/>
    <w:rsid w:val="73BA71AF"/>
    <w:rsid w:val="75B13B54"/>
    <w:rsid w:val="75E048D6"/>
    <w:rsid w:val="76BE568E"/>
    <w:rsid w:val="77D24718"/>
    <w:rsid w:val="78B91712"/>
    <w:rsid w:val="7B1B7A69"/>
    <w:rsid w:val="7C9B27DB"/>
    <w:rsid w:val="7DD97BA0"/>
    <w:rsid w:val="7F5A55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25"/>
    <w:qFormat/>
    <w:uiPriority w:val="0"/>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3">
    <w:name w:val="Document Map"/>
    <w:basedOn w:val="1"/>
    <w:link w:val="40"/>
    <w:qFormat/>
    <w:uiPriority w:val="0"/>
    <w:rPr>
      <w:rFonts w:ascii="Heiti SC Light" w:eastAsia="Heiti SC Light"/>
      <w:sz w:val="24"/>
    </w:rPr>
  </w:style>
  <w:style w:type="paragraph" w:styleId="4">
    <w:name w:val="annotation text"/>
    <w:basedOn w:val="1"/>
    <w:link w:val="33"/>
    <w:qFormat/>
    <w:uiPriority w:val="0"/>
    <w:pPr>
      <w:jc w:val="left"/>
    </w:pPr>
    <w:rPr>
      <w:lang w:val="zh-CN"/>
    </w:rPr>
  </w:style>
  <w:style w:type="paragraph" w:styleId="5">
    <w:name w:val="Body Text"/>
    <w:basedOn w:val="1"/>
    <w:link w:val="29"/>
    <w:qFormat/>
    <w:uiPriority w:val="0"/>
    <w:pPr>
      <w:spacing w:after="120"/>
    </w:pPr>
  </w:style>
  <w:style w:type="paragraph" w:styleId="6">
    <w:name w:val="Date"/>
    <w:basedOn w:val="1"/>
    <w:next w:val="1"/>
    <w:link w:val="24"/>
    <w:unhideWhenUsed/>
    <w:qFormat/>
    <w:uiPriority w:val="0"/>
    <w:pPr>
      <w:ind w:left="100" w:leftChars="2500"/>
    </w:pPr>
    <w:rPr>
      <w:rFonts w:eastAsia="仿宋_GB2312"/>
      <w:sz w:val="32"/>
    </w:rPr>
  </w:style>
  <w:style w:type="paragraph" w:styleId="7">
    <w:name w:val="Body Text Indent 2"/>
    <w:basedOn w:val="1"/>
    <w:link w:val="30"/>
    <w:qFormat/>
    <w:uiPriority w:val="0"/>
    <w:pPr>
      <w:spacing w:after="120" w:line="480" w:lineRule="auto"/>
      <w:ind w:left="420" w:leftChars="200"/>
    </w:pPr>
  </w:style>
  <w:style w:type="paragraph" w:styleId="8">
    <w:name w:val="Balloon Text"/>
    <w:basedOn w:val="1"/>
    <w:link w:val="31"/>
    <w:semiHidden/>
    <w:qFormat/>
    <w:uiPriority w:val="0"/>
    <w:rPr>
      <w:sz w:val="18"/>
      <w:szCs w:val="18"/>
    </w:rPr>
  </w:style>
  <w:style w:type="paragraph" w:styleId="9">
    <w:name w:val="footer"/>
    <w:basedOn w:val="1"/>
    <w:link w:val="28"/>
    <w:qFormat/>
    <w:uiPriority w:val="0"/>
    <w:pPr>
      <w:tabs>
        <w:tab w:val="center" w:pos="4153"/>
        <w:tab w:val="right" w:pos="8306"/>
      </w:tabs>
      <w:snapToGrid w:val="0"/>
      <w:jc w:val="left"/>
    </w:pPr>
    <w:rPr>
      <w:sz w:val="18"/>
      <w:szCs w:val="18"/>
    </w:rPr>
  </w:style>
  <w:style w:type="paragraph" w:styleId="10">
    <w:name w:val="header"/>
    <w:basedOn w:val="1"/>
    <w:link w:val="32"/>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style>
  <w:style w:type="paragraph" w:styleId="12">
    <w:name w:val="toc 2"/>
    <w:basedOn w:val="1"/>
    <w:next w:val="1"/>
    <w:qFormat/>
    <w:uiPriority w:val="39"/>
    <w:pPr>
      <w:ind w:left="420" w:leftChars="200"/>
    </w:pPr>
  </w:style>
  <w:style w:type="paragraph" w:styleId="13">
    <w:name w:val="annotation subject"/>
    <w:basedOn w:val="4"/>
    <w:next w:val="4"/>
    <w:link w:val="38"/>
    <w:qFormat/>
    <w:uiPriority w:val="0"/>
    <w:rPr>
      <w:b/>
      <w:bCs/>
      <w:lang w:val="en-US"/>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uiPriority w:val="0"/>
    <w:rPr>
      <w:b/>
    </w:rPr>
  </w:style>
  <w:style w:type="character" w:styleId="18">
    <w:name w:val="page number"/>
    <w:basedOn w:val="16"/>
    <w:qFormat/>
    <w:uiPriority w:val="0"/>
  </w:style>
  <w:style w:type="character" w:styleId="19">
    <w:name w:val="FollowedHyperlink"/>
    <w:qFormat/>
    <w:uiPriority w:val="0"/>
    <w:rPr>
      <w:color w:val="800080"/>
      <w:u w:val="single"/>
    </w:rPr>
  </w:style>
  <w:style w:type="character" w:styleId="20">
    <w:name w:val="Hyperlink"/>
    <w:qFormat/>
    <w:uiPriority w:val="99"/>
    <w:rPr>
      <w:color w:val="0000FF"/>
      <w:u w:val="single"/>
    </w:rPr>
  </w:style>
  <w:style w:type="character" w:styleId="21">
    <w:name w:val="annotation reference"/>
    <w:qFormat/>
    <w:uiPriority w:val="0"/>
    <w:rPr>
      <w:sz w:val="21"/>
      <w:szCs w:val="21"/>
    </w:rPr>
  </w:style>
  <w:style w:type="character" w:customStyle="1" w:styleId="22">
    <w:name w:val="个人撰写风格"/>
    <w:qFormat/>
    <w:uiPriority w:val="0"/>
    <w:rPr>
      <w:rFonts w:ascii="Arial" w:hAnsi="Arial" w:eastAsia="宋体" w:cs="Arial"/>
      <w:color w:val="auto"/>
      <w:sz w:val="20"/>
    </w:rPr>
  </w:style>
  <w:style w:type="character" w:customStyle="1" w:styleId="23">
    <w:name w:val="个人答复风格"/>
    <w:qFormat/>
    <w:uiPriority w:val="0"/>
    <w:rPr>
      <w:rFonts w:ascii="Arial" w:hAnsi="Arial" w:eastAsia="宋体" w:cs="Arial"/>
      <w:color w:val="auto"/>
      <w:sz w:val="20"/>
    </w:rPr>
  </w:style>
  <w:style w:type="character" w:customStyle="1" w:styleId="24">
    <w:name w:val="日期 Char"/>
    <w:link w:val="6"/>
    <w:qFormat/>
    <w:uiPriority w:val="0"/>
    <w:rPr>
      <w:rFonts w:eastAsia="仿宋_GB2312"/>
      <w:kern w:val="2"/>
      <w:sz w:val="32"/>
      <w:szCs w:val="24"/>
      <w:lang w:val="en-US" w:eastAsia="zh-CN" w:bidi="ar-SA"/>
    </w:rPr>
  </w:style>
  <w:style w:type="character" w:customStyle="1" w:styleId="25">
    <w:name w:val="标题 3 Char"/>
    <w:link w:val="2"/>
    <w:qFormat/>
    <w:uiPriority w:val="0"/>
    <w:rPr>
      <w:rFonts w:eastAsia="宋体"/>
      <w:b/>
      <w:bCs/>
      <w:kern w:val="2"/>
      <w:sz w:val="32"/>
      <w:szCs w:val="32"/>
      <w:lang w:val="en-US" w:eastAsia="zh-CN" w:bidi="ar-SA"/>
    </w:rPr>
  </w:style>
  <w:style w:type="paragraph" w:customStyle="1" w:styleId="26">
    <w:name w:val="zhang"/>
    <w:basedOn w:val="1"/>
    <w:qFormat/>
    <w:uiPriority w:val="0"/>
    <w:pPr>
      <w:widowControl/>
      <w:spacing w:before="100" w:beforeAutospacing="1" w:after="100" w:afterAutospacing="1"/>
      <w:jc w:val="left"/>
    </w:pPr>
    <w:rPr>
      <w:rFonts w:ascii="̥_GB2312" w:hAnsi="̥_GB2312"/>
      <w:b/>
      <w:bCs/>
      <w:smallCaps/>
      <w:color w:val="000000"/>
      <w:kern w:val="0"/>
      <w:sz w:val="22"/>
      <w:szCs w:val="22"/>
    </w:rPr>
  </w:style>
  <w:style w:type="paragraph" w:customStyle="1" w:styleId="27">
    <w:name w:val="1"/>
    <w:basedOn w:val="1"/>
    <w:next w:val="7"/>
    <w:qFormat/>
    <w:uiPriority w:val="0"/>
    <w:pPr>
      <w:widowControl/>
      <w:spacing w:after="240" w:line="320" w:lineRule="exact"/>
      <w:ind w:firstLine="480" w:firstLineChars="200"/>
      <w:jc w:val="left"/>
    </w:pPr>
    <w:rPr>
      <w:rFonts w:ascii="宋体" w:hAnsi="宋体"/>
      <w:color w:val="000000"/>
      <w:kern w:val="0"/>
      <w:sz w:val="24"/>
    </w:rPr>
  </w:style>
  <w:style w:type="character" w:customStyle="1" w:styleId="28">
    <w:name w:val="页脚 Char"/>
    <w:link w:val="9"/>
    <w:qFormat/>
    <w:uiPriority w:val="0"/>
    <w:rPr>
      <w:rFonts w:eastAsia="宋体"/>
      <w:kern w:val="2"/>
      <w:sz w:val="18"/>
      <w:szCs w:val="18"/>
      <w:lang w:val="en-US" w:eastAsia="zh-CN" w:bidi="ar-SA"/>
    </w:rPr>
  </w:style>
  <w:style w:type="character" w:customStyle="1" w:styleId="29">
    <w:name w:val="正文文本 Char"/>
    <w:link w:val="5"/>
    <w:qFormat/>
    <w:uiPriority w:val="0"/>
    <w:rPr>
      <w:rFonts w:eastAsia="宋体"/>
      <w:kern w:val="2"/>
      <w:sz w:val="21"/>
      <w:szCs w:val="24"/>
      <w:lang w:val="en-US" w:eastAsia="zh-CN" w:bidi="ar-SA"/>
    </w:rPr>
  </w:style>
  <w:style w:type="character" w:customStyle="1" w:styleId="30">
    <w:name w:val="正文文本缩进 2 Char"/>
    <w:link w:val="7"/>
    <w:qFormat/>
    <w:uiPriority w:val="0"/>
    <w:rPr>
      <w:rFonts w:eastAsia="宋体"/>
      <w:kern w:val="2"/>
      <w:sz w:val="21"/>
      <w:szCs w:val="24"/>
      <w:lang w:val="en-US" w:eastAsia="zh-CN" w:bidi="ar-SA"/>
    </w:rPr>
  </w:style>
  <w:style w:type="character" w:customStyle="1" w:styleId="31">
    <w:name w:val="批注框文本 Char"/>
    <w:link w:val="8"/>
    <w:semiHidden/>
    <w:qFormat/>
    <w:uiPriority w:val="0"/>
    <w:rPr>
      <w:rFonts w:eastAsia="宋体"/>
      <w:kern w:val="2"/>
      <w:sz w:val="18"/>
      <w:szCs w:val="18"/>
      <w:lang w:val="en-US" w:eastAsia="zh-CN" w:bidi="ar-SA"/>
    </w:rPr>
  </w:style>
  <w:style w:type="character" w:customStyle="1" w:styleId="32">
    <w:name w:val="页眉 Char"/>
    <w:link w:val="10"/>
    <w:qFormat/>
    <w:uiPriority w:val="0"/>
    <w:rPr>
      <w:rFonts w:eastAsia="宋体"/>
      <w:kern w:val="2"/>
      <w:sz w:val="18"/>
      <w:szCs w:val="18"/>
      <w:lang w:val="en-US" w:eastAsia="zh-CN" w:bidi="ar-SA"/>
    </w:rPr>
  </w:style>
  <w:style w:type="character" w:customStyle="1" w:styleId="33">
    <w:name w:val="批注文字 Char"/>
    <w:link w:val="4"/>
    <w:qFormat/>
    <w:uiPriority w:val="0"/>
    <w:rPr>
      <w:kern w:val="2"/>
      <w:sz w:val="21"/>
      <w:szCs w:val="24"/>
    </w:rPr>
  </w:style>
  <w:style w:type="character" w:customStyle="1" w:styleId="34">
    <w:name w:val="char"/>
    <w:qFormat/>
    <w:uiPriority w:val="0"/>
  </w:style>
  <w:style w:type="character" w:customStyle="1" w:styleId="35">
    <w:name w:val="日期 Char1"/>
    <w:qFormat/>
    <w:uiPriority w:val="0"/>
    <w:rPr>
      <w:kern w:val="2"/>
      <w:sz w:val="21"/>
      <w:szCs w:val="24"/>
    </w:rPr>
  </w:style>
  <w:style w:type="character" w:customStyle="1" w:styleId="36">
    <w:name w:val="正文文本 Char1"/>
    <w:qFormat/>
    <w:uiPriority w:val="0"/>
    <w:rPr>
      <w:kern w:val="2"/>
      <w:sz w:val="21"/>
      <w:szCs w:val="24"/>
    </w:rPr>
  </w:style>
  <w:style w:type="character" w:customStyle="1" w:styleId="37">
    <w:name w:val="正文文本缩进 2 Char1"/>
    <w:qFormat/>
    <w:uiPriority w:val="0"/>
    <w:rPr>
      <w:kern w:val="2"/>
      <w:sz w:val="21"/>
      <w:szCs w:val="24"/>
    </w:rPr>
  </w:style>
  <w:style w:type="character" w:customStyle="1" w:styleId="38">
    <w:name w:val="批注主题 Char"/>
    <w:link w:val="13"/>
    <w:qFormat/>
    <w:uiPriority w:val="0"/>
    <w:rPr>
      <w:b/>
      <w:bCs/>
      <w:kern w:val="2"/>
      <w:sz w:val="21"/>
      <w:szCs w:val="24"/>
    </w:rPr>
  </w:style>
  <w:style w:type="paragraph" w:customStyle="1" w:styleId="39">
    <w:name w:val="中等深浅列表 2 - 强调文字颜色 21"/>
    <w:hidden/>
    <w:qFormat/>
    <w:uiPriority w:val="71"/>
    <w:rPr>
      <w:rFonts w:ascii="Times New Roman" w:hAnsi="Times New Roman" w:eastAsia="宋体" w:cs="Times New Roman"/>
      <w:kern w:val="2"/>
      <w:sz w:val="21"/>
      <w:szCs w:val="24"/>
      <w:lang w:val="en-US" w:eastAsia="zh-CN" w:bidi="ar-SA"/>
    </w:rPr>
  </w:style>
  <w:style w:type="character" w:customStyle="1" w:styleId="40">
    <w:name w:val="文档结构图 Char"/>
    <w:link w:val="3"/>
    <w:qFormat/>
    <w:uiPriority w:val="0"/>
    <w:rPr>
      <w:rFonts w:ascii="Heiti SC Light" w:eastAsia="Heiti SC Light"/>
      <w:kern w:val="2"/>
      <w:sz w:val="24"/>
      <w:szCs w:val="24"/>
    </w:rPr>
  </w:style>
  <w:style w:type="paragraph" w:customStyle="1" w:styleId="41">
    <w:name w:val="彩色底纹 - 强调文字颜色 11"/>
    <w:hidden/>
    <w:qFormat/>
    <w:uiPriority w:val="71"/>
    <w:rPr>
      <w:rFonts w:ascii="Times New Roman" w:hAnsi="Times New Roman" w:eastAsia="宋体" w:cs="Times New Roman"/>
      <w:kern w:val="2"/>
      <w:sz w:val="21"/>
      <w:szCs w:val="24"/>
      <w:lang w:val="en-US" w:eastAsia="zh-CN" w:bidi="ar-SA"/>
    </w:rPr>
  </w:style>
  <w:style w:type="paragraph" w:customStyle="1" w:styleId="42">
    <w:name w:val="List Paragraph"/>
    <w:basedOn w:val="1"/>
    <w:qFormat/>
    <w:uiPriority w:val="34"/>
    <w:pPr>
      <w:ind w:firstLine="420" w:firstLineChars="200"/>
    </w:pPr>
  </w:style>
  <w:style w:type="paragraph" w:customStyle="1" w:styleId="43">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44">
    <w:name w:val="title2"/>
    <w:qFormat/>
    <w:uiPriority w:val="0"/>
    <w:rPr>
      <w:rFonts w:hint="eastAsia" w:ascii="微软雅黑" w:hAnsi="微软雅黑" w:eastAsia="微软雅黑"/>
      <w:sz w:val="24"/>
      <w:szCs w:val="24"/>
    </w:rPr>
  </w:style>
  <w:style w:type="paragraph" w:customStyle="1" w:styleId="45">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46">
    <w:name w:val="doc-a"/>
    <w:basedOn w:val="1"/>
    <w:qFormat/>
    <w:uiPriority w:val="0"/>
    <w:pPr>
      <w:widowControl/>
      <w:spacing w:before="100" w:beforeAutospacing="1" w:after="100" w:afterAutospacing="1"/>
      <w:jc w:val="left"/>
    </w:pPr>
    <w:rPr>
      <w:rFonts w:ascii="宋体" w:hAnsi="宋体" w:cs="宋体"/>
      <w:kern w:val="0"/>
      <w:sz w:val="24"/>
    </w:rPr>
  </w:style>
  <w:style w:type="character" w:customStyle="1" w:styleId="47">
    <w:name w:val="highlight"/>
    <w:basedOn w:val="16"/>
    <w:qFormat/>
    <w:uiPriority w:val="0"/>
  </w:style>
  <w:style w:type="paragraph" w:customStyle="1" w:styleId="48">
    <w:name w:val="title1"/>
    <w:basedOn w:val="1"/>
    <w:qFormat/>
    <w:uiPriority w:val="0"/>
    <w:pPr>
      <w:spacing w:before="100" w:beforeAutospacing="1" w:after="100" w:afterAutospacing="1"/>
      <w:ind w:firstLine="480"/>
    </w:pPr>
    <w:rPr>
      <w:rFonts w:ascii="微软雅黑" w:hAnsi="微软雅黑" w:eastAsia="微软雅黑"/>
    </w:rPr>
  </w:style>
  <w:style w:type="character" w:customStyle="1" w:styleId="49">
    <w:name w:val="sect2title1"/>
    <w:qFormat/>
    <w:uiPriority w:val="0"/>
    <w:rPr>
      <w:rFonts w:hint="eastAsia" w:ascii="微软雅黑" w:hAnsi="微软雅黑" w:eastAsia="微软雅黑"/>
      <w:b/>
      <w:bCs/>
      <w:sz w:val="24"/>
      <w:szCs w:val="24"/>
    </w:rPr>
  </w:style>
  <w:style w:type="character" w:customStyle="1" w:styleId="50">
    <w:name w:val="NormalCharacter"/>
    <w:semiHidden/>
    <w:qFormat/>
    <w:uiPriority w:val="0"/>
    <w:rPr>
      <w:rFonts w:ascii="Times New Roman" w:hAnsi="Times New Roman" w:eastAsia="宋体" w:cs="Times New Roman"/>
      <w:kern w:val="2"/>
      <w:sz w:val="21"/>
      <w:szCs w:val="24"/>
      <w:lang w:val="en-US" w:eastAsia="zh-CN" w:bidi="ar-SA"/>
    </w:rPr>
  </w:style>
  <w:style w:type="character" w:customStyle="1" w:styleId="51">
    <w:name w:val="font61"/>
    <w:basedOn w:val="16"/>
    <w:qFormat/>
    <w:uiPriority w:val="0"/>
    <w:rPr>
      <w:rFonts w:hint="eastAsia" w:ascii="宋体" w:hAnsi="宋体" w:eastAsia="宋体" w:cs="宋体"/>
      <w:b/>
      <w:color w:val="00B0F0"/>
      <w:sz w:val="18"/>
      <w:szCs w:val="18"/>
      <w:u w:val="none"/>
    </w:rPr>
  </w:style>
  <w:style w:type="character" w:customStyle="1" w:styleId="52">
    <w:name w:val="font51"/>
    <w:basedOn w:val="16"/>
    <w:qFormat/>
    <w:uiPriority w:val="0"/>
    <w:rPr>
      <w:rFonts w:hint="eastAsia" w:ascii="宋体" w:hAnsi="宋体" w:eastAsia="宋体" w:cs="宋体"/>
      <w:b/>
      <w:color w:val="FF0000"/>
      <w:sz w:val="18"/>
      <w:szCs w:val="18"/>
      <w:u w:val="none"/>
    </w:rPr>
  </w:style>
  <w:style w:type="character" w:customStyle="1" w:styleId="53">
    <w:name w:val="font81"/>
    <w:basedOn w:val="16"/>
    <w:qFormat/>
    <w:uiPriority w:val="0"/>
    <w:rPr>
      <w:rFonts w:hint="eastAsia" w:ascii="宋体" w:hAnsi="宋体" w:eastAsia="宋体" w:cs="宋体"/>
      <w:color w:val="000000"/>
      <w:sz w:val="18"/>
      <w:szCs w:val="18"/>
      <w:u w:val="none"/>
    </w:rPr>
  </w:style>
  <w:style w:type="paragraph" w:customStyle="1" w:styleId="54">
    <w:name w:val="正文1"/>
    <w:basedOn w:val="55"/>
    <w:qFormat/>
    <w:uiPriority w:val="0"/>
    <w:pPr>
      <w:widowControl/>
      <w:jc w:val="both"/>
    </w:pPr>
    <w:rPr>
      <w:rFonts w:ascii="仿宋_GB2312" w:hAnsi="仿宋_GB2312" w:eastAsia="仿宋_GB2312"/>
      <w:sz w:val="32"/>
    </w:rPr>
  </w:style>
  <w:style w:type="paragraph" w:customStyle="1" w:styleId="55">
    <w:name w:val="[Normal]"/>
    <w:qFormat/>
    <w:uiPriority w:val="0"/>
    <w:rPr>
      <w:rFonts w:ascii="宋体" w:hAnsi="宋体" w:eastAsia="宋体" w:cs="Times New Roman"/>
      <w:sz w:val="24"/>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办公室</Company>
  <Pages>31</Pages>
  <Words>4884</Words>
  <Characters>27842</Characters>
  <Lines>232</Lines>
  <Paragraphs>65</Paragraphs>
  <TotalTime>131</TotalTime>
  <ScaleCrop>false</ScaleCrop>
  <LinksUpToDate>false</LinksUpToDate>
  <CharactersWithSpaces>32661</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2020-07-26T09:34:00Z</dcterms:created>
  <dc:creator>商业银行</dc:creator>
  <cp:lastModifiedBy>Administrator</cp:lastModifiedBy>
  <cp:lastPrinted>2021-10-15T09:14:00Z</cp:lastPrinted>
  <dcterms:modified xsi:type="dcterms:W3CDTF">2023-03-22T06:03:11Z</dcterms:modified>
  <dc:title>厦商银[2003]26 号</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