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黑体" w:hAnsi="黑体" w:eastAsia="黑体" w:cs="黑体"/>
          <w:color w:val="FF0000"/>
          <w:kern w:val="0"/>
          <w:sz w:val="30"/>
          <w:szCs w:val="30"/>
          <w:highlight w:val="none"/>
        </w:rPr>
      </w:pPr>
      <w:r>
        <w:rPr>
          <w:rFonts w:hint="eastAsia" w:ascii="黑体" w:hAnsi="黑体" w:eastAsia="黑体" w:cs="黑体"/>
          <w:color w:val="FF0000"/>
          <w:kern w:val="0"/>
          <w:sz w:val="30"/>
          <w:szCs w:val="30"/>
          <w:highlight w:val="none"/>
        </w:rPr>
        <w:t>理财非存款，产品有风险，投资须谨慎！</w:t>
      </w: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rPr>
          <w:rFonts w:ascii="宋体" w:hAnsi="宋体" w:cs="宋体"/>
          <w:b/>
          <w:spacing w:val="-12"/>
          <w:kern w:val="30"/>
          <w:sz w:val="24"/>
          <w:szCs w:val="24"/>
          <w:highlight w:val="none"/>
        </w:rPr>
      </w:pPr>
    </w:p>
    <w:p>
      <w:pPr>
        <w:widowControl/>
        <w:jc w:val="center"/>
        <w:rPr>
          <w:rFonts w:ascii="黑体" w:hAnsi="黑体" w:eastAsia="黑体" w:cs="黑体"/>
          <w:b/>
          <w:spacing w:val="-12"/>
          <w:kern w:val="30"/>
          <w:sz w:val="44"/>
          <w:szCs w:val="44"/>
          <w:highlight w:val="none"/>
        </w:rPr>
      </w:pPr>
      <w:r>
        <w:rPr>
          <w:rFonts w:hint="eastAsia" w:ascii="黑体" w:hAnsi="黑体" w:eastAsia="黑体" w:cs="黑体"/>
          <w:b/>
          <w:spacing w:val="-12"/>
          <w:kern w:val="30"/>
          <w:sz w:val="44"/>
          <w:szCs w:val="44"/>
          <w:highlight w:val="none"/>
        </w:rPr>
        <w:t>广州银行红棉理财现金管理类日添金T+1</w:t>
      </w:r>
    </w:p>
    <w:p>
      <w:pPr>
        <w:widowControl/>
        <w:jc w:val="center"/>
        <w:rPr>
          <w:rFonts w:ascii="宋体" w:hAnsi="宋体" w:cs="宋体"/>
          <w:b/>
          <w:bCs/>
          <w:spacing w:val="-17"/>
          <w:sz w:val="24"/>
          <w:szCs w:val="24"/>
          <w:highlight w:val="none"/>
        </w:rPr>
      </w:pPr>
      <w:r>
        <w:rPr>
          <w:rFonts w:hint="eastAsia" w:ascii="黑体" w:hAnsi="黑体" w:eastAsia="黑体" w:cs="黑体"/>
          <w:b/>
          <w:spacing w:val="-12"/>
          <w:kern w:val="30"/>
          <w:sz w:val="44"/>
          <w:szCs w:val="44"/>
          <w:highlight w:val="none"/>
        </w:rPr>
        <w:t>销售文件</w:t>
      </w:r>
      <w:bookmarkStart w:id="1" w:name="_GoBack"/>
      <w:bookmarkEnd w:id="1"/>
    </w:p>
    <w:p>
      <w:pPr>
        <w:widowControl/>
        <w:rPr>
          <w:rFonts w:ascii="宋体" w:hAnsi="宋体" w:cs="宋体"/>
          <w:b/>
          <w:bCs/>
          <w:spacing w:val="-17"/>
          <w:sz w:val="24"/>
          <w:szCs w:val="24"/>
          <w:highlight w:val="none"/>
        </w:rPr>
      </w:pPr>
    </w:p>
    <w:p>
      <w:pPr>
        <w:widowControl/>
        <w:rPr>
          <w:rFonts w:ascii="宋体" w:hAnsi="宋体" w:cs="宋体"/>
          <w:b/>
          <w:bCs/>
          <w:spacing w:val="-17"/>
          <w:sz w:val="24"/>
          <w:szCs w:val="24"/>
          <w:highlight w:val="none"/>
        </w:rPr>
      </w:pPr>
    </w:p>
    <w:p>
      <w:pPr>
        <w:widowControl/>
        <w:rPr>
          <w:rFonts w:ascii="宋体" w:hAnsi="宋体" w:cs="宋体"/>
          <w:b/>
          <w:bCs/>
          <w:spacing w:val="-17"/>
          <w:sz w:val="24"/>
          <w:szCs w:val="24"/>
          <w:highlight w:val="none"/>
        </w:rPr>
      </w:pPr>
    </w:p>
    <w:p>
      <w:pPr>
        <w:widowControl/>
        <w:rPr>
          <w:rFonts w:ascii="宋体" w:hAnsi="宋体" w:cs="宋体"/>
          <w:b/>
          <w:bCs/>
          <w:spacing w:val="-17"/>
          <w:sz w:val="24"/>
          <w:szCs w:val="24"/>
          <w:highlight w:val="none"/>
        </w:rPr>
      </w:pPr>
      <w:r>
        <w:rPr>
          <w:rStyle w:val="14"/>
          <w:rFonts w:hint="eastAsia" w:ascii="宋体" w:hAnsi="宋体" w:cs="宋体"/>
          <w:b/>
          <w:bCs/>
          <w:color w:val="000000"/>
          <w:sz w:val="24"/>
          <w:szCs w:val="24"/>
          <w:highlight w:val="none"/>
        </w:rPr>
        <w:footnoteReference w:id="0"/>
      </w:r>
      <w:r>
        <w:rPr>
          <w:rFonts w:hint="eastAsia" w:ascii="宋体" w:hAnsi="宋体" w:cs="宋体"/>
          <w:b/>
          <w:bCs/>
          <w:color w:val="000000"/>
          <w:sz w:val="24"/>
          <w:szCs w:val="24"/>
          <w:highlight w:val="none"/>
        </w:rPr>
        <w:drawing>
          <wp:anchor distT="0" distB="0" distL="114300" distR="114300" simplePos="0" relativeHeight="251661312" behindDoc="0" locked="0" layoutInCell="1" allowOverlap="1">
            <wp:simplePos x="0" y="0"/>
            <wp:positionH relativeFrom="column">
              <wp:posOffset>1143000</wp:posOffset>
            </wp:positionH>
            <wp:positionV relativeFrom="paragraph">
              <wp:posOffset>2232025</wp:posOffset>
            </wp:positionV>
            <wp:extent cx="2810510" cy="735965"/>
            <wp:effectExtent l="0" t="0" r="8890" b="6985"/>
            <wp:wrapNone/>
            <wp:docPr id="5" name="Picture 1" descr="bog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bogz-logo"/>
                    <pic:cNvPicPr>
                      <a:picLocks noChangeAspect="1"/>
                    </pic:cNvPicPr>
                  </pic:nvPicPr>
                  <pic:blipFill>
                    <a:blip r:embed="rId9"/>
                    <a:srcRect t="23228" b="18761"/>
                    <a:stretch>
                      <a:fillRect/>
                    </a:stretch>
                  </pic:blipFill>
                  <pic:spPr>
                    <a:xfrm>
                      <a:off x="0" y="0"/>
                      <a:ext cx="2810510" cy="735965"/>
                    </a:xfrm>
                    <a:prstGeom prst="rect">
                      <a:avLst/>
                    </a:prstGeom>
                    <a:noFill/>
                    <a:ln>
                      <a:noFill/>
                    </a:ln>
                  </pic:spPr>
                </pic:pic>
              </a:graphicData>
            </a:graphic>
          </wp:anchor>
        </w:drawing>
      </w:r>
      <w:r>
        <w:rPr>
          <w:rFonts w:hint="eastAsia" w:ascii="宋体" w:hAnsi="宋体" w:cs="宋体"/>
          <w:b/>
          <w:bCs/>
          <w:spacing w:val="-17"/>
          <w:sz w:val="24"/>
          <w:szCs w:val="24"/>
          <w:highlight w:val="none"/>
        </w:rPr>
        <w:br w:type="page"/>
      </w:r>
    </w:p>
    <w:p>
      <w:pPr>
        <w:pStyle w:val="15"/>
        <w:spacing w:line="620" w:lineRule="exact"/>
        <w:jc w:val="center"/>
        <w:rPr>
          <w:rFonts w:hAnsi="黑体"/>
          <w:b/>
          <w:bCs/>
          <w:color w:val="auto"/>
          <w:spacing w:val="-17"/>
          <w:kern w:val="30"/>
          <w:sz w:val="28"/>
          <w:szCs w:val="28"/>
          <w:highlight w:val="none"/>
        </w:rPr>
      </w:pPr>
      <w:r>
        <w:rPr>
          <w:rFonts w:hint="eastAsia" w:hAnsi="黑体"/>
          <w:b/>
          <w:bCs/>
          <w:color w:val="auto"/>
          <w:spacing w:val="-17"/>
          <w:kern w:val="30"/>
          <w:sz w:val="28"/>
          <w:szCs w:val="28"/>
          <w:highlight w:val="none"/>
        </w:rPr>
        <w:t>重要须知</w:t>
      </w:r>
    </w:p>
    <w:p>
      <w:pPr>
        <w:pStyle w:val="15"/>
        <w:spacing w:line="620" w:lineRule="exact"/>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尊敬的投资者：</w:t>
      </w:r>
    </w:p>
    <w:p>
      <w:pPr>
        <w:pStyle w:val="15"/>
        <w:spacing w:line="620" w:lineRule="exact"/>
        <w:ind w:firstLine="414" w:firstLineChars="200"/>
        <w:rPr>
          <w:rFonts w:ascii="宋体" w:hAnsi="宋体" w:eastAsia="宋体" w:cs="宋体"/>
          <w:b/>
          <w:bCs/>
          <w:color w:val="auto"/>
          <w:spacing w:val="-17"/>
          <w:highlight w:val="none"/>
        </w:rPr>
      </w:pPr>
      <w:r>
        <w:rPr>
          <w:rFonts w:hint="eastAsia" w:ascii="宋体" w:hAnsi="宋体" w:eastAsia="宋体" w:cs="宋体"/>
          <w:b/>
          <w:bCs/>
          <w:color w:val="auto"/>
          <w:spacing w:val="-17"/>
          <w:highlight w:val="none"/>
        </w:rPr>
        <w:t>由于理财资金管理运用过程中可能面临多种风险因素，根据中国银行保险监督管理委员会相关监管规定，广州银行股份有限公司（以下简称广州银行）作为本理财产品管理人郑重提示，请在购买本理财产品前，仔细阅读以下重要内容：</w:t>
      </w:r>
    </w:p>
    <w:p>
      <w:pPr>
        <w:snapToGrid w:val="0"/>
        <w:spacing w:line="620" w:lineRule="exact"/>
        <w:ind w:firstLine="412" w:firstLineChars="200"/>
        <w:rPr>
          <w:rFonts w:ascii="宋体" w:hAnsi="宋体" w:cs="宋体"/>
          <w:b/>
          <w:bCs/>
          <w:spacing w:val="-17"/>
          <w:kern w:val="30"/>
          <w:sz w:val="24"/>
          <w:szCs w:val="24"/>
          <w:highlight w:val="none"/>
        </w:rPr>
      </w:pPr>
      <w:r>
        <w:rPr>
          <w:rFonts w:hint="eastAsia" w:ascii="宋体" w:hAnsi="宋体" w:cs="宋体"/>
          <w:spacing w:val="-17"/>
          <w:kern w:val="30"/>
          <w:sz w:val="24"/>
          <w:szCs w:val="24"/>
          <w:highlight w:val="none"/>
        </w:rPr>
        <w:t>本理财产品是由广州银行作为管理人发起设立，按照与投资者约定的方式和投资范围等对投资者委托的资金进行投资、运作、管理的特殊目的载体。</w:t>
      </w:r>
      <w:r>
        <w:rPr>
          <w:rFonts w:hint="eastAsia" w:ascii="宋体" w:hAnsi="宋体" w:cs="宋体"/>
          <w:b/>
          <w:bCs/>
          <w:spacing w:val="-17"/>
          <w:kern w:val="30"/>
          <w:sz w:val="24"/>
          <w:szCs w:val="24"/>
          <w:highlight w:val="none"/>
        </w:rPr>
        <w:t>投资者可以依据理财信息登记系统登记编码在中国理财网（www.chinawealth.com.cn）上查询本理财产品信息。请在购买本理财产品前，仔细阅读理财产品《理财产品投资协议书》</w:t>
      </w:r>
      <w:r>
        <w:rPr>
          <w:rFonts w:hint="eastAsia"/>
          <w:highlight w:val="none"/>
        </w:rPr>
        <w:t>、</w:t>
      </w:r>
      <w:r>
        <w:rPr>
          <w:rFonts w:hint="eastAsia" w:ascii="宋体" w:hAnsi="宋体" w:cs="宋体"/>
          <w:b/>
          <w:bCs/>
          <w:spacing w:val="-17"/>
          <w:kern w:val="30"/>
          <w:sz w:val="24"/>
          <w:szCs w:val="24"/>
          <w:highlight w:val="none"/>
        </w:rPr>
        <w:t>《风险提示书》、《理财产品说明书》、《投资者权益须知》、《理财产品销售协议书》</w:t>
      </w:r>
      <w:r>
        <w:rPr>
          <w:rStyle w:val="14"/>
          <w:rFonts w:hint="eastAsia" w:ascii="宋体" w:hAnsi="宋体" w:cs="宋体"/>
          <w:b/>
          <w:bCs/>
          <w:spacing w:val="-17"/>
          <w:kern w:val="30"/>
          <w:sz w:val="24"/>
          <w:szCs w:val="24"/>
          <w:highlight w:val="none"/>
        </w:rPr>
        <w:footnoteReference w:id="1"/>
      </w:r>
      <w:r>
        <w:rPr>
          <w:rFonts w:hint="eastAsia" w:ascii="宋体" w:hAnsi="宋体" w:cs="宋体"/>
          <w:b/>
          <w:bCs/>
          <w:spacing w:val="-17"/>
          <w:kern w:val="30"/>
          <w:sz w:val="24"/>
          <w:szCs w:val="24"/>
          <w:highlight w:val="none"/>
        </w:rPr>
        <w:t>等销售文件，确保投资者完全理解本理财产品的性质和所涉及的风险，详细了解和审慎评估本理财产品的产品类型、资金投资方向、风险类型等基本情况，在慎重考虑后自行决定购买与自身风险承受能力和资产管理需求匹配的理财产品；在购买理财产品后，投资者应随时关注本理财产品的信息披露情况，及时获取相关信息。</w:t>
      </w:r>
    </w:p>
    <w:p>
      <w:pPr>
        <w:widowControl/>
        <w:snapToGrid w:val="0"/>
        <w:spacing w:line="620" w:lineRule="exact"/>
        <w:ind w:firstLine="414" w:firstLineChars="200"/>
        <w:jc w:val="left"/>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 xml:space="preserve">特别提示：对于在本理财产品销售文件签订和履行过程中获取（包括但不限于直接获取、从代销机构获取等）和知悉的投资者身份、持有理财计划、理财计划交易等信息，管理人对上述信息和资料的使用不得违反法律法规和监管要求，并依法承担保密责任，不得向第三方披露该等信息和资料，但下列情形 除外：1.适用的法律法规要求披露的； 2.司法部门、监管机构等依法要求披露的； 3.产品管理人为履行本理财产品合同义务及行使理财产品合同项下权利需向 外部专业顾问或理财投资合作机构披露或允许外部专业顾问或理财投资合作机构 在保密的基础上使用的； 4.投资者另行明确同意或授权产品管理人进行披露的。  </w:t>
      </w:r>
    </w:p>
    <w:p>
      <w:pPr>
        <w:widowControl/>
        <w:snapToGrid w:val="0"/>
        <w:spacing w:line="620" w:lineRule="exact"/>
        <w:ind w:firstLine="414" w:firstLineChars="200"/>
        <w:jc w:val="left"/>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br w:type="page"/>
      </w:r>
    </w:p>
    <w:p>
      <w:pPr>
        <w:widowControl/>
        <w:autoSpaceDN w:val="0"/>
        <w:spacing w:before="312" w:beforeLines="100" w:after="312" w:afterLines="100" w:line="620" w:lineRule="exact"/>
        <w:jc w:val="center"/>
        <w:rPr>
          <w:rFonts w:ascii="黑体" w:hAnsi="黑体" w:eastAsia="黑体" w:cs="黑体"/>
          <w:b/>
          <w:bCs/>
          <w:spacing w:val="-17"/>
          <w:sz w:val="28"/>
          <w:szCs w:val="28"/>
          <w:highlight w:val="none"/>
        </w:rPr>
      </w:pPr>
      <w:r>
        <w:rPr>
          <w:rFonts w:hint="eastAsia" w:ascii="黑体" w:hAnsi="黑体" w:eastAsia="黑体" w:cs="黑体"/>
          <w:b/>
          <w:bCs/>
          <w:spacing w:val="-17"/>
          <w:sz w:val="28"/>
          <w:szCs w:val="28"/>
          <w:highlight w:val="none"/>
        </w:rPr>
        <w:t>风险提示书</w:t>
      </w:r>
    </w:p>
    <w:p>
      <w:pPr>
        <w:spacing w:line="620" w:lineRule="exact"/>
        <w:ind w:firstLine="412" w:firstLineChars="200"/>
        <w:rPr>
          <w:rFonts w:ascii="宋体" w:hAnsi="宋体" w:cs="宋体"/>
          <w:sz w:val="24"/>
          <w:szCs w:val="24"/>
          <w:highlight w:val="none"/>
        </w:rPr>
      </w:pPr>
      <w:r>
        <w:rPr>
          <w:rFonts w:hint="eastAsia" w:ascii="宋体" w:hAnsi="宋体" w:cs="宋体"/>
          <w:spacing w:val="-17"/>
          <w:kern w:val="30"/>
          <w:sz w:val="24"/>
          <w:szCs w:val="24"/>
          <w:highlight w:val="none"/>
        </w:rPr>
        <w:t>本理财产品为“非保本浮动收益型理财产品”，根据法律法规及监管规章的有关规定，特向您提示如下：与银行存款比较，本产品存在投资风险，您的本金和收益可能会因市场的波动等原因而蒙受损失，您应注意投资风险，仔细阅读理财产品销售文件，了解理财产品具体情况，谨慎投资。</w:t>
      </w:r>
      <w:r>
        <w:rPr>
          <w:rFonts w:hint="eastAsia" w:ascii="宋体" w:hAnsi="宋体" w:cs="宋体"/>
          <w:b/>
          <w:bCs/>
          <w:spacing w:val="-17"/>
          <w:sz w:val="24"/>
          <w:szCs w:val="24"/>
          <w:highlight w:val="none"/>
        </w:rPr>
        <w:t>理财非存款、产品有风险、投资须谨慎。</w:t>
      </w:r>
      <w:r>
        <w:rPr>
          <w:rFonts w:hint="eastAsia" w:ascii="宋体" w:hAnsi="宋体" w:cs="宋体"/>
          <w:spacing w:val="-17"/>
          <w:kern w:val="30"/>
          <w:sz w:val="24"/>
          <w:szCs w:val="24"/>
          <w:highlight w:val="none"/>
        </w:rPr>
        <w:t>本理财产品可能面临的风险包括但不限于：</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一、</w:t>
      </w:r>
      <w:r>
        <w:rPr>
          <w:rFonts w:hint="eastAsia" w:ascii="宋体" w:hAnsi="宋体" w:cs="宋体"/>
          <w:b/>
          <w:bCs/>
          <w:spacing w:val="-17"/>
          <w:kern w:val="30"/>
          <w:sz w:val="24"/>
          <w:szCs w:val="24"/>
          <w:highlight w:val="none"/>
        </w:rPr>
        <w:t>本金及理财收益风险：</w:t>
      </w:r>
      <w:r>
        <w:rPr>
          <w:rFonts w:hint="eastAsia" w:ascii="宋体" w:hAnsi="宋体" w:cs="宋体"/>
          <w:spacing w:val="-17"/>
          <w:kern w:val="30"/>
          <w:sz w:val="24"/>
          <w:szCs w:val="24"/>
          <w:highlight w:val="none"/>
        </w:rPr>
        <w:t>本理财产品不保障本金且不保证理财收益，投资者的本金和收益（如有，下同）可能会因市场变动而蒙受损失。本理财产品收益来源于本理财产品项下投资组合的回报，容易受到投资对象信用状况变化、市场利率的变化、投资组合的运作情况等影响。如出现投资对象违约等最不利情况（可能但并不一定发生），投资者可能无法取得收益，并可能面临损失本金的风险，由此产生的本金及收益损失由投资者自行承担。</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二、政策风险：</w:t>
      </w:r>
      <w:r>
        <w:rPr>
          <w:rFonts w:hint="eastAsia" w:ascii="宋体" w:hAnsi="宋体" w:cs="宋体"/>
          <w:spacing w:val="-17"/>
          <w:kern w:val="30"/>
          <w:sz w:val="24"/>
          <w:szCs w:val="24"/>
          <w:highlight w:val="none"/>
          <w:lang w:bidi="ar"/>
        </w:rPr>
        <w:t>本理财产品是依照当前的法律法规、相关监管规定和政策设计的。如国家宏观政策以及法律法规、相关监管规定发生变化，可能影响产品的受理、投资运作、清算等业务的正常进行，并导致本产品收益较低甚至本金损失，也可能因本产品违反届时的国家法律、法规或者监管规定，导致本产品被宣告无效、撤销、解除或提前终止等。</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三、信用风险：</w:t>
      </w:r>
      <w:r>
        <w:rPr>
          <w:rFonts w:hint="eastAsia" w:ascii="宋体" w:hAnsi="宋体" w:cs="宋体"/>
          <w:spacing w:val="-17"/>
          <w:kern w:val="30"/>
          <w:sz w:val="24"/>
          <w:szCs w:val="24"/>
          <w:highlight w:val="none"/>
          <w:lang w:bidi="ar"/>
        </w:rPr>
        <w:t>投资者可能面临本理财产品所投资的资产或资产组合项下义务人可能出现信用违约情形。若出现上述情况，投资者将面临本金和收益（如有）遭受部分甚至全部损失的风险。</w:t>
      </w:r>
    </w:p>
    <w:p>
      <w:pPr>
        <w:spacing w:line="620" w:lineRule="exact"/>
        <w:ind w:firstLine="207" w:firstLineChars="1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 xml:space="preserve">  四、市场风险和利率风险：</w:t>
      </w:r>
      <w:r>
        <w:rPr>
          <w:rFonts w:hint="eastAsia" w:ascii="宋体" w:hAnsi="宋体" w:cs="宋体"/>
          <w:spacing w:val="-17"/>
          <w:kern w:val="30"/>
          <w:sz w:val="24"/>
          <w:szCs w:val="24"/>
          <w:highlight w:val="none"/>
        </w:rPr>
        <w:t>本理财产品在实际运作过程中，由于市场的变化会造成本理财产品投资的资产价格发生波动，从而影响本理财产品的收益（如有），因市场利率波动而带来资产价值受损，投资者面临本金和收益（如有）遭受损失的风险。</w:t>
      </w:r>
    </w:p>
    <w:p>
      <w:pPr>
        <w:numPr>
          <w:ilvl w:val="255"/>
          <w:numId w:val="0"/>
        </w:numPr>
        <w:spacing w:line="620" w:lineRule="exact"/>
        <w:ind w:firstLine="414" w:firstLineChars="200"/>
        <w:rPr>
          <w:rFonts w:ascii="宋体" w:hAnsi="宋体" w:cs="宋体"/>
          <w:spacing w:val="-17"/>
          <w:kern w:val="30"/>
          <w:sz w:val="24"/>
          <w:szCs w:val="24"/>
          <w:highlight w:val="none"/>
          <w:lang w:bidi="ar"/>
        </w:rPr>
      </w:pPr>
      <w:r>
        <w:rPr>
          <w:rFonts w:hint="eastAsia" w:ascii="宋体" w:hAnsi="宋体" w:cs="宋体"/>
          <w:b/>
          <w:bCs/>
          <w:spacing w:val="-17"/>
          <w:kern w:val="30"/>
          <w:sz w:val="24"/>
          <w:szCs w:val="24"/>
          <w:highlight w:val="none"/>
        </w:rPr>
        <w:t>五、流动性风险：</w:t>
      </w:r>
      <w:r>
        <w:rPr>
          <w:rFonts w:hint="eastAsia" w:ascii="宋体" w:hAnsi="宋体" w:cs="宋体"/>
          <w:spacing w:val="-17"/>
          <w:kern w:val="30"/>
          <w:sz w:val="24"/>
          <w:szCs w:val="24"/>
          <w:highlight w:val="none"/>
          <w:lang w:bidi="ar"/>
        </w:rPr>
        <w:t>是指理财产品无法通过变现资产等途径以合理成本及时获得充足资金，用于满足该理财产品的投资者赎回需求、履行其他支付义务的风险。</w:t>
      </w:r>
      <w:r>
        <w:rPr>
          <w:rFonts w:hint="eastAsia" w:ascii="宋体" w:hAnsi="宋体" w:cs="宋体"/>
          <w:spacing w:val="-17"/>
          <w:kern w:val="30"/>
          <w:sz w:val="24"/>
          <w:szCs w:val="24"/>
          <w:highlight w:val="none"/>
        </w:rPr>
        <w:t>本理财产品</w:t>
      </w:r>
      <w:r>
        <w:rPr>
          <w:rFonts w:hint="eastAsia" w:ascii="宋体" w:hAnsi="宋体" w:cs="宋体"/>
          <w:spacing w:val="-17"/>
          <w:kern w:val="30"/>
          <w:sz w:val="24"/>
          <w:szCs w:val="24"/>
          <w:highlight w:val="none"/>
          <w:lang w:bidi="ar"/>
        </w:rPr>
        <w:t>不允许投资者提前终止或仅允许投资者在特定期间按照特定要求提前终止或赎回(具体以《理财产品说明书》约定为准)，投资在需要资金时可能无法随时变现，影响资金使用或丧失其他投资机会。如理财产品发生流动性风险，广州银行有权采取如下措施，包括但不限于：（一）认购风险应对措施，包括：设定单一投资者认购金额上限、设定理财产品单日净认购比例上限、拒绝大额认购、暂停认购，以及银保监会规定的其他措施。（二）赎回风险应对措施，包括：设置赎回上限、延期办理巨额赎回申请、暂停接受赎回申请、延缓支付赎回款项、收取短期赎回费、暂停理财产品估值，以及银保监会规定的其他措施。</w:t>
      </w:r>
    </w:p>
    <w:p>
      <w:pPr>
        <w:spacing w:line="620" w:lineRule="exact"/>
        <w:ind w:firstLine="207" w:firstLineChars="1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 xml:space="preserve">  六、产品不成立风险：</w:t>
      </w:r>
      <w:r>
        <w:rPr>
          <w:rFonts w:hint="eastAsia" w:ascii="宋体" w:hAnsi="宋体" w:cs="宋体"/>
          <w:spacing w:val="-17"/>
          <w:kern w:val="30"/>
          <w:sz w:val="24"/>
          <w:szCs w:val="24"/>
          <w:highlight w:val="none"/>
        </w:rPr>
        <w:t>在本理财产品募集期间，如果市场发生剧烈波动，经广州银行合理判断难以按照预先计划运作本理财产品，或本理财产品募集期届满时，如果因募集规模低于说明书约定的最低规模，广州银行有权宣布本理财产品不成立，投资者将面临再投资风险。</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七、提前终止风险：</w:t>
      </w:r>
      <w:r>
        <w:rPr>
          <w:rFonts w:hint="eastAsia" w:ascii="宋体" w:hAnsi="宋体" w:cs="宋体"/>
          <w:spacing w:val="-17"/>
          <w:kern w:val="30"/>
          <w:sz w:val="24"/>
          <w:szCs w:val="24"/>
          <w:highlight w:val="none"/>
          <w:lang w:bidi="ar"/>
        </w:rPr>
        <w:t xml:space="preserve">在本理财产品存续期间，若市场发生重大变动或突发性事件或其他广州银行认为需要提前终止本产品的情形时，广州银行有权提前终止本产品。在提前终止情形下，投资者可能无法实现期初预期的收益。上述情况下，投资者可能面临产品提前终止后再投资的风险。 </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八、管理人风险：</w:t>
      </w:r>
      <w:r>
        <w:rPr>
          <w:rFonts w:hint="eastAsia" w:ascii="宋体" w:hAnsi="宋体" w:cs="宋体"/>
          <w:spacing w:val="-17"/>
          <w:kern w:val="30"/>
          <w:sz w:val="24"/>
          <w:szCs w:val="24"/>
          <w:highlight w:val="none"/>
        </w:rPr>
        <w:t>由于管理人（包括本理财产品的管理人、所投资的信托计划/资管计划的受托人（如有）、相关投资顾问（如有）等）受经验、技能等因素的限制，会影响其对信息的获取和对经济形势、金融市场价格走势的判断。如管理人判断有误、获取信息不全、对投资工具使用不当等，可能导致本理财产品项下的理财资金遭受损失。如信托计划/资管计划的受托人（如有）、相关投资顾问（如有）等及其内部作业、人员管理及系统操作不当或失误，或违背相关合同约定、未严格执行风险控制措施、处理事务不当等，可能导致本理财产品项下的理财资金遭受损失。</w:t>
      </w:r>
    </w:p>
    <w:p>
      <w:pPr>
        <w:spacing w:line="620" w:lineRule="exact"/>
        <w:ind w:firstLine="207" w:firstLineChars="1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 xml:space="preserve">  九、管理人变更风险：</w:t>
      </w:r>
      <w:r>
        <w:rPr>
          <w:rFonts w:hint="eastAsia" w:ascii="宋体" w:hAnsi="宋体" w:cs="宋体"/>
          <w:spacing w:val="-17"/>
          <w:kern w:val="30"/>
          <w:sz w:val="24"/>
          <w:szCs w:val="24"/>
          <w:highlight w:val="none"/>
        </w:rPr>
        <w:t>根据适用法律、监管政策的规定，在本理财产品设立后，广州银行可能根据业务发展需要并在</w:t>
      </w:r>
      <w:r>
        <w:rPr>
          <w:rFonts w:hint="eastAsia" w:ascii="宋体" w:hAnsi="宋体" w:cs="宋体"/>
          <w:spacing w:val="-17"/>
          <w:sz w:val="24"/>
          <w:szCs w:val="24"/>
          <w:highlight w:val="none"/>
        </w:rPr>
        <w:t>中国银行保险监督管理委员会</w:t>
      </w:r>
      <w:r>
        <w:rPr>
          <w:rFonts w:hint="eastAsia" w:ascii="宋体" w:hAnsi="宋体" w:cs="宋体"/>
          <w:spacing w:val="-17"/>
          <w:kern w:val="30"/>
          <w:sz w:val="24"/>
          <w:szCs w:val="24"/>
          <w:highlight w:val="none"/>
        </w:rPr>
        <w:t>批准的前提下，依照适用法律成立具有独立法人资格的从事资产管理业务的子公司（下称“理财子公司”）。广州银行作为本理财产品管理人，届时可能根据其理财子公司的设立情况，将本理财产品项下管理人变更为其理财子公司,由其理财子公司承继广州银行在本理财产品销售文件</w:t>
      </w:r>
      <w:r>
        <w:rPr>
          <w:rFonts w:hint="eastAsia" w:ascii="宋体" w:hAnsi="宋体" w:cs="宋体"/>
          <w:spacing w:val="-17"/>
          <w:kern w:val="30"/>
          <w:sz w:val="24"/>
          <w:szCs w:val="24"/>
          <w:highlight w:val="none"/>
        </w:rPr>
        <w:t>（包括《理财产品投资协议书》、《风险提示书》、《理财产品说明书》、《投资者权益须知》、《理财产品销售协议书》等）项下的全部权利义务。</w:t>
      </w:r>
      <w:r>
        <w:rPr>
          <w:rFonts w:hint="eastAsia" w:ascii="宋体" w:hAnsi="宋体" w:cs="宋体"/>
          <w:spacing w:val="-17"/>
          <w:kern w:val="30"/>
          <w:sz w:val="24"/>
          <w:szCs w:val="24"/>
          <w:highlight w:val="none"/>
        </w:rPr>
        <w:t>项下的全部权利义务。</w:t>
      </w:r>
    </w:p>
    <w:p>
      <w:pPr>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十、兑付延期风险：</w:t>
      </w:r>
      <w:r>
        <w:rPr>
          <w:rFonts w:hint="eastAsia" w:ascii="宋体" w:hAnsi="宋体" w:cs="宋体"/>
          <w:spacing w:val="-17"/>
          <w:kern w:val="30"/>
          <w:sz w:val="24"/>
          <w:szCs w:val="24"/>
          <w:highlight w:val="none"/>
          <w:lang w:bidi="ar"/>
        </w:rPr>
        <w:t>因市场成交量不足、资产限制赎回、暂停交易、缺乏意愿交易对手等原因，产品管理人未能及时完成资产变现而导致理财产品不能及时变现、持有期与资金需求日不匹配或不能按时支付清算分配金额，则投资者可能面临产品兑付延期、调整等风险，甚至由此投资者可能面临本金和收益（如有）遭受部分甚至全部损失的风险。</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十一、不可抗力及意外事件风险：</w:t>
      </w:r>
      <w:r>
        <w:rPr>
          <w:rFonts w:hint="eastAsia" w:ascii="宋体" w:hAnsi="宋体" w:cs="宋体"/>
          <w:spacing w:val="-17"/>
          <w:kern w:val="30"/>
          <w:sz w:val="24"/>
          <w:szCs w:val="24"/>
          <w:highlight w:val="none"/>
        </w:rPr>
        <w:t>自然灾害、金融市场危机、战争或国家政策变化等不能预见、不能避免、不能克服的不可抗力事件或银行系统故障、通讯故障、投资市场停止交易等意外事件的出现，可能对理财产品的成立、投资运作、资金返还、信息披露、公告通知等造成影响，投资者将面临本金和收益（如有）遭受损失的风险。对于由不可抗力及意外事件风险导致的任何损失，投资者须自行承担，广州银行对此不承担任何责任。</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十二、技术风险和操作风险：</w:t>
      </w:r>
      <w:r>
        <w:rPr>
          <w:rFonts w:hint="eastAsia" w:ascii="宋体" w:hAnsi="宋体" w:cs="宋体"/>
          <w:spacing w:val="-17"/>
          <w:kern w:val="30"/>
          <w:sz w:val="24"/>
          <w:szCs w:val="24"/>
          <w:highlight w:val="none"/>
        </w:rPr>
        <w:t>产品运作过程中，可能发生因投资管理各方对经济形势和金融市场走势等判断有误、获取的信息不全或存在误差、或对于投资工具使用不当等影响资金收益（如有）水平和本金安全。在各种交易行为或后台运作中，可能因为技术系统的故障或者差错而影响交易的正常进行或者导致投资者的利益受到影响。</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十三、信息传递风险：</w:t>
      </w:r>
      <w:r>
        <w:rPr>
          <w:rFonts w:hint="eastAsia" w:ascii="宋体" w:hAnsi="宋体" w:cs="宋体"/>
          <w:spacing w:val="-17"/>
          <w:kern w:val="30"/>
          <w:sz w:val="24"/>
          <w:szCs w:val="24"/>
          <w:highlight w:val="none"/>
        </w:rPr>
        <w:t>广州银行将按照合同的约定进行产品信息披露，投资者应充分关注并及时主动查询广州银行披露的本理财产品相关信息。如果投资者未及时查询，或由于通讯故障、系统故障及其他不可抗力等因素的影响使得投资者无法及时了解理财产品信息，并由此影响投资者的投资决策，由此产生的责任和风险由投资者自行承担。另外，投资者预留的有效联系方式发生变更的，亦应及时通知广州银行。如投资者未及时查询相关信息，或预留联系方式变更未及时通知广州银行，导致广州银行在其认为需要时无法及时联系到投资者的，可能会影响投资者的投资决策，因此而产生的责任和风险由投资者自行承担。</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十四、税务风险：</w:t>
      </w:r>
      <w:r>
        <w:rPr>
          <w:rFonts w:hint="eastAsia" w:ascii="宋体" w:hAnsi="宋体" w:cs="宋体"/>
          <w:spacing w:val="-17"/>
          <w:kern w:val="30"/>
          <w:sz w:val="24"/>
          <w:szCs w:val="24"/>
          <w:highlight w:val="none"/>
        </w:rPr>
        <w:t>本理财产品在资产管理、运营、处置过程中产生的收入，根据国家相关法律法规应缴纳增值税（含增值税附加税费，下同）及/或其他税费的，即使本理财产品管理人被税务机关认定为纳税义务人，该等增值税或其他税费仍属于应由本理财产品承担的理财计划税费，由本理财产品管理人申报和缴纳。该等税款将直接从本理财产品中扣付缴纳，本理财产品将因为前述增值税等税负承担导致计划税费支出增加、理财产品净值或实际收益（如有）降低，从而降低投资者的收益（如有）水平。</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本理财产品类型为固定收益类（固定收益类产品为根据监管要求进行的产品分类，并不意味着管理人对本理财产品的任何收益承诺和保证）</w:t>
      </w:r>
      <w:r>
        <w:rPr>
          <w:rFonts w:hint="eastAsia" w:ascii="宋体" w:hAnsi="宋体" w:cs="宋体"/>
          <w:b/>
          <w:bCs/>
          <w:spacing w:val="-17"/>
          <w:kern w:val="30"/>
          <w:sz w:val="24"/>
          <w:szCs w:val="24"/>
          <w:highlight w:val="none"/>
          <w:lang w:eastAsia="zh-CN"/>
        </w:rPr>
        <w:t>，产品期限为</w:t>
      </w:r>
      <w:r>
        <w:rPr>
          <w:rFonts w:hint="eastAsia" w:ascii="宋体" w:hAnsi="宋体" w:cs="宋体"/>
          <w:b/>
          <w:bCs/>
          <w:spacing w:val="-17"/>
          <w:kern w:val="30"/>
          <w:sz w:val="24"/>
          <w:szCs w:val="24"/>
          <w:highlight w:val="none"/>
          <w:lang w:val="en-US" w:eastAsia="zh-CN"/>
        </w:rPr>
        <w:t>30年，广州银行有权根据市场及产品实际运作情况等提前终止本产品</w:t>
      </w:r>
      <w:r>
        <w:rPr>
          <w:rFonts w:hint="eastAsia" w:ascii="宋体" w:hAnsi="宋体" w:cs="宋体"/>
          <w:b/>
          <w:bCs/>
          <w:spacing w:val="-17"/>
          <w:kern w:val="30"/>
          <w:sz w:val="24"/>
          <w:szCs w:val="24"/>
          <w:highlight w:val="none"/>
        </w:rPr>
        <w:t>。</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本理财产品的内部风险评级为</w:t>
      </w:r>
      <w:r>
        <w:rPr>
          <w:rFonts w:hint="eastAsia" w:ascii="宋体" w:hAnsi="宋体" w:cs="宋体"/>
          <w:b/>
          <w:bCs/>
          <w:spacing w:val="-17"/>
          <w:kern w:val="30"/>
          <w:sz w:val="24"/>
          <w:szCs w:val="24"/>
          <w:highlight w:val="none"/>
        </w:rPr>
        <w:t>R1（低风险)</w:t>
      </w:r>
      <w:r>
        <w:rPr>
          <w:rFonts w:hint="eastAsia" w:ascii="宋体" w:hAnsi="宋体" w:cs="宋体"/>
          <w:spacing w:val="-17"/>
          <w:kern w:val="30"/>
          <w:sz w:val="24"/>
          <w:szCs w:val="24"/>
          <w:highlight w:val="none"/>
        </w:rPr>
        <w:t>，适合保守型、稳健型、平衡型、成长型和进取型投资者投资。此内部风险评级仅是广州银行内部测评结果，仅供投资者参考，不具有任何法律约束力。</w:t>
      </w:r>
    </w:p>
    <w:p>
      <w:pPr>
        <w:spacing w:line="620" w:lineRule="exact"/>
        <w:ind w:firstLine="414" w:firstLineChars="200"/>
        <w:rPr>
          <w:rFonts w:hint="eastAsia" w:ascii="宋体" w:hAnsi="宋体" w:cs="宋体"/>
          <w:spacing w:val="-17"/>
          <w:kern w:val="30"/>
          <w:sz w:val="24"/>
          <w:szCs w:val="24"/>
          <w:highlight w:val="none"/>
        </w:rPr>
      </w:pPr>
      <w:r>
        <w:rPr>
          <w:rFonts w:hint="eastAsia" w:ascii="宋体" w:hAnsi="宋体" w:cs="宋体"/>
          <w:b/>
          <w:bCs/>
          <w:spacing w:val="-17"/>
          <w:kern w:val="30"/>
          <w:sz w:val="24"/>
          <w:szCs w:val="24"/>
          <w:highlight w:val="none"/>
        </w:rPr>
        <w:t>本理财产品不保障本金及收益。</w:t>
      </w:r>
      <w:r>
        <w:rPr>
          <w:rFonts w:hint="eastAsia" w:ascii="宋体" w:hAnsi="宋体" w:cs="宋体"/>
          <w:b/>
          <w:bCs/>
          <w:spacing w:val="-17"/>
          <w:sz w:val="24"/>
          <w:szCs w:val="24"/>
          <w:highlight w:val="none"/>
        </w:rPr>
        <w:t>理财非存款、产品有风险、投资须谨慎。</w:t>
      </w:r>
      <w:r>
        <w:rPr>
          <w:rFonts w:hint="eastAsia" w:ascii="宋体" w:hAnsi="宋体" w:cs="宋体"/>
          <w:b/>
          <w:bCs/>
          <w:spacing w:val="-17"/>
          <w:kern w:val="30"/>
          <w:sz w:val="24"/>
          <w:szCs w:val="24"/>
          <w:highlight w:val="none"/>
        </w:rPr>
        <w:t>理财产品过往业绩不代表其未来表现，不等于理财产品实际收益，投资须谨慎。产品收益随投资表现变动。本理财产品不保障本金且不保证理财收益</w:t>
      </w:r>
      <w:r>
        <w:rPr>
          <w:rFonts w:hint="eastAsia" w:ascii="仿宋" w:hAnsi="仿宋" w:eastAsia="仿宋" w:cs="仿宋"/>
          <w:b/>
          <w:bCs/>
          <w:spacing w:val="-17"/>
          <w:kern w:val="30"/>
          <w:sz w:val="30"/>
          <w:szCs w:val="30"/>
          <w:highlight w:val="none"/>
        </w:rPr>
        <w:t>，</w:t>
      </w:r>
      <w:r>
        <w:rPr>
          <w:rFonts w:hint="eastAsia" w:ascii="宋体" w:hAnsi="宋体" w:cs="宋体"/>
          <w:b/>
          <w:bCs/>
          <w:spacing w:val="-17"/>
          <w:kern w:val="30"/>
          <w:sz w:val="24"/>
          <w:szCs w:val="24"/>
          <w:highlight w:val="none"/>
        </w:rPr>
        <w:t>投资者的本金和收益（如有）可能会因市场变动而蒙受损失。</w:t>
      </w:r>
      <w:r>
        <w:rPr>
          <w:rFonts w:hint="eastAsia" w:ascii="宋体" w:hAnsi="宋体" w:cs="宋体"/>
          <w:spacing w:val="-17"/>
          <w:kern w:val="30"/>
          <w:sz w:val="24"/>
          <w:szCs w:val="24"/>
          <w:highlight w:val="none"/>
        </w:rPr>
        <w:t>本理财产品来源于本理财产品项下投资组合的回报，容易受到投资对象信用状况变化、市场利率的变化、投资组合的运作情况等影响。</w:t>
      </w:r>
    </w:p>
    <w:p>
      <w:pPr>
        <w:spacing w:line="620" w:lineRule="exact"/>
        <w:ind w:firstLine="414" w:firstLineChars="200"/>
        <w:rPr>
          <w:rFonts w:hint="eastAsia" w:ascii="宋体" w:hAnsi="宋体" w:cs="宋体"/>
          <w:b/>
          <w:bCs/>
          <w:spacing w:val="-17"/>
          <w:kern w:val="30"/>
          <w:sz w:val="24"/>
          <w:szCs w:val="24"/>
          <w:highlight w:val="none"/>
          <w:lang w:val="zh-CN"/>
        </w:rPr>
      </w:pPr>
      <w:r>
        <w:rPr>
          <w:rFonts w:hint="eastAsia" w:ascii="宋体" w:hAnsi="宋体" w:cs="宋体"/>
          <w:b/>
          <w:bCs/>
          <w:spacing w:val="-17"/>
          <w:kern w:val="30"/>
          <w:sz w:val="24"/>
          <w:szCs w:val="24"/>
          <w:highlight w:val="none"/>
        </w:rPr>
        <w:t>如出现投资对象违约等最不利情况（可能但并不一定发生），投资者可能无法取得收益，并可能面临损失本金的风险，由此产生的本金及收益损失由投资者自行承担</w:t>
      </w:r>
      <w:r>
        <w:rPr>
          <w:rFonts w:hint="eastAsia" w:ascii="宋体" w:hAnsi="宋体" w:cs="宋体"/>
          <w:b/>
          <w:bCs/>
          <w:spacing w:val="-17"/>
          <w:kern w:val="30"/>
          <w:sz w:val="24"/>
          <w:szCs w:val="24"/>
          <w:highlight w:val="none"/>
          <w:lang w:val="zh-CN"/>
        </w:rPr>
        <w:t>。</w:t>
      </w:r>
    </w:p>
    <w:p>
      <w:pPr>
        <w:spacing w:line="620" w:lineRule="exact"/>
        <w:ind w:firstLine="414" w:firstLineChars="200"/>
        <w:rPr>
          <w:highlight w:val="none"/>
          <w:lang w:val="zh-CN"/>
        </w:rPr>
      </w:pPr>
      <w:r>
        <w:rPr>
          <w:rFonts w:hint="eastAsia" w:ascii="宋体" w:hAnsi="宋体" w:cs="宋体"/>
          <w:b/>
          <w:bCs/>
          <w:spacing w:val="-17"/>
          <w:kern w:val="30"/>
          <w:sz w:val="24"/>
          <w:szCs w:val="24"/>
          <w:highlight w:val="none"/>
          <w:lang w:eastAsia="zh-CN"/>
        </w:rPr>
        <w:t>示例：如投资者购买本理财产品，本金为10万元，在理财产品资产组合项下投资对象违约的最不利情况下，理财产品</w:t>
      </w:r>
      <w:r>
        <w:rPr>
          <w:rFonts w:hint="eastAsia" w:ascii="宋体" w:hAnsi="宋体" w:cs="宋体"/>
          <w:b/>
          <w:bCs/>
          <w:spacing w:val="-17"/>
          <w:kern w:val="30"/>
          <w:sz w:val="24"/>
          <w:szCs w:val="24"/>
          <w:highlight w:val="none"/>
          <w:lang w:val="en-US" w:eastAsia="zh-CN"/>
        </w:rPr>
        <w:t>10万元本金面临损失的风险。</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本《风险提示书》所提示事项仅为列举性质，未能详尽列明投资者参与本理财产品所面临的的全部风险和可能导致投资者资产损失的所有要素。</w:t>
      </w:r>
    </w:p>
    <w:p>
      <w:pPr>
        <w:widowControl/>
        <w:numPr>
          <w:ilvl w:val="255"/>
          <w:numId w:val="0"/>
        </w:numPr>
        <w:rPr>
          <w:rFonts w:ascii="宋体" w:hAnsi="宋体" w:cs="宋体"/>
          <w:spacing w:val="-17"/>
          <w:kern w:val="30"/>
          <w:sz w:val="24"/>
          <w:szCs w:val="24"/>
          <w:highlight w:val="none"/>
        </w:rPr>
      </w:pPr>
      <w:r>
        <w:rPr>
          <w:rFonts w:hint="eastAsia" w:ascii="宋体" w:hAnsi="宋体" w:cs="宋体"/>
          <w:spacing w:val="-17"/>
          <w:kern w:val="30"/>
          <w:sz w:val="24"/>
          <w:szCs w:val="24"/>
          <w:highlight w:val="none"/>
        </w:rPr>
        <w:br w:type="page"/>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0" w:hRule="atLeast"/>
        </w:trPr>
        <w:tc>
          <w:tcPr>
            <w:tcW w:w="8460" w:type="dxa"/>
          </w:tcPr>
          <w:p>
            <w:pPr>
              <w:spacing w:line="620" w:lineRule="exact"/>
              <w:jc w:val="center"/>
              <w:rPr>
                <w:rFonts w:ascii="宋体" w:hAnsi="宋体" w:cs="宋体"/>
                <w:b/>
                <w:spacing w:val="-17"/>
                <w:sz w:val="24"/>
                <w:szCs w:val="24"/>
                <w:highlight w:val="none"/>
              </w:rPr>
            </w:pPr>
            <w:r>
              <w:rPr>
                <w:rFonts w:hint="eastAsia" w:ascii="宋体" w:hAnsi="宋体" w:cs="宋体"/>
                <w:b/>
                <w:spacing w:val="-17"/>
                <w:sz w:val="24"/>
                <w:szCs w:val="24"/>
                <w:highlight w:val="none"/>
              </w:rPr>
              <w:t>投资者确认栏</w:t>
            </w:r>
          </w:p>
          <w:p>
            <w:pPr>
              <w:spacing w:line="620" w:lineRule="exact"/>
              <w:ind w:firstLine="412" w:firstLineChars="200"/>
              <w:jc w:val="left"/>
              <w:rPr>
                <w:rFonts w:ascii="宋体" w:hAnsi="宋体" w:cs="宋体"/>
                <w:spacing w:val="-17"/>
                <w:sz w:val="24"/>
                <w:szCs w:val="24"/>
                <w:highlight w:val="none"/>
              </w:rPr>
            </w:pPr>
            <w:r>
              <w:rPr>
                <w:rFonts w:hint="eastAsia" w:ascii="宋体" w:hAnsi="宋体" w:cs="宋体"/>
                <w:spacing w:val="-17"/>
                <w:sz w:val="24"/>
                <w:szCs w:val="24"/>
                <w:highlight w:val="none"/>
              </w:rPr>
              <w:t>经广州银行评估，</w:t>
            </w:r>
            <w:r>
              <w:rPr>
                <w:rFonts w:hint="eastAsia" w:ascii="宋体" w:hAnsi="宋体" w:cs="宋体"/>
                <w:b/>
                <w:bCs/>
                <w:spacing w:val="-17"/>
                <w:sz w:val="24"/>
                <w:szCs w:val="24"/>
                <w:highlight w:val="none"/>
              </w:rPr>
              <w:t>本人目前的风险承受能力为</w:t>
            </w:r>
            <w:r>
              <w:rPr>
                <w:rFonts w:hint="eastAsia" w:ascii="宋体" w:hAnsi="宋体" w:cs="宋体"/>
                <w:b/>
                <w:bCs/>
                <w:spacing w:val="-17"/>
                <w:sz w:val="24"/>
                <w:szCs w:val="24"/>
                <w:highlight w:val="none"/>
                <w:u w:val="single"/>
              </w:rPr>
              <w:t xml:space="preserve">              </w:t>
            </w:r>
            <w:r>
              <w:rPr>
                <w:rFonts w:hint="eastAsia" w:ascii="宋体" w:hAnsi="宋体" w:cs="宋体"/>
                <w:b/>
                <w:bCs/>
                <w:spacing w:val="-17"/>
                <w:sz w:val="24"/>
                <w:szCs w:val="24"/>
                <w:highlight w:val="none"/>
              </w:rPr>
              <w:t>型投资者</w:t>
            </w:r>
            <w:r>
              <w:rPr>
                <w:rFonts w:hint="eastAsia" w:ascii="宋体" w:hAnsi="宋体" w:cs="宋体"/>
                <w:spacing w:val="-17"/>
                <w:sz w:val="24"/>
                <w:szCs w:val="24"/>
                <w:highlight w:val="none"/>
              </w:rPr>
              <w:t>（投资者在营业网点购买时需亲自填写，若通过电子渠道购买，系统将自动提示投资者风险承受能力等级）。</w:t>
            </w:r>
          </w:p>
          <w:p>
            <w:pPr>
              <w:pStyle w:val="15"/>
              <w:spacing w:line="620" w:lineRule="exact"/>
              <w:ind w:firstLine="414" w:firstLineChars="200"/>
              <w:jc w:val="both"/>
              <w:rPr>
                <w:rFonts w:ascii="宋体" w:hAnsi="宋体" w:eastAsia="宋体" w:cs="宋体"/>
                <w:color w:val="auto"/>
                <w:spacing w:val="-17"/>
                <w:highlight w:val="none"/>
              </w:rPr>
            </w:pPr>
            <w:r>
              <w:rPr>
                <w:rFonts w:hint="eastAsia" w:ascii="宋体" w:hAnsi="宋体" w:eastAsia="宋体" w:cs="宋体"/>
                <w:b/>
                <w:bCs/>
                <w:color w:val="auto"/>
                <w:spacing w:val="-17"/>
                <w:highlight w:val="none"/>
              </w:rPr>
              <w:t>特别提示：</w:t>
            </w:r>
            <w:r>
              <w:rPr>
                <w:rFonts w:hint="eastAsia" w:ascii="宋体" w:hAnsi="宋体" w:eastAsia="宋体" w:cs="宋体"/>
                <w:color w:val="auto"/>
                <w:spacing w:val="-17"/>
                <w:highlight w:val="none"/>
              </w:rPr>
              <w:t>如影响您风险承受能力的因素发生变化，或超过一年未进行风险承受能力评估，请及时完成风险承受能力评估。</w:t>
            </w:r>
          </w:p>
          <w:p>
            <w:pPr>
              <w:spacing w:line="620" w:lineRule="exact"/>
              <w:ind w:firstLine="414" w:firstLineChars="200"/>
              <w:jc w:val="left"/>
              <w:rPr>
                <w:rFonts w:ascii="宋体" w:hAnsi="宋体" w:cs="宋体"/>
                <w:b/>
                <w:bCs/>
                <w:spacing w:val="-17"/>
                <w:sz w:val="24"/>
                <w:szCs w:val="24"/>
                <w:highlight w:val="none"/>
              </w:rPr>
            </w:pPr>
            <w:r>
              <w:rPr>
                <w:rFonts w:hint="eastAsia" w:ascii="宋体" w:hAnsi="宋体" w:cs="宋体"/>
                <w:b/>
                <w:bCs/>
                <w:spacing w:val="-17"/>
                <w:sz w:val="24"/>
                <w:szCs w:val="24"/>
                <w:highlight w:val="none"/>
              </w:rPr>
              <w:t>投资者申明：</w:t>
            </w:r>
          </w:p>
          <w:p>
            <w:pPr>
              <w:spacing w:line="620" w:lineRule="exact"/>
              <w:ind w:firstLine="414" w:firstLineChars="200"/>
              <w:jc w:val="left"/>
              <w:rPr>
                <w:rFonts w:ascii="宋体" w:hAnsi="宋体" w:cs="宋体"/>
                <w:b/>
                <w:bCs/>
                <w:spacing w:val="-17"/>
                <w:sz w:val="24"/>
                <w:szCs w:val="24"/>
                <w:highlight w:val="none"/>
              </w:rPr>
            </w:pPr>
            <w:r>
              <w:rPr>
                <w:rFonts w:hint="eastAsia" w:ascii="宋体" w:hAnsi="宋体" w:cs="宋体"/>
                <w:b/>
                <w:bCs/>
                <w:spacing w:val="-17"/>
                <w:sz w:val="24"/>
                <w:szCs w:val="24"/>
                <w:highlight w:val="none"/>
              </w:rPr>
              <w:t>本人/本机构已认真阅读《理财产品投资协议书》、《风险提示书》、《理财产品说明书》、《投资者权益须知》、《理财产品销售协议书》等销售文件内容，充分关注风险提示，确信已完全清楚销售文件内容。作出投资决定完全基于自身独立判断,理解并自愿承担本产品风险。本人/本机构保证投资本理财产品的资金为自有资金，并非贷款、发行债券等筹集的非自有资金。本人/本机构同意广州银行向银行业理财登记托管中心有限公司等机构报送包括但不限于本人身份信息/本机构基本信息及理财产品持有信息。</w:t>
            </w:r>
          </w:p>
          <w:p>
            <w:pPr>
              <w:spacing w:line="620" w:lineRule="exact"/>
              <w:ind w:firstLine="412" w:firstLineChars="200"/>
              <w:jc w:val="left"/>
              <w:rPr>
                <w:rFonts w:ascii="宋体" w:hAnsi="宋体" w:cs="宋体"/>
                <w:spacing w:val="-17"/>
                <w:sz w:val="24"/>
                <w:szCs w:val="24"/>
                <w:highlight w:val="none"/>
              </w:rPr>
            </w:pPr>
            <w:r>
              <w:rPr>
                <w:rFonts w:hint="eastAsia" w:ascii="宋体" w:hAnsi="宋体" w:cs="宋体"/>
                <w:spacing w:val="-17"/>
                <w:sz w:val="24"/>
                <w:szCs w:val="24"/>
                <w:highlight w:val="none"/>
              </w:rPr>
              <w:t>请投资者抄录确认此语句：</w:t>
            </w:r>
            <w:r>
              <w:rPr>
                <w:rFonts w:hint="eastAsia" w:ascii="宋体" w:hAnsi="宋体" w:cs="宋体"/>
                <w:b/>
                <w:bCs/>
                <w:spacing w:val="-17"/>
                <w:sz w:val="24"/>
                <w:szCs w:val="24"/>
                <w:highlight w:val="none"/>
              </w:rPr>
              <w:t xml:space="preserve">“本人/本机构已经阅读风险提示，愿意承担投资风险。” </w:t>
            </w:r>
          </w:p>
          <w:p>
            <w:pPr>
              <w:spacing w:line="620" w:lineRule="exact"/>
              <w:ind w:firstLine="412" w:firstLineChars="200"/>
              <w:jc w:val="left"/>
              <w:rPr>
                <w:rFonts w:ascii="宋体" w:hAnsi="宋体" w:cs="宋体"/>
                <w:spacing w:val="-17"/>
                <w:sz w:val="24"/>
                <w:szCs w:val="24"/>
                <w:highlight w:val="none"/>
                <w:u w:val="single"/>
              </w:rPr>
            </w:pPr>
            <w:r>
              <w:rPr>
                <w:rFonts w:hint="eastAsia" w:ascii="宋体" w:hAnsi="宋体" w:cs="宋体"/>
                <w:spacing w:val="-17"/>
                <w:sz w:val="24"/>
                <w:szCs w:val="24"/>
                <w:highlight w:val="none"/>
                <w:u w:val="single"/>
              </w:rPr>
              <w:t xml:space="preserve">                                                                             </w:t>
            </w:r>
          </w:p>
          <w:p>
            <w:pPr>
              <w:spacing w:line="620" w:lineRule="exact"/>
              <w:ind w:firstLine="412" w:firstLineChars="200"/>
              <w:jc w:val="left"/>
              <w:rPr>
                <w:rFonts w:ascii="宋体" w:hAnsi="宋体" w:cs="宋体"/>
                <w:spacing w:val="-17"/>
                <w:sz w:val="24"/>
                <w:szCs w:val="24"/>
                <w:highlight w:val="none"/>
                <w:u w:val="single"/>
              </w:rPr>
            </w:pPr>
            <w:r>
              <w:rPr>
                <w:rFonts w:hint="eastAsia" w:ascii="宋体" w:hAnsi="宋体" w:cs="宋体"/>
                <w:spacing w:val="-17"/>
                <w:sz w:val="24"/>
                <w:szCs w:val="24"/>
                <w:highlight w:val="none"/>
                <w:u w:val="single"/>
              </w:rPr>
              <w:t xml:space="preserve">                                                                            </w:t>
            </w:r>
          </w:p>
          <w:p>
            <w:pPr>
              <w:spacing w:line="620" w:lineRule="exact"/>
              <w:jc w:val="left"/>
              <w:rPr>
                <w:rFonts w:ascii="宋体" w:hAnsi="宋体" w:cs="宋体"/>
                <w:spacing w:val="-17"/>
                <w:sz w:val="24"/>
                <w:szCs w:val="24"/>
                <w:highlight w:val="none"/>
              </w:rPr>
            </w:pPr>
          </w:p>
          <w:p>
            <w:pPr>
              <w:spacing w:line="620" w:lineRule="exact"/>
              <w:jc w:val="left"/>
              <w:rPr>
                <w:rFonts w:ascii="宋体" w:hAnsi="宋体" w:cs="宋体"/>
                <w:spacing w:val="-17"/>
                <w:sz w:val="24"/>
                <w:szCs w:val="24"/>
                <w:highlight w:val="none"/>
              </w:rPr>
            </w:pPr>
          </w:p>
          <w:p>
            <w:pPr>
              <w:spacing w:line="620" w:lineRule="exact"/>
              <w:jc w:val="left"/>
              <w:rPr>
                <w:rFonts w:ascii="宋体" w:hAnsi="宋体" w:cs="宋体"/>
                <w:spacing w:val="-17"/>
                <w:sz w:val="24"/>
                <w:szCs w:val="24"/>
                <w:highlight w:val="none"/>
              </w:rPr>
            </w:pPr>
            <w:r>
              <w:rPr>
                <w:rFonts w:hint="eastAsia" w:ascii="宋体" w:hAnsi="宋体" w:cs="宋体"/>
                <w:spacing w:val="-17"/>
                <w:sz w:val="24"/>
                <w:szCs w:val="24"/>
                <w:highlight w:val="none"/>
              </w:rPr>
              <w:t>【个人投资者适用】                          【机构投资者适用】</w:t>
            </w:r>
          </w:p>
          <w:p>
            <w:pPr>
              <w:spacing w:line="620" w:lineRule="exact"/>
              <w:jc w:val="left"/>
              <w:rPr>
                <w:rFonts w:ascii="宋体" w:hAnsi="宋体" w:cs="宋体"/>
                <w:spacing w:val="-17"/>
                <w:sz w:val="24"/>
                <w:szCs w:val="24"/>
                <w:highlight w:val="none"/>
              </w:rPr>
            </w:pPr>
            <w:r>
              <w:rPr>
                <w:rFonts w:hint="eastAsia" w:ascii="宋体" w:hAnsi="宋体" w:cs="宋体"/>
                <w:spacing w:val="-17"/>
                <w:sz w:val="24"/>
                <w:szCs w:val="24"/>
                <w:highlight w:val="none"/>
              </w:rPr>
              <w:t xml:space="preserve">签名：                                         抄录人签名：     </w:t>
            </w:r>
          </w:p>
          <w:p>
            <w:pPr>
              <w:spacing w:line="620" w:lineRule="exact"/>
              <w:ind w:firstLine="412" w:firstLineChars="200"/>
              <w:jc w:val="center"/>
              <w:rPr>
                <w:rFonts w:ascii="宋体" w:hAnsi="宋体" w:cs="宋体"/>
                <w:spacing w:val="-17"/>
                <w:sz w:val="24"/>
                <w:szCs w:val="24"/>
                <w:highlight w:val="none"/>
              </w:rPr>
            </w:pPr>
            <w:r>
              <w:rPr>
                <w:rFonts w:hint="eastAsia" w:ascii="宋体" w:hAnsi="宋体" w:cs="宋体"/>
                <w:spacing w:val="-17"/>
                <w:sz w:val="24"/>
                <w:szCs w:val="24"/>
                <w:highlight w:val="none"/>
              </w:rPr>
              <w:t xml:space="preserve">   盖章：               </w:t>
            </w:r>
          </w:p>
          <w:p>
            <w:pPr>
              <w:spacing w:line="620" w:lineRule="exact"/>
              <w:rPr>
                <w:rFonts w:ascii="宋体" w:hAnsi="宋体" w:cs="宋体"/>
                <w:b/>
                <w:spacing w:val="-17"/>
                <w:sz w:val="24"/>
                <w:szCs w:val="24"/>
                <w:highlight w:val="none"/>
              </w:rPr>
            </w:pPr>
            <w:r>
              <w:rPr>
                <w:rFonts w:hint="eastAsia" w:ascii="宋体" w:hAnsi="宋体" w:cs="宋体"/>
                <w:spacing w:val="-17"/>
                <w:sz w:val="24"/>
                <w:szCs w:val="24"/>
                <w:highlight w:val="none"/>
              </w:rPr>
              <w:t>日期：  年  月  日                            日期：  年  月  日</w:t>
            </w:r>
          </w:p>
        </w:tc>
      </w:tr>
    </w:tbl>
    <w:p>
      <w:pPr>
        <w:spacing w:line="620" w:lineRule="exact"/>
        <w:ind w:firstLine="434" w:firstLineChars="200"/>
        <w:jc w:val="left"/>
        <w:rPr>
          <w:rFonts w:ascii="宋体" w:hAnsi="宋体" w:cs="宋体"/>
          <w:b/>
          <w:spacing w:val="-12"/>
          <w:sz w:val="24"/>
          <w:szCs w:val="24"/>
          <w:highlight w:val="none"/>
          <w:shd w:val="pct10" w:color="auto" w:fill="FFFFFF"/>
        </w:rPr>
      </w:pPr>
      <w:r>
        <w:rPr>
          <w:rFonts w:hint="eastAsia" w:ascii="宋体" w:hAnsi="宋体" w:cs="宋体"/>
          <w:b/>
          <w:spacing w:val="-12"/>
          <w:sz w:val="24"/>
          <w:szCs w:val="24"/>
          <w:highlight w:val="none"/>
          <w:shd w:val="pct10" w:color="auto" w:fill="FFFFFF"/>
        </w:rPr>
        <w:br w:type="page"/>
      </w:r>
    </w:p>
    <w:p>
      <w:pPr>
        <w:widowControl/>
        <w:autoSpaceDN w:val="0"/>
        <w:spacing w:before="312" w:beforeLines="100" w:after="312" w:afterLines="100" w:line="620" w:lineRule="exact"/>
        <w:jc w:val="center"/>
        <w:rPr>
          <w:rFonts w:ascii="黑体" w:hAnsi="黑体" w:eastAsia="黑体" w:cs="黑体"/>
          <w:b/>
          <w:bCs/>
          <w:spacing w:val="-17"/>
          <w:sz w:val="28"/>
          <w:szCs w:val="28"/>
          <w:highlight w:val="none"/>
        </w:rPr>
      </w:pPr>
      <w:r>
        <w:rPr>
          <w:rFonts w:hint="eastAsia" w:ascii="黑体" w:hAnsi="黑体" w:eastAsia="黑体" w:cs="黑体"/>
          <w:b/>
          <w:bCs/>
          <w:spacing w:val="-17"/>
          <w:sz w:val="28"/>
          <w:szCs w:val="28"/>
          <w:highlight w:val="none"/>
        </w:rPr>
        <w:t>理财产品说明书</w:t>
      </w:r>
    </w:p>
    <w:p>
      <w:pPr>
        <w:spacing w:line="620" w:lineRule="exact"/>
        <w:jc w:val="center"/>
        <w:rPr>
          <w:rFonts w:ascii="宋体" w:hAnsi="宋体" w:cs="宋体"/>
          <w:b/>
          <w:bCs/>
          <w:spacing w:val="-17"/>
          <w:sz w:val="24"/>
          <w:szCs w:val="24"/>
          <w:highlight w:val="none"/>
        </w:rPr>
      </w:pPr>
      <w:r>
        <w:rPr>
          <w:rFonts w:hint="eastAsia" w:ascii="宋体" w:hAnsi="宋体" w:cs="宋体"/>
          <w:b/>
          <w:bCs/>
          <w:spacing w:val="-17"/>
          <w:sz w:val="24"/>
          <w:szCs w:val="24"/>
          <w:highlight w:val="none"/>
        </w:rPr>
        <w:t>一、释义</w:t>
      </w:r>
    </w:p>
    <w:p>
      <w:pPr>
        <w:snapToGrid w:val="0"/>
        <w:spacing w:line="620" w:lineRule="exact"/>
        <w:ind w:firstLine="412" w:firstLineChars="200"/>
        <w:jc w:val="left"/>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在本《理财产品说明书》中，下列词语或简称具有如下含义：</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广州银行</w:t>
      </w:r>
      <w:r>
        <w:rPr>
          <w:rFonts w:hint="eastAsia" w:ascii="宋体" w:hAnsi="宋体" w:cs="宋体"/>
          <w:spacing w:val="-17"/>
          <w:kern w:val="30"/>
          <w:sz w:val="24"/>
          <w:szCs w:val="24"/>
          <w:highlight w:val="none"/>
        </w:rPr>
        <w:t>：指广州银行股份有限公司</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元</w:t>
      </w:r>
      <w:r>
        <w:rPr>
          <w:rFonts w:hint="eastAsia" w:ascii="宋体" w:hAnsi="宋体" w:cs="宋体"/>
          <w:spacing w:val="-17"/>
          <w:kern w:val="30"/>
          <w:sz w:val="24"/>
          <w:szCs w:val="24"/>
          <w:highlight w:val="none"/>
        </w:rPr>
        <w:t>：指人民币元</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管理人/产品管理人</w:t>
      </w:r>
      <w:r>
        <w:rPr>
          <w:rFonts w:hint="eastAsia" w:ascii="宋体" w:hAnsi="宋体" w:cs="宋体"/>
          <w:spacing w:val="-17"/>
          <w:kern w:val="30"/>
          <w:sz w:val="24"/>
          <w:szCs w:val="24"/>
          <w:highlight w:val="none"/>
        </w:rPr>
        <w:t>：指广州银行股份有限公司</w:t>
      </w:r>
    </w:p>
    <w:p>
      <w:pPr>
        <w:widowControl/>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托管人/产品托管人</w:t>
      </w:r>
      <w:r>
        <w:rPr>
          <w:rFonts w:hint="eastAsia" w:ascii="宋体" w:hAnsi="宋体" w:cs="宋体"/>
          <w:spacing w:val="-17"/>
          <w:kern w:val="30"/>
          <w:sz w:val="24"/>
          <w:szCs w:val="24"/>
          <w:highlight w:val="none"/>
        </w:rPr>
        <w:t xml:space="preserve">：指上海浦东发展银行股份有限公司。其具备理财计划托管资格，提供包括账户开立、资金保管、资产清算、估值核算等理财产品托管服务。 </w:t>
      </w:r>
    </w:p>
    <w:p>
      <w:pPr>
        <w:widowControl/>
        <w:numPr>
          <w:ilvl w:val="0"/>
          <w:numId w:val="1"/>
        </w:numPr>
        <w:snapToGrid w:val="0"/>
        <w:spacing w:line="620" w:lineRule="exact"/>
        <w:ind w:firstLine="414" w:firstLineChars="200"/>
        <w:jc w:val="left"/>
        <w:rPr>
          <w:highlight w:val="none"/>
        </w:rPr>
      </w:pPr>
      <w:r>
        <w:rPr>
          <w:rFonts w:hint="eastAsia" w:ascii="宋体" w:hAnsi="宋体" w:cs="宋体"/>
          <w:b/>
          <w:bCs/>
          <w:spacing w:val="-17"/>
          <w:kern w:val="30"/>
          <w:sz w:val="24"/>
          <w:szCs w:val="24"/>
          <w:highlight w:val="none"/>
        </w:rPr>
        <w:t>销售机构</w:t>
      </w:r>
      <w:r>
        <w:rPr>
          <w:rFonts w:hint="eastAsia" w:ascii="宋体" w:hAnsi="宋体" w:cs="宋体"/>
          <w:spacing w:val="-17"/>
          <w:kern w:val="30"/>
          <w:sz w:val="24"/>
          <w:szCs w:val="24"/>
          <w:highlight w:val="none"/>
        </w:rPr>
        <w:t>：指广州银行股份有限公司及代销机构。本理财产品可以通过理财子公司、商业银行、农村合作银行、村镇银行、农村信用合作社等吸收公众存款的银行业金融机构，或者国务院银行业监督管理机构认可的其他机构代理销售。其负责理财产品宣传推广、投资者风险承受能力评估和投资者适当性管理、理财产品客户身份识别及反洗钱、反恐怖融资及非居民金融账户涉税信息调查、理财产品份额认购/申购/赎回（如有）、合同签署、接受投资者咨询和客户维护等销售服务工作。</w:t>
      </w:r>
    </w:p>
    <w:p>
      <w:pPr>
        <w:widowControl/>
        <w:numPr>
          <w:ilvl w:val="0"/>
          <w:numId w:val="1"/>
        </w:numPr>
        <w:snapToGrid w:val="0"/>
        <w:spacing w:line="620" w:lineRule="exact"/>
        <w:ind w:firstLine="414" w:firstLineChars="200"/>
        <w:jc w:val="left"/>
        <w:rPr>
          <w:highlight w:val="none"/>
        </w:rPr>
      </w:pPr>
      <w:r>
        <w:rPr>
          <w:rFonts w:hint="eastAsia" w:ascii="宋体" w:hAnsi="宋体" w:cs="宋体"/>
          <w:b/>
          <w:bCs/>
          <w:spacing w:val="-17"/>
          <w:kern w:val="30"/>
          <w:sz w:val="24"/>
          <w:szCs w:val="24"/>
          <w:highlight w:val="none"/>
        </w:rPr>
        <w:t>投资合作机构</w:t>
      </w:r>
      <w:r>
        <w:rPr>
          <w:rFonts w:hint="eastAsia" w:ascii="宋体" w:hAnsi="宋体" w:cs="宋体"/>
          <w:spacing w:val="-17"/>
          <w:kern w:val="30"/>
          <w:sz w:val="24"/>
          <w:szCs w:val="24"/>
          <w:highlight w:val="none"/>
        </w:rPr>
        <w:t xml:space="preserve">：包括但不限于理财产品所投资资产管理产品的发行机构、根据合同约定从事理财产品受托投资的机构以及与理财产品投资管理相关的投资顾问等；主要职责为进行受托资金的投资管理，根据合同约定从事受托投资或提供投资顾问等服务，具体职责以管理人与投资合作机构签署的合同为准。 </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投资者</w:t>
      </w:r>
      <w:r>
        <w:rPr>
          <w:rFonts w:hint="eastAsia" w:ascii="宋体" w:hAnsi="宋体" w:cs="宋体"/>
          <w:spacing w:val="-17"/>
          <w:kern w:val="30"/>
          <w:sz w:val="24"/>
          <w:szCs w:val="24"/>
          <w:highlight w:val="none"/>
        </w:rPr>
        <w:t>：指依据本《理财产品说明书》成功购买本理财产品份额的个人投资者/机构投资者。</w:t>
      </w:r>
    </w:p>
    <w:p>
      <w:pPr>
        <w:numPr>
          <w:ilvl w:val="0"/>
          <w:numId w:val="1"/>
        </w:numPr>
        <w:snapToGrid w:val="0"/>
        <w:spacing w:line="620" w:lineRule="exact"/>
        <w:ind w:firstLine="414" w:firstLineChars="200"/>
        <w:jc w:val="left"/>
        <w:rPr>
          <w:rFonts w:ascii="Times New Roman" w:hAnsi="Times New Roman"/>
          <w:szCs w:val="24"/>
          <w:highlight w:val="none"/>
        </w:rPr>
      </w:pPr>
      <w:r>
        <w:rPr>
          <w:rFonts w:hint="eastAsia" w:ascii="宋体" w:hAnsi="宋体" w:cs="宋体"/>
          <w:b/>
          <w:bCs/>
          <w:spacing w:val="-17"/>
          <w:kern w:val="30"/>
          <w:sz w:val="24"/>
          <w:szCs w:val="24"/>
          <w:highlight w:val="none"/>
        </w:rPr>
        <w:t>合格投资者</w:t>
      </w:r>
      <w:r>
        <w:rPr>
          <w:rFonts w:hint="eastAsia" w:ascii="宋体" w:hAnsi="宋体" w:cs="宋体"/>
          <w:spacing w:val="-17"/>
          <w:kern w:val="30"/>
          <w:sz w:val="24"/>
          <w:szCs w:val="24"/>
          <w:highlight w:val="none"/>
        </w:rPr>
        <w:t>：具备相应风险识别能力和风险承受能力，投资于单只理财产品不低于一定金额且符合一定条件的投资主体。</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募集期：</w:t>
      </w:r>
      <w:r>
        <w:rPr>
          <w:rFonts w:hint="eastAsia" w:ascii="宋体" w:hAnsi="宋体" w:cs="宋体"/>
          <w:spacing w:val="-17"/>
          <w:kern w:val="30"/>
          <w:sz w:val="24"/>
          <w:szCs w:val="24"/>
          <w:highlight w:val="none"/>
        </w:rPr>
        <w:t>指本理财产品自发售之日到正式成立之间的时间段。产品管理人有权根据市场变化情况缩短或延长募集期，并进行信息披露。</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成立日</w:t>
      </w:r>
      <w:r>
        <w:rPr>
          <w:rFonts w:hint="eastAsia" w:ascii="宋体" w:hAnsi="宋体" w:cs="宋体"/>
          <w:spacing w:val="-17"/>
          <w:kern w:val="30"/>
          <w:sz w:val="24"/>
          <w:szCs w:val="24"/>
          <w:highlight w:val="none"/>
        </w:rPr>
        <w:t>：指达到本《理财产品说明书》约定的成立条件后本理财产品成立的日期。若产品募集期缩短或延长，产品成立日以公告为准。</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开放期</w:t>
      </w:r>
      <w:r>
        <w:rPr>
          <w:rFonts w:hint="eastAsia" w:ascii="宋体" w:hAnsi="宋体" w:cs="宋体"/>
          <w:spacing w:val="-17"/>
          <w:kern w:val="30"/>
          <w:sz w:val="24"/>
          <w:szCs w:val="24"/>
          <w:highlight w:val="none"/>
        </w:rPr>
        <w:t>：指本理财产品开放申购、赎回的期间。</w:t>
      </w:r>
    </w:p>
    <w:p>
      <w:pPr>
        <w:numPr>
          <w:ilvl w:val="0"/>
          <w:numId w:val="1"/>
        </w:numPr>
        <w:snapToGrid w:val="0"/>
        <w:spacing w:line="620" w:lineRule="exact"/>
        <w:ind w:firstLine="414" w:firstLineChars="200"/>
        <w:jc w:val="left"/>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产品期限</w:t>
      </w:r>
      <w:r>
        <w:rPr>
          <w:rFonts w:hint="eastAsia" w:ascii="宋体" w:hAnsi="宋体" w:cs="宋体"/>
          <w:spacing w:val="-17"/>
          <w:kern w:val="30"/>
          <w:sz w:val="24"/>
          <w:szCs w:val="24"/>
          <w:highlight w:val="none"/>
        </w:rPr>
        <w:t>：指本理财产品起始日到产品终止日之间的天数。</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认购</w:t>
      </w:r>
      <w:r>
        <w:rPr>
          <w:rFonts w:hint="eastAsia" w:ascii="宋体" w:hAnsi="宋体" w:cs="宋体"/>
          <w:spacing w:val="-17"/>
          <w:kern w:val="30"/>
          <w:sz w:val="24"/>
          <w:szCs w:val="24"/>
          <w:highlight w:val="none"/>
        </w:rPr>
        <w:t>：指在本理财产品募集期间，投资者按照本《理财产品说明书》规定购买本理财产品份额的行为。</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申购</w:t>
      </w:r>
      <w:r>
        <w:rPr>
          <w:rFonts w:hint="eastAsia" w:ascii="宋体" w:hAnsi="宋体" w:cs="宋体"/>
          <w:spacing w:val="-17"/>
          <w:kern w:val="30"/>
          <w:sz w:val="24"/>
          <w:szCs w:val="24"/>
          <w:highlight w:val="none"/>
        </w:rPr>
        <w:t>：指投资者在本理财产品的开放期申请购买本理财产品份额的行为。</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赎回</w:t>
      </w:r>
      <w:r>
        <w:rPr>
          <w:rFonts w:hint="eastAsia" w:ascii="宋体" w:hAnsi="宋体" w:cs="宋体"/>
          <w:spacing w:val="-17"/>
          <w:kern w:val="30"/>
          <w:sz w:val="24"/>
          <w:szCs w:val="24"/>
          <w:highlight w:val="none"/>
        </w:rPr>
        <w:t>：指投资者在本理财产品的开放期将持有的本理财产品按份额卖出的行为。</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净赎回</w:t>
      </w:r>
      <w:r>
        <w:rPr>
          <w:rFonts w:hint="eastAsia" w:ascii="宋体" w:hAnsi="宋体" w:cs="宋体"/>
          <w:spacing w:val="-17"/>
          <w:kern w:val="30"/>
          <w:sz w:val="24"/>
          <w:szCs w:val="24"/>
          <w:highlight w:val="none"/>
        </w:rPr>
        <w:t>：赎回申请总份额扣除申购申请总份额后的余额。</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巨额赎回</w:t>
      </w:r>
      <w:r>
        <w:rPr>
          <w:rFonts w:hint="eastAsia" w:ascii="宋体" w:hAnsi="宋体" w:cs="宋体"/>
          <w:spacing w:val="-17"/>
          <w:kern w:val="30"/>
          <w:sz w:val="24"/>
          <w:szCs w:val="24"/>
          <w:highlight w:val="none"/>
        </w:rPr>
        <w:t>：指本理财产品单个开放日净赎回申请超过前一日终理财产品总份额的10％的赎回行为，银保监会另有规定的除外。</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产品单位净值：</w:t>
      </w:r>
      <w:r>
        <w:rPr>
          <w:rFonts w:hint="eastAsia" w:ascii="宋体" w:hAnsi="宋体" w:cs="宋体"/>
          <w:spacing w:val="-17"/>
          <w:kern w:val="30"/>
          <w:sz w:val="24"/>
          <w:szCs w:val="24"/>
          <w:highlight w:val="none"/>
        </w:rPr>
        <w:t>指理财产品份额的单位净值。产品单位净值=理财产品总净值/理财产品总份额。</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业绩比较基准</w:t>
      </w:r>
      <w:r>
        <w:rPr>
          <w:rFonts w:hint="eastAsia" w:ascii="宋体" w:hAnsi="宋体" w:cs="宋体"/>
          <w:spacing w:val="-17"/>
          <w:kern w:val="30"/>
          <w:sz w:val="24"/>
          <w:szCs w:val="24"/>
          <w:highlight w:val="none"/>
        </w:rPr>
        <w:t>：指管理人根据过往投资经验及对本理财产品存续期投资市场波动的预判而对本理财产品所设定的投资目标。业绩比较基准不构成广州银行对理财产品的任何收益（如有）承诺。</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工作日</w:t>
      </w:r>
      <w:r>
        <w:rPr>
          <w:rFonts w:hint="eastAsia" w:ascii="宋体" w:hAnsi="宋体" w:cs="宋体"/>
          <w:b/>
          <w:sz w:val="24"/>
          <w:szCs w:val="24"/>
          <w:highlight w:val="none"/>
        </w:rPr>
        <w:t>：</w:t>
      </w:r>
      <w:r>
        <w:rPr>
          <w:rFonts w:hint="eastAsia" w:ascii="宋体" w:hAnsi="宋体" w:cs="宋体"/>
          <w:spacing w:val="-17"/>
          <w:kern w:val="30"/>
          <w:sz w:val="24"/>
          <w:szCs w:val="24"/>
          <w:highlight w:val="none"/>
        </w:rPr>
        <w:t>指除中国法定节假日和公休日外的其他日期。</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T日</w:t>
      </w:r>
      <w:r>
        <w:rPr>
          <w:rFonts w:hint="eastAsia" w:ascii="宋体" w:hAnsi="宋体" w:cs="宋体"/>
          <w:spacing w:val="-17"/>
          <w:kern w:val="30"/>
          <w:sz w:val="24"/>
          <w:szCs w:val="24"/>
          <w:highlight w:val="none"/>
        </w:rPr>
        <w:t>：指某一事件或行为发生的当日，具体以相关条款约定为准。</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流动性受限资产</w:t>
      </w:r>
      <w:r>
        <w:rPr>
          <w:rFonts w:hint="eastAsia" w:ascii="宋体" w:hAnsi="宋体" w:cs="宋体"/>
          <w:spacing w:val="-17"/>
          <w:kern w:val="30"/>
          <w:sz w:val="24"/>
          <w:szCs w:val="24"/>
          <w:highlight w:val="none"/>
        </w:rPr>
        <w:t>：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numPr>
          <w:ilvl w:val="0"/>
          <w:numId w:val="1"/>
        </w:numPr>
        <w:snapToGrid w:val="0"/>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7个工作日可变现资产：</w:t>
      </w:r>
      <w:r>
        <w:rPr>
          <w:rFonts w:hint="eastAsia" w:ascii="宋体" w:hAnsi="宋体" w:cs="宋体"/>
          <w:spacing w:val="-17"/>
          <w:kern w:val="30"/>
          <w:sz w:val="24"/>
          <w:szCs w:val="24"/>
          <w:highlight w:val="none"/>
        </w:rPr>
        <w:t>包括可在交易所、银行间市场正常交易的股票、债券、非金融企业债务融资工具、期货及期权合约以及同业存单，7个工作日内到期或可支取的买入返售、银行存款，7个工作日内能够确认收到的各类应收款项等。</w:t>
      </w:r>
    </w:p>
    <w:p>
      <w:pPr>
        <w:pStyle w:val="2"/>
        <w:rPr>
          <w:highlight w:val="none"/>
          <w:lang w:val="en-US"/>
        </w:rPr>
      </w:pPr>
    </w:p>
    <w:p>
      <w:pPr>
        <w:pStyle w:val="15"/>
        <w:spacing w:line="400" w:lineRule="exact"/>
        <w:jc w:val="both"/>
        <w:rPr>
          <w:rFonts w:ascii="宋体" w:hAnsi="宋体" w:eastAsia="宋体" w:cs="宋体"/>
          <w:bCs/>
          <w:color w:val="auto"/>
          <w:spacing w:val="-12"/>
          <w:kern w:val="2"/>
          <w:highlight w:val="none"/>
          <w:shd w:val="pct10" w:color="auto" w:fill="FFFFFF"/>
        </w:rPr>
      </w:pPr>
    </w:p>
    <w:p>
      <w:pPr>
        <w:spacing w:line="620" w:lineRule="exact"/>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br w:type="page"/>
      </w:r>
    </w:p>
    <w:p>
      <w:pPr>
        <w:numPr>
          <w:ilvl w:val="0"/>
          <w:numId w:val="2"/>
        </w:numPr>
        <w:spacing w:after="312" w:afterLines="100" w:line="620" w:lineRule="exact"/>
        <w:jc w:val="center"/>
        <w:rPr>
          <w:rFonts w:ascii="宋体" w:hAnsi="宋体" w:cs="宋体"/>
          <w:b/>
          <w:bCs/>
          <w:spacing w:val="-17"/>
          <w:sz w:val="24"/>
          <w:szCs w:val="24"/>
          <w:highlight w:val="none"/>
        </w:rPr>
      </w:pPr>
      <w:r>
        <w:rPr>
          <w:rFonts w:hint="eastAsia" w:ascii="宋体" w:hAnsi="宋体" w:cs="宋体"/>
          <w:b/>
          <w:bCs/>
          <w:spacing w:val="-17"/>
          <w:sz w:val="24"/>
          <w:szCs w:val="24"/>
          <w:highlight w:val="none"/>
        </w:rPr>
        <w:t>产品基本信息</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04"/>
        <w:gridCol w:w="2336"/>
        <w:gridCol w:w="1500"/>
        <w:gridCol w:w="2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产品名称</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广州银行红棉理财现金管理类日添金T+1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产品代码</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ascii="宋体" w:hAnsi="宋体" w:cs="宋体"/>
                <w:sz w:val="24"/>
                <w:highlight w:val="none"/>
                <w:lang w:val="en-US"/>
              </w:rPr>
              <w:t>RTJ90</w:t>
            </w:r>
            <w:r>
              <w:rPr>
                <w:rFonts w:hint="eastAsia" w:ascii="宋体" w:hAnsi="宋体" w:cs="宋体"/>
                <w:sz w:val="24"/>
                <w:highlight w:val="none"/>
                <w:lang w:val="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登记编码</w:t>
            </w:r>
          </w:p>
        </w:tc>
        <w:tc>
          <w:tcPr>
            <w:tcW w:w="6518" w:type="dxa"/>
            <w:gridSpan w:val="3"/>
            <w:vAlign w:val="center"/>
          </w:tcPr>
          <w:p>
            <w:pPr>
              <w:numPr>
                <w:ilvl w:val="255"/>
                <w:numId w:val="0"/>
              </w:numPr>
              <w:snapToGrid w:val="0"/>
              <w:spacing w:line="300" w:lineRule="auto"/>
              <w:rPr>
                <w:rFonts w:hint="eastAsia" w:ascii="宋体" w:hAnsi="宋体" w:cs="宋体"/>
                <w:color w:val="FF0000"/>
                <w:kern w:val="0"/>
                <w:sz w:val="24"/>
                <w:szCs w:val="24"/>
                <w:highlight w:val="none"/>
                <w:lang w:val="en-US" w:eastAsia="zh-CN"/>
              </w:rPr>
            </w:pPr>
            <w:r>
              <w:rPr>
                <w:rFonts w:hint="eastAsia" w:ascii="宋体" w:hAnsi="宋体" w:cs="宋体"/>
                <w:color w:val="FF0000"/>
                <w:kern w:val="0"/>
                <w:sz w:val="24"/>
                <w:szCs w:val="24"/>
                <w:highlight w:val="none"/>
              </w:rPr>
              <w:t>C</w:t>
            </w:r>
            <w:r>
              <w:rPr>
                <w:rFonts w:hint="eastAsia" w:ascii="宋体" w:hAnsi="宋体" w:cs="宋体"/>
                <w:color w:val="FF0000"/>
                <w:kern w:val="0"/>
                <w:sz w:val="24"/>
                <w:szCs w:val="24"/>
                <w:highlight w:val="none"/>
                <w:lang w:val="en-US" w:eastAsia="zh-CN"/>
              </w:rPr>
              <w:t>1082719000918</w:t>
            </w:r>
          </w:p>
          <w:p>
            <w:pPr>
              <w:numPr>
                <w:ilvl w:val="255"/>
                <w:numId w:val="0"/>
              </w:numPr>
              <w:snapToGrid w:val="0"/>
              <w:spacing w:line="300" w:lineRule="auto"/>
              <w:rPr>
                <w:rFonts w:ascii="宋体" w:hAnsi="宋体" w:cs="宋体"/>
                <w:sz w:val="24"/>
                <w:szCs w:val="24"/>
                <w:highlight w:val="none"/>
              </w:rPr>
            </w:pPr>
            <w:r>
              <w:rPr>
                <w:rFonts w:hint="eastAsia" w:ascii="黑体" w:hAnsi="黑体" w:eastAsia="黑体" w:cs="黑体"/>
                <w:color w:val="FF0000"/>
                <w:kern w:val="0"/>
                <w:sz w:val="18"/>
                <w:szCs w:val="18"/>
                <w:highlight w:val="none"/>
              </w:rPr>
              <w:t>注：投资者可依据登记编码在中国理财网(www.chinawealth.com.cn)查询产品信息。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发行机构</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广州银行股份有限公司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风险等级</w:t>
            </w:r>
          </w:p>
        </w:tc>
        <w:tc>
          <w:tcPr>
            <w:tcW w:w="6518" w:type="dxa"/>
            <w:gridSpan w:val="3"/>
            <w:vAlign w:val="center"/>
          </w:tcPr>
          <w:p>
            <w:pPr>
              <w:pStyle w:val="2"/>
              <w:numPr>
                <w:ilvl w:val="255"/>
                <w:numId w:val="0"/>
              </w:numPr>
              <w:spacing w:line="300" w:lineRule="auto"/>
              <w:rPr>
                <w:rFonts w:ascii="宋体" w:hAnsi="宋体" w:cs="宋体"/>
                <w:b/>
                <w:bCs/>
                <w:spacing w:val="-17"/>
                <w:kern w:val="30"/>
                <w:sz w:val="24"/>
                <w:highlight w:val="none"/>
                <w:lang w:val="en-US"/>
              </w:rPr>
            </w:pPr>
            <w:r>
              <w:rPr>
                <w:rFonts w:hint="eastAsia" w:ascii="宋体" w:hAnsi="宋体" w:cs="宋体"/>
                <w:b/>
                <w:bCs/>
                <w:spacing w:val="-17"/>
                <w:kern w:val="30"/>
                <w:sz w:val="24"/>
                <w:highlight w:val="none"/>
                <w:lang w:val="en-US"/>
              </w:rPr>
              <w:t>R1（低风险)</w:t>
            </w:r>
          </w:p>
          <w:p>
            <w:pPr>
              <w:pStyle w:val="2"/>
              <w:numPr>
                <w:ilvl w:val="255"/>
                <w:numId w:val="0"/>
              </w:numPr>
              <w:spacing w:line="300" w:lineRule="auto"/>
              <w:rPr>
                <w:rFonts w:ascii="宋体" w:hAnsi="宋体" w:cs="宋体"/>
                <w:b/>
                <w:bCs/>
                <w:spacing w:val="-17"/>
                <w:kern w:val="30"/>
                <w:sz w:val="24"/>
                <w:highlight w:val="none"/>
                <w:lang w:val="en-US"/>
              </w:rPr>
            </w:pPr>
            <w:r>
              <w:rPr>
                <w:rFonts w:hint="eastAsia" w:ascii="宋体" w:hAnsi="宋体" w:cs="宋体"/>
                <w:sz w:val="24"/>
                <w:highlight w:val="none"/>
                <w:lang w:val="en-US"/>
              </w:rPr>
              <w:t>该产品通过代理销售机构渠道销售的，理财产品评级以代理销售机构最终披露的评级结果为准。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销售对象</w:t>
            </w:r>
          </w:p>
        </w:tc>
        <w:tc>
          <w:tcPr>
            <w:tcW w:w="6518" w:type="dxa"/>
            <w:gridSpan w:val="3"/>
            <w:vAlign w:val="center"/>
          </w:tcPr>
          <w:p>
            <w:pPr>
              <w:pStyle w:val="2"/>
              <w:rPr>
                <w:rFonts w:ascii="宋体" w:hAnsi="宋体" w:cs="宋体"/>
                <w:color w:val="000000"/>
                <w:kern w:val="0"/>
                <w:sz w:val="24"/>
                <w:highlight w:val="none"/>
              </w:rPr>
            </w:pPr>
            <w:r>
              <w:rPr>
                <w:rFonts w:hint="eastAsia" w:ascii="宋体" w:hAnsi="宋体" w:cs="宋体"/>
                <w:sz w:val="24"/>
                <w:szCs w:val="24"/>
                <w:highlight w:val="none"/>
              </w:rPr>
              <w:t>本理财产品为公募发行，面向不特定社会公众销售。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适合投资者</w:t>
            </w:r>
          </w:p>
        </w:tc>
        <w:tc>
          <w:tcPr>
            <w:tcW w:w="6518" w:type="dxa"/>
            <w:gridSpan w:val="3"/>
            <w:vAlign w:val="center"/>
          </w:tcPr>
          <w:p>
            <w:pPr>
              <w:numPr>
                <w:ilvl w:val="255"/>
                <w:numId w:val="0"/>
              </w:num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☑保守型   ☑稳健型   ☑ 平衡型   ☑成长型   ☑进取型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运作模式</w:t>
            </w:r>
          </w:p>
        </w:tc>
        <w:tc>
          <w:tcPr>
            <w:tcW w:w="6518" w:type="dxa"/>
            <w:gridSpan w:val="3"/>
            <w:vAlign w:val="center"/>
          </w:tcPr>
          <w:p>
            <w:pPr>
              <w:snapToGrid w:val="0"/>
              <w:spacing w:line="300" w:lineRule="auto"/>
              <w:rPr>
                <w:rFonts w:ascii="宋体" w:hAnsi="宋体" w:cs="宋体"/>
                <w:color w:val="000000"/>
                <w:kern w:val="0"/>
                <w:sz w:val="24"/>
                <w:szCs w:val="24"/>
                <w:highlight w:val="none"/>
              </w:rPr>
            </w:pPr>
            <w:r>
              <w:rPr>
                <w:rFonts w:hint="eastAsia" w:ascii="宋体" w:hAnsi="宋体" w:cs="宋体"/>
                <w:color w:val="000000"/>
                <w:kern w:val="0"/>
                <w:sz w:val="24"/>
                <w:szCs w:val="24"/>
                <w:highlight w:val="none"/>
              </w:rPr>
              <w:t>☑开放式净值型产品         □开放式非净值型产品</w:t>
            </w:r>
          </w:p>
          <w:p>
            <w:pPr>
              <w:numPr>
                <w:ilvl w:val="255"/>
                <w:numId w:val="0"/>
              </w:num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□封闭式净值型产品         □封闭式非净值型产品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投资性质</w:t>
            </w:r>
          </w:p>
        </w:tc>
        <w:tc>
          <w:tcPr>
            <w:tcW w:w="6518" w:type="dxa"/>
            <w:gridSpan w:val="3"/>
            <w:vAlign w:val="center"/>
          </w:tcPr>
          <w:p>
            <w:p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☑固定收益类产品           □权益类产品</w:t>
            </w:r>
          </w:p>
          <w:p>
            <w:pPr>
              <w:numPr>
                <w:ilvl w:val="255"/>
                <w:numId w:val="0"/>
              </w:num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□商品及金融衍生品类产品   □混合类产品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募集方式</w:t>
            </w:r>
          </w:p>
        </w:tc>
        <w:tc>
          <w:tcPr>
            <w:tcW w:w="6518" w:type="dxa"/>
            <w:gridSpan w:val="3"/>
            <w:vAlign w:val="center"/>
          </w:tcPr>
          <w:p>
            <w:pPr>
              <w:numPr>
                <w:ilvl w:val="255"/>
                <w:numId w:val="0"/>
              </w:numPr>
              <w:snapToGrid w:val="0"/>
              <w:spacing w:line="300" w:lineRule="auto"/>
              <w:rPr>
                <w:rFonts w:ascii="宋体" w:hAnsi="宋体" w:cs="宋体"/>
                <w:sz w:val="24"/>
                <w:szCs w:val="24"/>
                <w:highlight w:val="none"/>
              </w:rPr>
            </w:pPr>
            <w:r>
              <w:rPr>
                <w:rFonts w:hint="eastAsia" w:ascii="宋体" w:hAnsi="宋体" w:cs="宋体"/>
                <w:color w:val="000000"/>
                <w:kern w:val="0"/>
                <w:sz w:val="24"/>
                <w:szCs w:val="24"/>
                <w:highlight w:val="none"/>
              </w:rPr>
              <w:t>☑公募发行                 □私募发行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募集起始日</w:t>
            </w:r>
          </w:p>
        </w:tc>
        <w:tc>
          <w:tcPr>
            <w:tcW w:w="2336"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kern w:val="0"/>
                <w:sz w:val="24"/>
                <w:highlight w:val="none"/>
                <w:lang w:val="en-US"/>
              </w:rPr>
              <w:t>2019年11月25日09:00</w:t>
            </w:r>
          </w:p>
        </w:tc>
        <w:tc>
          <w:tcPr>
            <w:tcW w:w="1500"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募集终止日</w:t>
            </w:r>
          </w:p>
        </w:tc>
        <w:tc>
          <w:tcPr>
            <w:tcW w:w="2682"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kern w:val="0"/>
                <w:sz w:val="24"/>
                <w:highlight w:val="none"/>
                <w:lang w:val="en-US"/>
              </w:rPr>
              <w:t>2019年11月27日15:00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产品成立日</w:t>
            </w:r>
          </w:p>
        </w:tc>
        <w:tc>
          <w:tcPr>
            <w:tcW w:w="2336"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2019年11月28日</w:t>
            </w:r>
          </w:p>
        </w:tc>
        <w:tc>
          <w:tcPr>
            <w:tcW w:w="1500"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产品终止日</w:t>
            </w:r>
          </w:p>
        </w:tc>
        <w:tc>
          <w:tcPr>
            <w:tcW w:w="2682"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kern w:val="0"/>
                <w:sz w:val="24"/>
                <w:highlight w:val="none"/>
                <w:lang w:val="en-US" w:eastAsia="zh-CN"/>
              </w:rPr>
              <w:t>2049</w:t>
            </w:r>
            <w:r>
              <w:rPr>
                <w:rFonts w:hint="eastAsia" w:ascii="宋体" w:hAnsi="宋体" w:cs="宋体"/>
                <w:kern w:val="0"/>
                <w:sz w:val="24"/>
                <w:highlight w:val="none"/>
                <w:lang w:val="en-US"/>
              </w:rPr>
              <w:t>年</w:t>
            </w:r>
            <w:r>
              <w:rPr>
                <w:rFonts w:hint="eastAsia" w:ascii="宋体" w:hAnsi="宋体" w:cs="宋体"/>
                <w:kern w:val="0"/>
                <w:sz w:val="24"/>
                <w:highlight w:val="none"/>
                <w:lang w:val="en-US" w:eastAsia="zh-CN"/>
              </w:rPr>
              <w:t>11</w:t>
            </w:r>
            <w:r>
              <w:rPr>
                <w:rFonts w:hint="eastAsia" w:ascii="宋体" w:hAnsi="宋体" w:cs="宋体"/>
                <w:kern w:val="0"/>
                <w:sz w:val="24"/>
                <w:highlight w:val="none"/>
                <w:lang w:val="en-US"/>
              </w:rPr>
              <w:t>月</w:t>
            </w:r>
            <w:r>
              <w:rPr>
                <w:rFonts w:hint="eastAsia" w:ascii="宋体" w:hAnsi="宋体" w:cs="宋体"/>
                <w:kern w:val="0"/>
                <w:sz w:val="24"/>
                <w:highlight w:val="none"/>
                <w:lang w:val="en-US" w:eastAsia="zh-CN"/>
              </w:rPr>
              <w:t>28</w:t>
            </w:r>
            <w:r>
              <w:rPr>
                <w:rFonts w:hint="eastAsia" w:ascii="宋体" w:hAnsi="宋体" w:cs="宋体"/>
                <w:kern w:val="0"/>
                <w:sz w:val="24"/>
                <w:highlight w:val="none"/>
                <w:lang w:val="en-US"/>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封闭期</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ascii="宋体" w:hAnsi="宋体" w:cs="宋体"/>
                <w:sz w:val="24"/>
                <w:highlight w:val="none"/>
                <w:lang w:val="en-US"/>
              </w:rPr>
              <w:t>2019年11月28日-2019年12月4日，封闭期内投资者不得申购或赎回本理财产品。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产品期限</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ascii="宋体" w:hAnsi="宋体" w:cs="宋体"/>
                <w:sz w:val="24"/>
                <w:highlight w:val="none"/>
                <w:lang w:val="en-US"/>
              </w:rPr>
              <w:t>本理财产品存续期</w:t>
            </w:r>
            <w:r>
              <w:rPr>
                <w:rFonts w:hint="eastAsia" w:ascii="宋体" w:hAnsi="宋体" w:cs="宋体"/>
                <w:sz w:val="24"/>
                <w:highlight w:val="none"/>
                <w:lang w:val="en-US"/>
              </w:rPr>
              <w:t>30</w:t>
            </w:r>
            <w:r>
              <w:rPr>
                <w:rFonts w:ascii="宋体" w:hAnsi="宋体" w:cs="宋体"/>
                <w:sz w:val="24"/>
                <w:highlight w:val="none"/>
                <w:lang w:val="en-US"/>
              </w:rPr>
              <w:t>年，广州银行</w:t>
            </w:r>
            <w:r>
              <w:rPr>
                <w:rFonts w:hint="eastAsia" w:ascii="宋体" w:hAnsi="宋体" w:cs="宋体"/>
                <w:sz w:val="24"/>
                <w:highlight w:val="none"/>
                <w:lang w:val="en-US"/>
              </w:rPr>
              <w:t>有权</w:t>
            </w:r>
            <w:r>
              <w:rPr>
                <w:rFonts w:ascii="宋体" w:hAnsi="宋体" w:cs="宋体"/>
                <w:sz w:val="24"/>
                <w:highlight w:val="none"/>
                <w:lang w:val="en-US"/>
              </w:rPr>
              <w:t>根据市场及产品实际运作情况等提前终止</w:t>
            </w:r>
            <w:r>
              <w:rPr>
                <w:rFonts w:hint="eastAsia" w:ascii="宋体" w:hAnsi="宋体" w:cs="宋体"/>
                <w:sz w:val="24"/>
                <w:highlight w:val="none"/>
                <w:lang w:val="en-US"/>
              </w:rPr>
              <w:t>本</w:t>
            </w:r>
            <w:r>
              <w:rPr>
                <w:rFonts w:ascii="宋体" w:hAnsi="宋体" w:cs="宋体"/>
                <w:sz w:val="24"/>
                <w:highlight w:val="none"/>
                <w:lang w:val="en-US"/>
              </w:rPr>
              <w:t>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最低认购额</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机构理财首次认购/申购起点金额10万元整，超过起点部分，应为1万元的整数倍；</w:t>
            </w:r>
          </w:p>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个人理财首次认购/申购起点金额1万元整，超过起点部分，应为100元的整数倍。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产品币种</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业绩比较基准</w:t>
            </w:r>
          </w:p>
        </w:tc>
        <w:tc>
          <w:tcPr>
            <w:tcW w:w="6518" w:type="dxa"/>
            <w:gridSpan w:val="3"/>
            <w:vAlign w:val="center"/>
          </w:tcPr>
          <w:p>
            <w:pPr>
              <w:pStyle w:val="2"/>
              <w:numPr>
                <w:ilvl w:val="255"/>
                <w:numId w:val="0"/>
              </w:numPr>
              <w:spacing w:line="300" w:lineRule="auto"/>
              <w:rPr>
                <w:rFonts w:hint="default" w:ascii="宋体" w:hAnsi="宋体" w:cs="宋体"/>
                <w:b/>
                <w:bCs/>
                <w:sz w:val="24"/>
                <w:highlight w:val="none"/>
                <w:lang w:val="en-US"/>
              </w:rPr>
            </w:pPr>
            <w:r>
              <w:rPr>
                <w:rFonts w:ascii="宋体" w:hAnsi="宋体" w:cs="宋体"/>
                <w:b/>
                <w:bCs/>
                <w:sz w:val="24"/>
                <w:highlight w:val="none"/>
                <w:lang w:val="en-US"/>
              </w:rPr>
              <w:t>中国人民银行公布的7天通知存款利率</w:t>
            </w:r>
            <w:r>
              <w:rPr>
                <w:rFonts w:hint="eastAsia" w:ascii="宋体" w:hAnsi="宋体" w:cs="宋体"/>
                <w:b/>
                <w:bCs/>
                <w:sz w:val="24"/>
                <w:highlight w:val="none"/>
                <w:lang w:val="en-US"/>
              </w:rPr>
              <w:t>。</w:t>
            </w:r>
            <w:r>
              <w:rPr>
                <w:rFonts w:hint="default" w:ascii="宋体" w:hAnsi="宋体" w:cs="宋体"/>
                <w:b/>
                <w:bCs/>
                <w:sz w:val="24"/>
                <w:highlight w:val="none"/>
                <w:lang w:val="en-US"/>
              </w:rPr>
              <w:t>业绩比较基准由管理人基于</w:t>
            </w:r>
            <w:r>
              <w:rPr>
                <w:rFonts w:hint="default" w:ascii="宋体" w:hAnsi="宋体" w:cs="宋体"/>
                <w:b/>
                <w:bCs/>
                <w:sz w:val="24"/>
                <w:highlight w:val="none"/>
                <w:lang w:val="en-US" w:eastAsia="zh-CN"/>
              </w:rPr>
              <w:t>本理财产品投资性质，依据本理财产品说明书约定投资范围内各类资产的收益率水平、投资比例、</w:t>
            </w:r>
            <w:r>
              <w:rPr>
                <w:rFonts w:hint="default" w:ascii="宋体" w:hAnsi="宋体" w:cs="宋体"/>
                <w:b/>
                <w:bCs/>
                <w:sz w:val="24"/>
                <w:highlight w:val="none"/>
                <w:lang w:val="en-US"/>
              </w:rPr>
              <w:t>过往投资经验</w:t>
            </w:r>
            <w:r>
              <w:rPr>
                <w:rFonts w:hint="default" w:ascii="宋体" w:hAnsi="宋体" w:cs="宋体"/>
                <w:b/>
                <w:bCs/>
                <w:sz w:val="24"/>
                <w:highlight w:val="none"/>
                <w:lang w:val="en-US" w:eastAsia="zh-CN"/>
              </w:rPr>
              <w:t>等因素</w:t>
            </w:r>
            <w:r>
              <w:rPr>
                <w:rFonts w:hint="default" w:ascii="宋体" w:hAnsi="宋体" w:cs="宋体"/>
                <w:b/>
                <w:bCs/>
                <w:sz w:val="24"/>
                <w:highlight w:val="none"/>
                <w:lang w:val="en-US"/>
              </w:rPr>
              <w:t>，并综合考量市场环境等因素</w:t>
            </w:r>
            <w:r>
              <w:rPr>
                <w:rFonts w:hint="default" w:ascii="宋体" w:hAnsi="宋体" w:cs="宋体"/>
                <w:b/>
                <w:bCs/>
                <w:sz w:val="24"/>
                <w:highlight w:val="none"/>
                <w:lang w:val="en-US" w:eastAsia="zh-CN"/>
              </w:rPr>
              <w:t>（如近期利率水平、债券市场运行情况等）进行综合测算得出。本业绩比较基准为管理人</w:t>
            </w:r>
            <w:r>
              <w:rPr>
                <w:rFonts w:hint="default" w:ascii="宋体" w:hAnsi="宋体" w:cs="宋体"/>
                <w:b/>
                <w:bCs/>
                <w:sz w:val="24"/>
                <w:highlight w:val="none"/>
                <w:lang w:val="en-US"/>
              </w:rPr>
              <w:t>制定的投资目标</w:t>
            </w:r>
            <w:r>
              <w:rPr>
                <w:rFonts w:hint="default" w:ascii="宋体" w:hAnsi="宋体" w:cs="宋体"/>
                <w:b/>
                <w:bCs/>
                <w:sz w:val="24"/>
                <w:highlight w:val="none"/>
                <w:lang w:val="en-US" w:eastAsia="zh-CN"/>
              </w:rPr>
              <w:t>，不代表本理财产品的未来表现和实际收益，</w:t>
            </w:r>
            <w:r>
              <w:rPr>
                <w:rFonts w:ascii="宋体" w:hAnsi="宋体" w:cs="宋体"/>
                <w:b/>
                <w:bCs/>
                <w:sz w:val="24"/>
                <w:highlight w:val="none"/>
                <w:lang w:val="en-US"/>
              </w:rPr>
              <w:t>不构成广州银行对理财产品的任何收益承诺</w:t>
            </w:r>
            <w:r>
              <w:rPr>
                <w:rFonts w:hint="default" w:ascii="宋体" w:hAnsi="宋体" w:cs="宋体"/>
                <w:b/>
                <w:bCs/>
                <w:sz w:val="24"/>
                <w:highlight w:val="none"/>
                <w:lang w:val="en-US"/>
              </w:rPr>
              <w:t>。</w:t>
            </w:r>
          </w:p>
          <w:p>
            <w:pPr>
              <w:pStyle w:val="2"/>
              <w:numPr>
                <w:ilvl w:val="255"/>
                <w:numId w:val="0"/>
              </w:numPr>
              <w:spacing w:line="300" w:lineRule="auto"/>
              <w:rPr>
                <w:highlight w:val="none"/>
                <w:lang w:val="en-US"/>
              </w:rPr>
            </w:pPr>
            <w:r>
              <w:rPr>
                <w:rFonts w:hint="eastAsia" w:ascii="宋体" w:hAnsi="宋体" w:cs="宋体"/>
                <w:b/>
                <w:bCs/>
                <w:sz w:val="24"/>
                <w:highlight w:val="none"/>
                <w:lang w:val="en-US"/>
              </w:rPr>
              <w:t>广州银行有权根据市场变动及产品运作情况调整产品业绩比较基准，并至少于新业绩比较基准启用前1个工作日公布</w:t>
            </w:r>
            <w:r>
              <w:rPr>
                <w:rFonts w:hint="eastAsia" w:ascii="宋体" w:hAnsi="宋体" w:cs="宋体"/>
                <w:b/>
                <w:bCs/>
                <w:sz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计划发售规模</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首期计划发售规模</w:t>
            </w:r>
            <w:r>
              <w:rPr>
                <w:rFonts w:hint="eastAsia" w:ascii="宋体" w:hAnsi="宋体" w:cs="宋体"/>
                <w:sz w:val="24"/>
                <w:highlight w:val="none"/>
                <w:lang w:val="en-US" w:eastAsia="zh-CN"/>
              </w:rPr>
              <w:t>10</w:t>
            </w:r>
            <w:r>
              <w:rPr>
                <w:rFonts w:hint="eastAsia" w:ascii="宋体" w:hAnsi="宋体" w:cs="宋体"/>
                <w:sz w:val="24"/>
                <w:highlight w:val="none"/>
                <w:lang w:val="en-US"/>
              </w:rPr>
              <w:t>亿元、下限</w:t>
            </w:r>
            <w:r>
              <w:rPr>
                <w:rFonts w:hint="eastAsia" w:ascii="宋体" w:hAnsi="宋体" w:cs="宋体"/>
                <w:sz w:val="24"/>
                <w:highlight w:val="none"/>
                <w:lang w:val="en-US" w:eastAsia="zh-CN"/>
              </w:rPr>
              <w:t>0.1</w:t>
            </w:r>
            <w:r>
              <w:rPr>
                <w:rFonts w:hint="eastAsia" w:ascii="宋体" w:hAnsi="宋体" w:cs="宋体"/>
                <w:sz w:val="24"/>
                <w:highlight w:val="none"/>
                <w:lang w:val="en-US"/>
              </w:rPr>
              <w:t>亿元。广州银行有权根据实际需要对产品规模上下限进行调整，产品最终规模以实际募集的资金数额为准。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Borders>
              <w:left w:val="single" w:color="auto" w:sz="4" w:space="0"/>
              <w:bottom w:val="single" w:color="auto" w:sz="4" w:space="0"/>
            </w:tcBorders>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销售地域</w:t>
            </w:r>
          </w:p>
        </w:tc>
        <w:tc>
          <w:tcPr>
            <w:tcW w:w="6518" w:type="dxa"/>
            <w:gridSpan w:val="3"/>
            <w:tcBorders>
              <w:bottom w:val="single" w:color="auto" w:sz="4" w:space="0"/>
              <w:right w:val="single" w:color="auto" w:sz="4" w:space="0"/>
            </w:tcBorders>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全国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Borders>
              <w:top w:val="single" w:color="auto" w:sz="4" w:space="0"/>
              <w:left w:val="single" w:color="auto" w:sz="4" w:space="0"/>
              <w:bottom w:val="nil"/>
            </w:tcBorders>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销售渠道</w:t>
            </w:r>
          </w:p>
        </w:tc>
        <w:tc>
          <w:tcPr>
            <w:tcW w:w="6518" w:type="dxa"/>
            <w:gridSpan w:val="3"/>
            <w:tcBorders>
              <w:top w:val="single" w:color="auto" w:sz="4" w:space="0"/>
              <w:bottom w:val="nil"/>
              <w:right w:val="single" w:color="auto" w:sz="4" w:space="0"/>
            </w:tcBorders>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广州银行营业网点、网上银行、手机银行、微信银行、自助设备、智能柜台等；代销机构网上银行、手机银行等。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Borders>
              <w:top w:val="single" w:color="auto" w:sz="4" w:space="0"/>
              <w:left w:val="single" w:color="auto" w:sz="4" w:space="0"/>
              <w:bottom w:val="nil"/>
            </w:tcBorders>
          </w:tcPr>
          <w:p>
            <w:pPr>
              <w:pStyle w:val="15"/>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产品费用</w:t>
            </w:r>
          </w:p>
          <w:p>
            <w:pPr>
              <w:pStyle w:val="15"/>
              <w:spacing w:line="400" w:lineRule="exact"/>
              <w:jc w:val="both"/>
              <w:rPr>
                <w:rFonts w:ascii="宋体" w:hAnsi="宋体" w:eastAsia="宋体" w:cs="宋体"/>
                <w:color w:val="auto"/>
                <w:kern w:val="2"/>
                <w:highlight w:val="none"/>
              </w:rPr>
            </w:pPr>
          </w:p>
        </w:tc>
        <w:tc>
          <w:tcPr>
            <w:tcW w:w="6518" w:type="dxa"/>
            <w:gridSpan w:val="3"/>
            <w:tcBorders>
              <w:top w:val="single" w:color="auto" w:sz="4" w:space="0"/>
              <w:bottom w:val="nil"/>
              <w:right w:val="single" w:color="auto" w:sz="4" w:space="0"/>
            </w:tcBorders>
          </w:tcPr>
          <w:p>
            <w:pPr>
              <w:rPr>
                <w:rFonts w:ascii="宋体" w:hAnsi="宋体" w:cs="宋体"/>
                <w:sz w:val="24"/>
                <w:szCs w:val="24"/>
                <w:highlight w:val="none"/>
              </w:rPr>
            </w:pPr>
            <w:r>
              <w:rPr>
                <w:rFonts w:hint="eastAsia" w:ascii="宋体" w:hAnsi="宋体" w:cs="宋体"/>
                <w:sz w:val="24"/>
                <w:szCs w:val="24"/>
                <w:highlight w:val="none"/>
              </w:rPr>
              <w:t>本理财产品收取的费用包括托管费、固定管理费、销售手续费、手续费、强制赎回费（如有）、其他费用等。</w:t>
            </w:r>
          </w:p>
          <w:p>
            <w:pPr>
              <w:pStyle w:val="15"/>
              <w:spacing w:line="400" w:lineRule="exact"/>
              <w:jc w:val="both"/>
              <w:rPr>
                <w:rFonts w:ascii="宋体" w:hAnsi="宋体" w:eastAsia="宋体" w:cs="宋体"/>
                <w:color w:val="auto"/>
                <w:kern w:val="2"/>
                <w:highlight w:val="none"/>
              </w:rPr>
            </w:pPr>
            <w:r>
              <w:rPr>
                <w:rFonts w:hint="eastAsia" w:ascii="宋体" w:hAnsi="宋体" w:eastAsia="宋体" w:cs="宋体"/>
                <w:b/>
                <w:bCs/>
                <w:color w:val="auto"/>
                <w:kern w:val="2"/>
                <w:highlight w:val="none"/>
              </w:rPr>
              <w:t>详见本《理财产品说明书》第四点：费用收取方式。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Borders>
              <w:top w:val="single" w:color="auto" w:sz="4" w:space="0"/>
              <w:left w:val="single" w:color="auto" w:sz="4" w:space="0"/>
              <w:bottom w:val="single" w:color="auto" w:sz="4" w:space="0"/>
            </w:tcBorders>
          </w:tcPr>
          <w:p>
            <w:pPr>
              <w:pStyle w:val="15"/>
              <w:spacing w:line="400" w:lineRule="exact"/>
              <w:jc w:val="both"/>
              <w:rPr>
                <w:rFonts w:ascii="宋体" w:hAnsi="宋体" w:eastAsia="宋体" w:cs="宋体"/>
                <w:color w:val="auto"/>
                <w:kern w:val="2"/>
                <w:highlight w:val="none"/>
              </w:rPr>
            </w:pPr>
            <w:r>
              <w:rPr>
                <w:rFonts w:hint="eastAsia" w:ascii="宋体" w:hAnsi="宋体" w:eastAsia="宋体" w:cs="宋体"/>
                <w:color w:val="auto"/>
                <w:highlight w:val="none"/>
              </w:rPr>
              <w:t>产品单位净值</w:t>
            </w:r>
          </w:p>
        </w:tc>
        <w:tc>
          <w:tcPr>
            <w:tcW w:w="6518" w:type="dxa"/>
            <w:gridSpan w:val="3"/>
            <w:tcBorders>
              <w:top w:val="single" w:color="auto" w:sz="4" w:space="0"/>
              <w:bottom w:val="single" w:color="auto" w:sz="4" w:space="0"/>
              <w:right w:val="single" w:color="auto" w:sz="4" w:space="0"/>
            </w:tcBorders>
          </w:tcPr>
          <w:p>
            <w:pPr>
              <w:pStyle w:val="15"/>
              <w:spacing w:line="400" w:lineRule="exact"/>
              <w:jc w:val="both"/>
              <w:rPr>
                <w:rFonts w:ascii="宋体" w:hAnsi="宋体" w:eastAsia="宋体" w:cs="宋体"/>
                <w:color w:val="auto"/>
                <w:kern w:val="2"/>
                <w:highlight w:val="none"/>
              </w:rPr>
            </w:pPr>
            <w:r>
              <w:rPr>
                <w:rFonts w:hint="eastAsia" w:ascii="宋体" w:hAnsi="宋体" w:eastAsia="宋体" w:cs="宋体"/>
                <w:color w:val="auto"/>
                <w:kern w:val="2"/>
                <w:highlight w:val="none"/>
              </w:rPr>
              <w:t>产品单位净值为缴纳增值税等相关税费，并扣除托管费、固定管理费、销售手续费、其他费用等相关费用后的理财产品单位份额净值。净值披露到小数点后6位，小数点6位后舍位。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分红</w:t>
            </w:r>
          </w:p>
        </w:tc>
        <w:tc>
          <w:tcPr>
            <w:tcW w:w="6518" w:type="dxa"/>
            <w:gridSpan w:val="3"/>
          </w:tcPr>
          <w:p>
            <w:pPr>
              <w:pStyle w:val="15"/>
              <w:spacing w:line="400" w:lineRule="exact"/>
              <w:jc w:val="both"/>
              <w:rPr>
                <w:rFonts w:ascii="宋体" w:hAnsi="宋体" w:cs="宋体"/>
                <w:b/>
                <w:bCs/>
                <w:color w:val="auto"/>
                <w:highlight w:val="none"/>
              </w:rPr>
            </w:pPr>
            <w:r>
              <w:rPr>
                <w:rFonts w:hint="eastAsia" w:ascii="宋体" w:hAnsi="宋体" w:eastAsia="宋体" w:cs="宋体"/>
                <w:color w:val="auto"/>
                <w:kern w:val="2"/>
                <w:highlight w:val="none"/>
              </w:rPr>
              <w:t>管理人将视本理财产品运作情况进行分红。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分红方式</w:t>
            </w:r>
          </w:p>
        </w:tc>
        <w:tc>
          <w:tcPr>
            <w:tcW w:w="6518" w:type="dxa"/>
            <w:gridSpan w:val="3"/>
          </w:tcPr>
          <w:p>
            <w:pPr>
              <w:pStyle w:val="15"/>
              <w:spacing w:line="400" w:lineRule="exact"/>
              <w:jc w:val="both"/>
              <w:rPr>
                <w:rFonts w:ascii="宋体" w:hAnsi="宋体" w:cs="宋体"/>
                <w:b/>
                <w:bCs/>
                <w:color w:val="auto"/>
                <w:highlight w:val="none"/>
              </w:rPr>
            </w:pPr>
            <w:r>
              <w:rPr>
                <w:rFonts w:hint="eastAsia" w:ascii="宋体" w:hAnsi="宋体" w:eastAsia="宋体" w:cs="宋体"/>
                <w:color w:val="auto"/>
                <w:highlight w:val="none"/>
              </w:rPr>
              <w:t>现金分红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提前终止</w:t>
            </w:r>
          </w:p>
        </w:tc>
        <w:tc>
          <w:tcPr>
            <w:tcW w:w="6518" w:type="dxa"/>
            <w:gridSpan w:val="3"/>
          </w:tcPr>
          <w:p>
            <w:pPr>
              <w:spacing w:line="480" w:lineRule="exact"/>
              <w:rPr>
                <w:rFonts w:ascii="宋体" w:hAnsi="宋体" w:cs="宋体"/>
                <w:kern w:val="0"/>
                <w:sz w:val="24"/>
                <w:szCs w:val="24"/>
                <w:highlight w:val="none"/>
              </w:rPr>
            </w:pPr>
            <w:r>
              <w:rPr>
                <w:rFonts w:hint="eastAsia" w:ascii="宋体" w:hAnsi="宋体" w:cs="宋体"/>
                <w:b/>
                <w:bCs/>
                <w:kern w:val="0"/>
                <w:sz w:val="24"/>
                <w:szCs w:val="24"/>
                <w:highlight w:val="none"/>
              </w:rPr>
              <w:t>为保障投资者利益，广州银行可根据市场变化情况提前终止本理财产品。</w:t>
            </w:r>
            <w:r>
              <w:rPr>
                <w:rFonts w:hint="eastAsia" w:ascii="宋体" w:hAnsi="宋体" w:cs="宋体"/>
                <w:kern w:val="0"/>
                <w:sz w:val="24"/>
                <w:szCs w:val="24"/>
                <w:highlight w:val="none"/>
              </w:rPr>
              <w:t>投资者不得提前终止本理财产品。</w:t>
            </w:r>
          </w:p>
          <w:p>
            <w:pPr>
              <w:spacing w:line="480" w:lineRule="exact"/>
              <w:rPr>
                <w:rFonts w:ascii="宋体" w:hAnsi="宋体" w:cs="宋体"/>
                <w:sz w:val="24"/>
                <w:szCs w:val="24"/>
                <w:highlight w:val="none"/>
              </w:rPr>
            </w:pPr>
            <w:r>
              <w:rPr>
                <w:rFonts w:hint="eastAsia" w:ascii="宋体" w:hAnsi="宋体" w:cs="宋体"/>
                <w:b/>
                <w:bCs/>
                <w:kern w:val="0"/>
                <w:sz w:val="24"/>
                <w:szCs w:val="24"/>
                <w:highlight w:val="none"/>
              </w:rPr>
              <w:t>详见</w:t>
            </w:r>
            <w:r>
              <w:rPr>
                <w:rFonts w:hint="eastAsia" w:ascii="宋体" w:hAnsi="宋体" w:cs="宋体"/>
                <w:b/>
                <w:bCs/>
                <w:sz w:val="24"/>
                <w:szCs w:val="24"/>
                <w:highlight w:val="none"/>
              </w:rPr>
              <w:t>本《理财产品说明书》</w:t>
            </w:r>
            <w:r>
              <w:rPr>
                <w:rFonts w:hint="eastAsia" w:ascii="宋体" w:hAnsi="宋体" w:cs="宋体"/>
                <w:b/>
                <w:bCs/>
                <w:kern w:val="0"/>
                <w:sz w:val="24"/>
                <w:szCs w:val="24"/>
                <w:highlight w:val="none"/>
              </w:rPr>
              <w:t>第五点：产品运作中（六）提前终止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spacing w:line="400" w:lineRule="exact"/>
              <w:jc w:val="both"/>
              <w:rPr>
                <w:rFonts w:ascii="宋体" w:hAnsi="宋体" w:eastAsia="宋体" w:cs="宋体"/>
                <w:color w:val="auto"/>
                <w:kern w:val="2"/>
                <w:highlight w:val="none"/>
              </w:rPr>
            </w:pPr>
            <w:r>
              <w:rPr>
                <w:rFonts w:hint="eastAsia" w:ascii="宋体" w:hAnsi="宋体" w:eastAsia="宋体" w:cs="宋体"/>
                <w:color w:val="auto"/>
                <w:highlight w:val="none"/>
              </w:rPr>
              <w:t>税款</w:t>
            </w:r>
          </w:p>
        </w:tc>
        <w:tc>
          <w:tcPr>
            <w:tcW w:w="6518" w:type="dxa"/>
            <w:gridSpan w:val="3"/>
          </w:tcPr>
          <w:p>
            <w:pPr>
              <w:pStyle w:val="15"/>
              <w:spacing w:line="400" w:lineRule="exact"/>
              <w:jc w:val="both"/>
              <w:rPr>
                <w:rFonts w:ascii="宋体" w:hAnsi="宋体" w:eastAsia="宋体" w:cs="宋体"/>
                <w:color w:val="auto"/>
                <w:kern w:val="2"/>
                <w:highlight w:val="none"/>
              </w:rPr>
            </w:pPr>
            <w:r>
              <w:rPr>
                <w:rFonts w:hint="eastAsia" w:ascii="宋体" w:hAnsi="宋体" w:eastAsia="宋体" w:cs="宋体"/>
                <w:color w:val="auto"/>
                <w:highlight w:val="none"/>
              </w:rPr>
              <w:t>根据财政部、国家税务总局相关税收监管政策的规定，理财产品运营过程中发生的增值税应税行为，以管理人为增值税纳税人，计算并缴纳增值税及附加税费。广州银行作为理财产品管理人，将按照相关规定计算应缴纳的税费，并从理财产品财产中支付。如遇国家税收政策进行调整，广州银行有权根据税收政策相应调整理财产品运营过程中发生的税费的承担方式。投资者取得理财收益产生的纳税义务（包括但不限于增值税、所得税等，如有），由投资者自行缴纳，广州银行不承担代扣代缴义务，法律法规另有明确规定的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vAlign w:val="center"/>
          </w:tcPr>
          <w:p>
            <w:pPr>
              <w:pStyle w:val="2"/>
              <w:numPr>
                <w:ilvl w:val="255"/>
                <w:numId w:val="0"/>
              </w:numPr>
              <w:spacing w:line="300" w:lineRule="auto"/>
              <w:jc w:val="center"/>
              <w:rPr>
                <w:rFonts w:ascii="宋体" w:hAnsi="宋体" w:cs="宋体"/>
                <w:sz w:val="24"/>
                <w:highlight w:val="none"/>
                <w:lang w:val="en-US"/>
              </w:rPr>
            </w:pPr>
            <w:r>
              <w:rPr>
                <w:rFonts w:hint="eastAsia" w:ascii="宋体" w:hAnsi="宋体" w:cs="宋体"/>
                <w:sz w:val="24"/>
                <w:highlight w:val="none"/>
                <w:lang w:val="en-US"/>
              </w:rPr>
              <w:t>开放式产品信息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认购份额</w:t>
            </w:r>
          </w:p>
        </w:tc>
        <w:tc>
          <w:tcPr>
            <w:tcW w:w="6518" w:type="dxa"/>
            <w:gridSpan w:val="3"/>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认购份额=认购金额/1.0000元。</w:t>
            </w:r>
          </w:p>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份额披露到小数点后2位，2位后舍位。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单户持有上限</w:t>
            </w:r>
          </w:p>
        </w:tc>
        <w:tc>
          <w:tcPr>
            <w:tcW w:w="6518" w:type="dxa"/>
            <w:gridSpan w:val="3"/>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单一投资者持有份额不超过该产品总份额的</w:t>
            </w:r>
            <w:r>
              <w:rPr>
                <w:rFonts w:hint="eastAsia" w:ascii="宋体" w:hAnsi="宋体" w:eastAsia="宋体" w:cs="宋体"/>
                <w:kern w:val="2"/>
                <w:highlight w:val="none"/>
                <w:lang w:val="en-US" w:eastAsia="zh-CN"/>
              </w:rPr>
              <w:t>2</w:t>
            </w:r>
            <w:r>
              <w:rPr>
                <w:rFonts w:hint="eastAsia" w:ascii="宋体" w:hAnsi="宋体" w:eastAsia="宋体" w:cs="宋体"/>
                <w:kern w:val="2"/>
                <w:highlight w:val="none"/>
              </w:rPr>
              <w:t>%。非因广州银行主观因素导致突破前款规定比例限制的，在单一投资者持有比例降至</w:t>
            </w:r>
            <w:r>
              <w:rPr>
                <w:rFonts w:hint="eastAsia" w:ascii="宋体" w:hAnsi="宋体" w:eastAsia="宋体" w:cs="宋体"/>
                <w:kern w:val="2"/>
                <w:highlight w:val="none"/>
                <w:lang w:val="en-US" w:eastAsia="zh-CN"/>
              </w:rPr>
              <w:t>2</w:t>
            </w:r>
            <w:r>
              <w:rPr>
                <w:rFonts w:hint="eastAsia" w:ascii="宋体" w:hAnsi="宋体" w:eastAsia="宋体" w:cs="宋体"/>
                <w:kern w:val="2"/>
                <w:highlight w:val="none"/>
              </w:rPr>
              <w:t>%以下之前，广州银行不得再接受该投资者对该理财产品的认购申请。</w:t>
            </w:r>
          </w:p>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为保护投资者的合法权益，广州银行可以依照相关法律法规，在特定市场条件下暂停或者拒绝接受一定金额以上的资金认购。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开放期</w:t>
            </w:r>
          </w:p>
        </w:tc>
        <w:tc>
          <w:tcPr>
            <w:tcW w:w="6518" w:type="dxa"/>
            <w:gridSpan w:val="3"/>
            <w:vAlign w:val="center"/>
          </w:tcPr>
          <w:p>
            <w:pPr>
              <w:pStyle w:val="2"/>
              <w:numPr>
                <w:ilvl w:val="255"/>
                <w:numId w:val="0"/>
              </w:numPr>
              <w:spacing w:line="300" w:lineRule="auto"/>
              <w:rPr>
                <w:rFonts w:ascii="宋体" w:hAnsi="宋体" w:cs="宋体"/>
                <w:sz w:val="24"/>
                <w:highlight w:val="none"/>
                <w:lang w:val="en-US"/>
              </w:rPr>
            </w:pPr>
            <w:r>
              <w:rPr>
                <w:rFonts w:hint="eastAsia" w:ascii="宋体" w:hAnsi="宋体" w:cs="宋体"/>
                <w:sz w:val="24"/>
                <w:highlight w:val="none"/>
                <w:lang w:val="en-US"/>
              </w:rPr>
              <w:t>本理财产品投资封闭期后，每个自然日为开放期。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申购</w:t>
            </w:r>
          </w:p>
        </w:tc>
        <w:tc>
          <w:tcPr>
            <w:tcW w:w="6518" w:type="dxa"/>
            <w:gridSpan w:val="3"/>
          </w:tcPr>
          <w:p>
            <w:pPr>
              <w:pStyle w:val="15"/>
              <w:spacing w:line="400" w:lineRule="exact"/>
              <w:jc w:val="both"/>
              <w:rPr>
                <w:rFonts w:ascii="宋体" w:hAnsi="宋体" w:eastAsia="宋体" w:cs="宋体"/>
                <w:b/>
                <w:bCs/>
                <w:color w:val="auto"/>
                <w:highlight w:val="none"/>
              </w:rPr>
            </w:pPr>
            <w:r>
              <w:rPr>
                <w:rFonts w:hint="eastAsia" w:ascii="宋体" w:hAnsi="宋体" w:eastAsia="宋体" w:cs="宋体"/>
                <w:b/>
                <w:bCs/>
                <w:color w:val="auto"/>
                <w:highlight w:val="none"/>
              </w:rPr>
              <w:t>本理财产品采用金额申购的方式进行申购。</w:t>
            </w:r>
          </w:p>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在理财产品开放期，投资者可进行主动申购，申购申请成功后，申购资金立即冻结，申购资金冻结期间，投资者可获得申购资金的活期存款利息，所获利息不计入投资本金。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8" w:hRule="atLeast"/>
        </w:trPr>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申购确认</w:t>
            </w:r>
          </w:p>
        </w:tc>
        <w:tc>
          <w:tcPr>
            <w:tcW w:w="6518" w:type="dxa"/>
            <w:gridSpan w:val="3"/>
          </w:tcPr>
          <w:tbl>
            <w:tblPr>
              <w:tblStyle w:val="10"/>
              <w:tblpPr w:leftFromText="180" w:rightFromText="180" w:vertAnchor="text" w:horzAnchor="page" w:tblpX="320" w:tblpY="210"/>
              <w:tblOverlap w:val="never"/>
              <w:tblW w:w="5820" w:type="dxa"/>
              <w:tblInd w:w="0" w:type="dxa"/>
              <w:tblLayout w:type="autofit"/>
              <w:tblCellMar>
                <w:top w:w="0" w:type="dxa"/>
                <w:left w:w="0" w:type="dxa"/>
                <w:bottom w:w="0" w:type="dxa"/>
                <w:right w:w="0" w:type="dxa"/>
              </w:tblCellMar>
            </w:tblPr>
            <w:tblGrid>
              <w:gridCol w:w="1605"/>
              <w:gridCol w:w="3105"/>
              <w:gridCol w:w="1110"/>
              <w:tblGridChange w:id="0">
                <w:tblGrid>
                  <w:gridCol w:w="1605"/>
                  <w:gridCol w:w="2107"/>
                  <w:gridCol w:w="998"/>
                  <w:gridCol w:w="1110"/>
                </w:tblGrid>
              </w:tblGridChange>
            </w:tblGrid>
            <w:tr>
              <w:tblPrEx>
                <w:tblCellMar>
                  <w:top w:w="0" w:type="dxa"/>
                  <w:left w:w="0" w:type="dxa"/>
                  <w:bottom w:w="0" w:type="dxa"/>
                  <w:right w:w="0" w:type="dxa"/>
                </w:tblCellMar>
              </w:tblPrEx>
              <w:trPr>
                <w:trHeight w:val="300" w:hRule="atLeast"/>
              </w:trPr>
              <w:tc>
                <w:tcPr>
                  <w:tcW w:w="16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hint="eastAsia" w:ascii="宋体" w:hAnsi="宋体" w:eastAsia="宋体" w:cs="宋体"/>
                      <w:sz w:val="18"/>
                      <w:szCs w:val="18"/>
                      <w:highlight w:val="none"/>
                      <w:lang w:val="en-US" w:eastAsia="zh-CN"/>
                    </w:rPr>
                  </w:pPr>
                  <w:r>
                    <w:rPr>
                      <w:rFonts w:hint="eastAsia" w:ascii="宋体" w:hAnsi="宋体" w:cs="宋体"/>
                      <w:kern w:val="0"/>
                      <w:sz w:val="18"/>
                      <w:szCs w:val="18"/>
                      <w:highlight w:val="none"/>
                      <w:lang w:bidi="ar"/>
                    </w:rPr>
                    <w:t>申购申请</w:t>
                  </w:r>
                  <w:r>
                    <w:rPr>
                      <w:rFonts w:hint="eastAsia" w:ascii="宋体" w:hAnsi="宋体" w:cs="宋体"/>
                      <w:kern w:val="0"/>
                      <w:sz w:val="18"/>
                      <w:szCs w:val="18"/>
                      <w:highlight w:val="none"/>
                      <w:lang w:val="en-US" w:eastAsia="zh-CN" w:bidi="ar"/>
                    </w:rPr>
                    <w:t>时间</w:t>
                  </w:r>
                </w:p>
              </w:tc>
              <w:tc>
                <w:tcPr>
                  <w:tcW w:w="31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cs="宋体"/>
                      <w:sz w:val="18"/>
                      <w:szCs w:val="18"/>
                      <w:highlight w:val="none"/>
                    </w:rPr>
                  </w:pPr>
                  <w:r>
                    <w:rPr>
                      <w:rFonts w:hint="eastAsia" w:ascii="宋体" w:hAnsi="宋体" w:cs="宋体"/>
                      <w:kern w:val="0"/>
                      <w:sz w:val="18"/>
                      <w:szCs w:val="18"/>
                      <w:highlight w:val="none"/>
                      <w:lang w:bidi="ar"/>
                    </w:rPr>
                    <w:t>申购确认</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hint="eastAsia" w:ascii="宋体" w:hAnsi="宋体" w:eastAsia="宋体" w:cs="宋体"/>
                      <w:kern w:val="0"/>
                      <w:sz w:val="18"/>
                      <w:szCs w:val="18"/>
                      <w:highlight w:val="none"/>
                      <w:lang w:eastAsia="zh-CN" w:bidi="ar"/>
                    </w:rPr>
                  </w:pPr>
                  <w:r>
                    <w:rPr>
                      <w:rFonts w:hint="eastAsia" w:ascii="宋体" w:hAnsi="宋体" w:cs="宋体"/>
                      <w:kern w:val="0"/>
                      <w:sz w:val="18"/>
                      <w:szCs w:val="18"/>
                      <w:highlight w:val="none"/>
                      <w:lang w:eastAsia="zh-CN" w:bidi="ar"/>
                    </w:rPr>
                    <w:t>申购确认日</w:t>
                  </w:r>
                </w:p>
              </w:tc>
            </w:tr>
            <w:tr>
              <w:tblPrEx>
                <w:tblCellMar>
                  <w:top w:w="0" w:type="dxa"/>
                  <w:left w:w="0" w:type="dxa"/>
                  <w:bottom w:w="0" w:type="dxa"/>
                  <w:right w:w="0" w:type="dxa"/>
                </w:tblCellMar>
              </w:tblPrEx>
              <w:trPr>
                <w:trHeight w:val="1200" w:hRule="atLeast"/>
              </w:trPr>
              <w:tc>
                <w:tcPr>
                  <w:tcW w:w="16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T日00:00-15:00（T日为工作日）</w:t>
                  </w:r>
                </w:p>
              </w:tc>
              <w:tc>
                <w:tcPr>
                  <w:tcW w:w="31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投资者提交的申购申请，申购金额被冻结，广州银行将在T日后的第1个工作日对投资者的申购申请的有效性进行确认，登记份额并扣划资金。</w:t>
                  </w:r>
                </w:p>
              </w:tc>
              <w:tc>
                <w:tcPr>
                  <w:tcW w:w="111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T日后第1个工作日</w:t>
                  </w:r>
                </w:p>
              </w:tc>
            </w:tr>
            <w:tr>
              <w:tblPrEx>
                <w:tblCellMar>
                  <w:top w:w="0" w:type="dxa"/>
                  <w:left w:w="0" w:type="dxa"/>
                  <w:bottom w:w="0" w:type="dxa"/>
                  <w:right w:w="0" w:type="dxa"/>
                </w:tblCellMar>
              </w:tblPrEx>
              <w:trPr>
                <w:trHeight w:val="480" w:hRule="atLeast"/>
              </w:trPr>
              <w:tc>
                <w:tcPr>
                  <w:tcW w:w="16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T日15:00-24:00（T日为工作日）</w:t>
                  </w:r>
                </w:p>
              </w:tc>
              <w:tc>
                <w:tcPr>
                  <w:tcW w:w="310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投资者提交的申购申请为预受理，申购金额被冻结，广州银行将在T日后的第1个工作日对预受理交易进行确认，第2个工作日对投资者的申购申请的有效性进行确认，登记份额并扣划资金。</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T日后第2个工作日</w:t>
                  </w:r>
                </w:p>
              </w:tc>
            </w:tr>
            <w:tr>
              <w:tblPrEx>
                <w:tblCellMar>
                  <w:top w:w="0" w:type="dxa"/>
                  <w:left w:w="0" w:type="dxa"/>
                  <w:bottom w:w="0" w:type="dxa"/>
                  <w:right w:w="0" w:type="dxa"/>
                </w:tblCellMar>
              </w:tblPrEx>
              <w:trPr>
                <w:trHeight w:val="1293" w:hRule="atLeast"/>
              </w:trPr>
              <w:tc>
                <w:tcPr>
                  <w:tcW w:w="160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T日00:00-24:00（T日为非工作日）</w:t>
                  </w:r>
                </w:p>
              </w:tc>
              <w:tc>
                <w:tcPr>
                  <w:tcW w:w="31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cs="宋体"/>
                      <w:sz w:val="18"/>
                      <w:szCs w:val="18"/>
                      <w:highlight w:val="none"/>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cs="宋体"/>
                      <w:sz w:val="18"/>
                      <w:szCs w:val="18"/>
                      <w:highlight w:val="none"/>
                    </w:rPr>
                  </w:pPr>
                </w:p>
              </w:tc>
            </w:tr>
          </w:tbl>
          <w:p>
            <w:pPr>
              <w:pStyle w:val="15"/>
              <w:numPr>
                <w:ilvl w:val="255"/>
                <w:numId w:val="0"/>
              </w:numPr>
              <w:spacing w:line="400" w:lineRule="exact"/>
              <w:jc w:val="left"/>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strike/>
                <w:kern w:val="2"/>
                <w:highlight w:val="none"/>
              </w:rPr>
            </w:pPr>
            <w:r>
              <w:rPr>
                <w:rFonts w:hint="eastAsia" w:ascii="宋体" w:hAnsi="宋体" w:eastAsia="宋体" w:cs="宋体"/>
                <w:color w:val="auto"/>
                <w:highlight w:val="none"/>
              </w:rPr>
              <w:t>申购份额</w:t>
            </w:r>
          </w:p>
        </w:tc>
        <w:tc>
          <w:tcPr>
            <w:tcW w:w="6518" w:type="dxa"/>
            <w:gridSpan w:val="3"/>
          </w:tcPr>
          <w:p>
            <w:pPr>
              <w:pStyle w:val="15"/>
              <w:numPr>
                <w:ilvl w:val="255"/>
                <w:numId w:val="0"/>
              </w:numPr>
              <w:spacing w:line="400" w:lineRule="exact"/>
              <w:jc w:val="left"/>
              <w:rPr>
                <w:rFonts w:ascii="宋体" w:hAnsi="宋体" w:eastAsia="宋体" w:cs="宋体"/>
                <w:color w:val="auto"/>
                <w:highlight w:val="none"/>
              </w:rPr>
            </w:pPr>
            <w:r>
              <w:rPr>
                <w:rFonts w:hint="eastAsia" w:ascii="宋体" w:hAnsi="宋体" w:eastAsia="宋体" w:cs="宋体"/>
                <w:color w:val="auto"/>
                <w:highlight w:val="none"/>
              </w:rPr>
              <w:t>申购份额=申购金额/申购交易确认前一自然日产品单位净值。</w:t>
            </w:r>
          </w:p>
          <w:p>
            <w:pPr>
              <w:pStyle w:val="15"/>
              <w:numPr>
                <w:ilvl w:val="255"/>
                <w:numId w:val="0"/>
              </w:numPr>
              <w:spacing w:line="400" w:lineRule="exact"/>
              <w:jc w:val="left"/>
              <w:rPr>
                <w:rFonts w:ascii="宋体" w:hAnsi="宋体" w:eastAsia="宋体" w:cs="宋体"/>
                <w:color w:val="auto"/>
                <w:highlight w:val="none"/>
              </w:rPr>
            </w:pPr>
            <w:r>
              <w:rPr>
                <w:rFonts w:hint="eastAsia" w:ascii="宋体" w:hAnsi="宋体" w:eastAsia="宋体" w:cs="宋体"/>
                <w:color w:val="auto"/>
                <w:highlight w:val="none"/>
              </w:rPr>
              <w:t>份额披露到小数点后2位，2位后舍位。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赎回</w:t>
            </w:r>
          </w:p>
        </w:tc>
        <w:tc>
          <w:tcPr>
            <w:tcW w:w="6518" w:type="dxa"/>
            <w:gridSpan w:val="3"/>
          </w:tcPr>
          <w:p>
            <w:pPr>
              <w:pStyle w:val="15"/>
              <w:spacing w:line="400" w:lineRule="exact"/>
              <w:jc w:val="both"/>
              <w:rPr>
                <w:rFonts w:ascii="宋体" w:hAnsi="宋体" w:eastAsia="宋体" w:cs="宋体"/>
                <w:b/>
                <w:bCs/>
                <w:color w:val="auto"/>
                <w:highlight w:val="none"/>
              </w:rPr>
            </w:pPr>
            <w:r>
              <w:rPr>
                <w:rFonts w:hint="eastAsia" w:ascii="宋体" w:hAnsi="宋体" w:eastAsia="宋体" w:cs="宋体"/>
                <w:b/>
                <w:bCs/>
                <w:color w:val="auto"/>
                <w:highlight w:val="none"/>
              </w:rPr>
              <w:t>本理财产品采用份额赎回的方式进行赎回。</w:t>
            </w:r>
          </w:p>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kern w:val="2"/>
                <w:highlight w:val="none"/>
              </w:rPr>
              <w:t>投资者可于开放期内向管理人提出赎回申请。不设最低赎回份额，投资者提出赎回申请时，支持全部赎回和部分赎回。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1" w:hRule="atLeast"/>
        </w:trPr>
        <w:tc>
          <w:tcPr>
            <w:tcW w:w="2004" w:type="dxa"/>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赎回确认及资金到账</w:t>
            </w:r>
          </w:p>
        </w:tc>
        <w:tc>
          <w:tcPr>
            <w:tcW w:w="6518" w:type="dxa"/>
            <w:gridSpan w:val="3"/>
          </w:tcPr>
          <w:tbl>
            <w:tblPr>
              <w:tblStyle w:val="10"/>
              <w:tblpPr w:leftFromText="180" w:rightFromText="180" w:vertAnchor="text" w:horzAnchor="page" w:tblpX="275" w:tblpY="330"/>
              <w:tblOverlap w:val="never"/>
              <w:tblW w:w="5835" w:type="dxa"/>
              <w:tblInd w:w="0" w:type="dxa"/>
              <w:tblLayout w:type="autofit"/>
              <w:tblCellMar>
                <w:top w:w="0" w:type="dxa"/>
                <w:left w:w="0" w:type="dxa"/>
                <w:bottom w:w="0" w:type="dxa"/>
                <w:right w:w="0" w:type="dxa"/>
              </w:tblCellMar>
            </w:tblPr>
            <w:tblGrid>
              <w:gridCol w:w="1470"/>
              <w:gridCol w:w="3345"/>
              <w:gridCol w:w="1020"/>
            </w:tblGrid>
            <w:tr>
              <w:tblPrEx>
                <w:tblCellMar>
                  <w:top w:w="0" w:type="dxa"/>
                  <w:left w:w="0" w:type="dxa"/>
                  <w:bottom w:w="0" w:type="dxa"/>
                  <w:right w:w="0" w:type="dxa"/>
                </w:tblCellMar>
              </w:tblPrEx>
              <w:trPr>
                <w:trHeight w:val="30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cs="宋体"/>
                      <w:sz w:val="18"/>
                      <w:szCs w:val="18"/>
                      <w:highlight w:val="none"/>
                    </w:rPr>
                  </w:pPr>
                  <w:r>
                    <w:rPr>
                      <w:rFonts w:hint="eastAsia" w:ascii="宋体" w:hAnsi="宋体" w:cs="宋体"/>
                      <w:kern w:val="0"/>
                      <w:sz w:val="18"/>
                      <w:szCs w:val="18"/>
                      <w:highlight w:val="none"/>
                      <w:lang w:bidi="ar"/>
                    </w:rPr>
                    <w:t>赎回申请时间</w:t>
                  </w:r>
                </w:p>
              </w:tc>
              <w:tc>
                <w:tcPr>
                  <w:tcW w:w="334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ascii="宋体" w:hAnsi="宋体" w:cs="宋体"/>
                      <w:sz w:val="18"/>
                      <w:szCs w:val="18"/>
                      <w:highlight w:val="none"/>
                    </w:rPr>
                  </w:pPr>
                  <w:r>
                    <w:rPr>
                      <w:rFonts w:hint="eastAsia" w:ascii="宋体" w:hAnsi="宋体" w:cs="宋体"/>
                      <w:kern w:val="0"/>
                      <w:sz w:val="18"/>
                      <w:szCs w:val="18"/>
                      <w:highlight w:val="none"/>
                      <w:lang w:bidi="ar"/>
                    </w:rPr>
                    <w:t>赎回确认</w:t>
                  </w: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center"/>
                    <w:textAlignment w:val="center"/>
                    <w:rPr>
                      <w:rFonts w:hint="eastAsia" w:ascii="宋体" w:hAnsi="宋体" w:eastAsia="宋体" w:cs="宋体"/>
                      <w:kern w:val="0"/>
                      <w:sz w:val="18"/>
                      <w:szCs w:val="18"/>
                      <w:highlight w:val="none"/>
                      <w:lang w:eastAsia="zh-CN" w:bidi="ar"/>
                    </w:rPr>
                  </w:pPr>
                  <w:r>
                    <w:rPr>
                      <w:rFonts w:hint="eastAsia" w:ascii="宋体" w:hAnsi="宋体" w:cs="宋体"/>
                      <w:kern w:val="0"/>
                      <w:sz w:val="18"/>
                      <w:szCs w:val="18"/>
                      <w:highlight w:val="none"/>
                      <w:lang w:eastAsia="zh-CN" w:bidi="ar"/>
                    </w:rPr>
                    <w:t>赎回确认日</w:t>
                  </w:r>
                </w:p>
              </w:tc>
            </w:tr>
            <w:tr>
              <w:tblPrEx>
                <w:tblCellMar>
                  <w:top w:w="0" w:type="dxa"/>
                  <w:left w:w="0" w:type="dxa"/>
                  <w:bottom w:w="0" w:type="dxa"/>
                  <w:right w:w="0" w:type="dxa"/>
                </w:tblCellMar>
              </w:tblPrEx>
              <w:trPr>
                <w:trHeight w:val="45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T日00:00-15:00（T日为工作日）</w:t>
                  </w:r>
                </w:p>
              </w:tc>
              <w:tc>
                <w:tcPr>
                  <w:tcW w:w="3345"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kern w:val="0"/>
                      <w:sz w:val="18"/>
                      <w:szCs w:val="18"/>
                      <w:highlight w:val="none"/>
                      <w:lang w:bidi="ar"/>
                    </w:rPr>
                  </w:pPr>
                  <w:r>
                    <w:rPr>
                      <w:rFonts w:hint="eastAsia" w:ascii="宋体" w:hAnsi="宋体" w:cs="宋体"/>
                      <w:kern w:val="0"/>
                      <w:sz w:val="18"/>
                      <w:szCs w:val="18"/>
                      <w:highlight w:val="none"/>
                      <w:lang w:bidi="ar"/>
                    </w:rPr>
                    <w:t>投资者此时间段提交的赎回申请，广州银行将在T日后的第1个工作日对投资者的赎回申请的有效性进行确认，赎回资金在赎回确认当日一次性划转至投资者账户。</w:t>
                  </w: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T日后第1个工作日</w:t>
                  </w:r>
                </w:p>
              </w:tc>
            </w:tr>
            <w:tr>
              <w:tblPrEx>
                <w:tblCellMar>
                  <w:top w:w="0" w:type="dxa"/>
                  <w:left w:w="0" w:type="dxa"/>
                  <w:bottom w:w="0" w:type="dxa"/>
                  <w:right w:w="0" w:type="dxa"/>
                </w:tblCellMar>
              </w:tblPrEx>
              <w:trPr>
                <w:trHeight w:val="80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T日15:00-24:00（T日为工作日）</w:t>
                  </w:r>
                </w:p>
              </w:tc>
              <w:tc>
                <w:tcPr>
                  <w:tcW w:w="3345"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kern w:val="0"/>
                      <w:sz w:val="18"/>
                      <w:szCs w:val="18"/>
                      <w:highlight w:val="none"/>
                      <w:lang w:bidi="ar"/>
                    </w:rPr>
                  </w:pPr>
                  <w:r>
                    <w:rPr>
                      <w:rFonts w:hint="eastAsia" w:ascii="宋体" w:hAnsi="宋体" w:cs="宋体"/>
                      <w:kern w:val="0"/>
                      <w:sz w:val="18"/>
                      <w:szCs w:val="18"/>
                      <w:highlight w:val="none"/>
                      <w:lang w:bidi="ar"/>
                    </w:rPr>
                    <w:t>投资者此时间段提交的赎回申请为预受理，广州银行将在T日后的第1个工作日对预受理交易进行确认，第2个工作日对投资者的赎回申请的有效性进行确认，赎回资金在赎回确认当日一次性划转至投资者账户。</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T日后第2个工作日</w:t>
                  </w:r>
                </w:p>
              </w:tc>
            </w:tr>
            <w:tr>
              <w:tblPrEx>
                <w:tblCellMar>
                  <w:top w:w="0" w:type="dxa"/>
                  <w:left w:w="0" w:type="dxa"/>
                  <w:bottom w:w="0" w:type="dxa"/>
                  <w:right w:w="0" w:type="dxa"/>
                </w:tblCellMar>
              </w:tblPrEx>
              <w:trPr>
                <w:trHeight w:val="630" w:hRule="atLeast"/>
              </w:trPr>
              <w:tc>
                <w:tcPr>
                  <w:tcW w:w="147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widowControl/>
                    <w:jc w:val="left"/>
                    <w:textAlignment w:val="center"/>
                    <w:rPr>
                      <w:rFonts w:ascii="宋体" w:hAnsi="宋体" w:cs="宋体"/>
                      <w:sz w:val="18"/>
                      <w:szCs w:val="18"/>
                      <w:highlight w:val="none"/>
                    </w:rPr>
                  </w:pPr>
                  <w:r>
                    <w:rPr>
                      <w:rFonts w:hint="eastAsia" w:ascii="宋体" w:hAnsi="宋体" w:cs="宋体"/>
                      <w:kern w:val="0"/>
                      <w:sz w:val="18"/>
                      <w:szCs w:val="18"/>
                      <w:highlight w:val="none"/>
                      <w:lang w:bidi="ar"/>
                    </w:rPr>
                    <w:t>T日00:00-24:00（T日为非工作日）</w:t>
                  </w:r>
                </w:p>
              </w:tc>
              <w:tc>
                <w:tcPr>
                  <w:tcW w:w="3345"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cs="宋体"/>
                      <w:sz w:val="18"/>
                      <w:szCs w:val="18"/>
                      <w:highlight w:val="none"/>
                    </w:rPr>
                  </w:pPr>
                </w:p>
              </w:tc>
              <w:tc>
                <w:tcPr>
                  <w:tcW w:w="10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rPr>
                      <w:rFonts w:ascii="宋体" w:hAnsi="宋体" w:cs="宋体"/>
                      <w:sz w:val="18"/>
                      <w:szCs w:val="18"/>
                      <w:highlight w:val="none"/>
                    </w:rPr>
                  </w:pPr>
                </w:p>
              </w:tc>
            </w:tr>
          </w:tbl>
          <w:p>
            <w:pPr>
              <w:pStyle w:val="15"/>
              <w:numPr>
                <w:ilvl w:val="255"/>
                <w:numId w:val="0"/>
              </w:numPr>
              <w:spacing w:line="400" w:lineRule="exact"/>
              <w:jc w:val="both"/>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kern w:val="2"/>
                <w:highlight w:val="none"/>
              </w:rPr>
            </w:pPr>
            <w:r>
              <w:rPr>
                <w:rFonts w:hint="eastAsia" w:ascii="宋体" w:hAnsi="宋体" w:eastAsia="宋体" w:cs="宋体"/>
                <w:color w:val="auto"/>
                <w:highlight w:val="none"/>
              </w:rPr>
              <w:t>赎回金额</w:t>
            </w:r>
          </w:p>
        </w:tc>
        <w:tc>
          <w:tcPr>
            <w:tcW w:w="6518" w:type="dxa"/>
            <w:gridSpan w:val="3"/>
          </w:tcPr>
          <w:p>
            <w:pPr>
              <w:spacing w:line="480" w:lineRule="exact"/>
              <w:rPr>
                <w:rFonts w:ascii="宋体" w:hAnsi="宋体" w:cs="宋体"/>
                <w:sz w:val="24"/>
                <w:szCs w:val="24"/>
                <w:highlight w:val="none"/>
              </w:rPr>
            </w:pPr>
            <w:r>
              <w:rPr>
                <w:rFonts w:hint="eastAsia" w:ascii="宋体" w:hAnsi="宋体" w:cs="宋体"/>
                <w:kern w:val="0"/>
                <w:sz w:val="24"/>
                <w:szCs w:val="24"/>
                <w:highlight w:val="none"/>
              </w:rPr>
              <w:t>赎回金额=赎回份额*赎回交易确认前一自然日产品单位净值。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04" w:type="dxa"/>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巨额赎回</w:t>
            </w:r>
          </w:p>
        </w:tc>
        <w:tc>
          <w:tcPr>
            <w:tcW w:w="6518" w:type="dxa"/>
            <w:gridSpan w:val="3"/>
          </w:tcPr>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1、投资者在单个开放日申请赎回份额超过本理财产品总份额10%时，发生巨额赎回事件，广州银行可以采取延期办理部分赎回申请或者延缓支付赎回款项的措施。</w:t>
            </w:r>
          </w:p>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2、本理财产品发生巨额赎回的，广州银行当日办理的赎回份额不得低于前一日终理财产品总份额的10%，对其余赎回申请可以暂停接受或延期办理。对该产品单个份额持有人的赎回申请，可以按照其申请占当日申请赎回总份额的比例，确定该份额持有人当日办理的赎回份额。</w:t>
            </w:r>
          </w:p>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3、投资者可以在申请赎回时选择将当日未获办理部分予以撤销。投资者未选择撤销的，广州银行可以延迟至下一个开放日办理，赎回价格为下一个开放日的价格。本理财产品连续2个以上开放日发生巨额赎回的，除采取上述措施外，对于已经接受的赎回申请，广州银行还可以延缓支付赎回款项，但延缓期限不得超过20个工作日。</w:t>
            </w:r>
          </w:p>
          <w:p>
            <w:pPr>
              <w:pStyle w:val="15"/>
              <w:numPr>
                <w:ilvl w:val="255"/>
                <w:numId w:val="0"/>
              </w:numPr>
              <w:spacing w:line="400" w:lineRule="exact"/>
              <w:jc w:val="both"/>
              <w:rPr>
                <w:rFonts w:ascii="宋体" w:hAnsi="宋体" w:eastAsia="宋体" w:cs="宋体"/>
                <w:color w:val="auto"/>
                <w:highlight w:val="none"/>
              </w:rPr>
            </w:pPr>
            <w:r>
              <w:rPr>
                <w:rFonts w:hint="eastAsia" w:ascii="宋体" w:hAnsi="宋体" w:eastAsia="宋体" w:cs="宋体"/>
                <w:color w:val="auto"/>
                <w:highlight w:val="none"/>
              </w:rPr>
              <w:t>4、本理财产品的单个投资者在单个开放日申请赎回理财产品份额超过该理财产品总份额合同约定比例的，广州银行可以暂停接受其赎回申请；已经接受的赎回申请可以延缓支付赎回款项，但延缓期限不得超过20个工作日。</w:t>
            </w:r>
          </w:p>
        </w:tc>
      </w:tr>
    </w:tbl>
    <w:p>
      <w:pPr>
        <w:pStyle w:val="2"/>
        <w:numPr>
          <w:ilvl w:val="255"/>
          <w:numId w:val="0"/>
        </w:numPr>
        <w:spacing w:line="620" w:lineRule="exact"/>
        <w:rPr>
          <w:highlight w:val="none"/>
          <w:lang w:val="en-US"/>
        </w:rPr>
      </w:pPr>
    </w:p>
    <w:p>
      <w:pPr>
        <w:pStyle w:val="15"/>
        <w:spacing w:line="620" w:lineRule="exact"/>
        <w:jc w:val="center"/>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三、投资范围和比例</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（一）投资范围</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本理财产品底层资产主要投资以下符合监管要求的固定收益类资产。包括但不限于：</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1.现金；</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2.期限在1年以内（含1年）的银行存款、债券回购、中央银行票据、同业存单；</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3.剩余期限在397天以内（含397天）的债券、在银行间市场和证券交易所市场发行的资产支持证券；</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4.银保监会、中国人民银行认可的其他具有良好流动性的货币市场工具。</w:t>
      </w:r>
    </w:p>
    <w:p>
      <w:pPr>
        <w:spacing w:line="620" w:lineRule="exact"/>
        <w:ind w:firstLine="412" w:firstLineChars="200"/>
        <w:rPr>
          <w:rFonts w:ascii="宋体" w:hAnsi="宋体" w:cs="宋体"/>
          <w:color w:val="000000"/>
          <w:spacing w:val="-17"/>
          <w:kern w:val="30"/>
          <w:sz w:val="24"/>
          <w:highlight w:val="none"/>
        </w:rPr>
      </w:pPr>
      <w:r>
        <w:rPr>
          <w:rFonts w:hint="eastAsia" w:ascii="宋体" w:hAnsi="宋体" w:cs="宋体"/>
          <w:color w:val="000000"/>
          <w:spacing w:val="-17"/>
          <w:kern w:val="30"/>
          <w:sz w:val="24"/>
          <w:highlight w:val="none"/>
        </w:rPr>
        <w:t>5.如本理财产品与相关交易对手开展买入返售交易的，可接受的合格质押品应当与上述约定的投资范围保持一致。</w:t>
      </w:r>
    </w:p>
    <w:p>
      <w:pPr>
        <w:spacing w:line="620" w:lineRule="exact"/>
        <w:ind w:firstLine="412" w:firstLineChars="200"/>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6.如监管有最新规定的，按最新规定进行调整。</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（二）投资比例</w:t>
      </w:r>
    </w:p>
    <w:tbl>
      <w:tblPr>
        <w:tblStyle w:val="10"/>
        <w:tblpPr w:leftFromText="180" w:rightFromText="180" w:vertAnchor="text" w:horzAnchor="page" w:tblpX="2963" w:tblpY="92"/>
        <w:tblOverlap w:val="never"/>
        <w:tblW w:w="613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4833"/>
        <w:gridCol w:w="13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33" w:type="dxa"/>
            <w:tcBorders>
              <w:top w:val="single" w:color="000000" w:sz="8" w:space="0"/>
              <w:left w:val="single" w:color="000000" w:sz="8" w:space="0"/>
              <w:bottom w:val="single" w:color="000000" w:sz="8" w:space="0"/>
              <w:right w:val="single" w:color="000000" w:sz="8" w:space="0"/>
            </w:tcBorders>
            <w:tcMar>
              <w:left w:w="108" w:type="dxa"/>
              <w:right w:w="108" w:type="dxa"/>
            </w:tcMar>
            <w:vAlign w:val="center"/>
          </w:tcPr>
          <w:p>
            <w:pPr>
              <w:numPr>
                <w:ilvl w:val="255"/>
                <w:numId w:val="0"/>
              </w:numPr>
              <w:spacing w:line="400" w:lineRule="exact"/>
              <w:jc w:val="center"/>
              <w:rPr>
                <w:rFonts w:ascii="宋体" w:hAnsi="宋体" w:cs="宋体"/>
                <w:color w:val="000000"/>
                <w:spacing w:val="-12"/>
                <w:kern w:val="30"/>
                <w:szCs w:val="21"/>
                <w:highlight w:val="none"/>
              </w:rPr>
            </w:pPr>
            <w:r>
              <w:rPr>
                <w:rFonts w:hint="eastAsia" w:ascii="宋体" w:hAnsi="宋体" w:cs="宋体"/>
                <w:color w:val="000000"/>
                <w:spacing w:val="-12"/>
                <w:kern w:val="30"/>
                <w:szCs w:val="21"/>
                <w:highlight w:val="none"/>
              </w:rPr>
              <w:t>资产种类</w:t>
            </w:r>
          </w:p>
        </w:tc>
        <w:tc>
          <w:tcPr>
            <w:tcW w:w="1300" w:type="dxa"/>
            <w:tcBorders>
              <w:top w:val="single" w:color="auto" w:sz="8" w:space="0"/>
              <w:left w:val="nil"/>
              <w:bottom w:val="single" w:color="auto" w:sz="8" w:space="0"/>
              <w:right w:val="single" w:color="auto" w:sz="8" w:space="0"/>
            </w:tcBorders>
            <w:tcMar>
              <w:left w:w="108" w:type="dxa"/>
              <w:right w:w="108" w:type="dxa"/>
            </w:tcMar>
            <w:vAlign w:val="center"/>
          </w:tcPr>
          <w:p>
            <w:pPr>
              <w:numPr>
                <w:ilvl w:val="255"/>
                <w:numId w:val="0"/>
              </w:numPr>
              <w:spacing w:line="400" w:lineRule="exact"/>
              <w:jc w:val="center"/>
              <w:rPr>
                <w:rFonts w:ascii="宋体" w:hAnsi="宋体" w:cs="宋体"/>
                <w:color w:val="000000"/>
                <w:spacing w:val="-12"/>
                <w:kern w:val="30"/>
                <w:szCs w:val="21"/>
                <w:highlight w:val="none"/>
              </w:rPr>
            </w:pPr>
            <w:r>
              <w:rPr>
                <w:rFonts w:hint="eastAsia" w:ascii="宋体" w:hAnsi="宋体" w:cs="宋体"/>
                <w:color w:val="000000"/>
                <w:spacing w:val="-12"/>
                <w:kern w:val="30"/>
                <w:szCs w:val="21"/>
                <w:highlight w:val="none"/>
              </w:rPr>
              <w:t>投资比例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33" w:type="dxa"/>
            <w:tcBorders>
              <w:top w:val="single" w:color="000000" w:sz="8" w:space="0"/>
              <w:left w:val="single" w:color="000000" w:sz="8" w:space="0"/>
              <w:bottom w:val="single" w:color="000000" w:sz="8" w:space="0"/>
              <w:right w:val="single" w:color="000000"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spacing w:val="-12"/>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现金、国债、中央银行票据、政策性金融债券</w:t>
            </w:r>
          </w:p>
        </w:tc>
        <w:tc>
          <w:tcPr>
            <w:tcW w:w="1300" w:type="dxa"/>
            <w:tcBorders>
              <w:top w:val="single" w:color="auto" w:sz="8" w:space="0"/>
              <w:left w:val="nil"/>
              <w:bottom w:val="single" w:color="auto" w:sz="8"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spacing w:val="-12"/>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5%-100%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33" w:type="dxa"/>
            <w:tcBorders>
              <w:top w:val="nil"/>
              <w:left w:val="single" w:color="auto" w:sz="8" w:space="0"/>
              <w:bottom w:val="single" w:color="auto" w:sz="8"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spacing w:val="-12"/>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银行存款、债券回购、同业存单</w:t>
            </w:r>
          </w:p>
        </w:tc>
        <w:tc>
          <w:tcPr>
            <w:tcW w:w="1300" w:type="dxa"/>
            <w:tcBorders>
              <w:top w:val="nil"/>
              <w:left w:val="nil"/>
              <w:bottom w:val="single" w:color="auto" w:sz="8"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spacing w:val="-12"/>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0%-100%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86" w:hRule="atLeast"/>
        </w:trPr>
        <w:tc>
          <w:tcPr>
            <w:tcW w:w="4833" w:type="dxa"/>
            <w:tcBorders>
              <w:top w:val="nil"/>
              <w:left w:val="single" w:color="auto" w:sz="8" w:space="0"/>
              <w:bottom w:val="single" w:color="auto" w:sz="4"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spacing w:val="-12"/>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债券、资产支持证券</w:t>
            </w:r>
          </w:p>
        </w:tc>
        <w:tc>
          <w:tcPr>
            <w:tcW w:w="1300" w:type="dxa"/>
            <w:tcBorders>
              <w:top w:val="nil"/>
              <w:left w:val="nil"/>
              <w:bottom w:val="single" w:color="auto" w:sz="4" w:space="0"/>
              <w:right w:val="single" w:color="auto" w:sz="8"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spacing w:val="-12"/>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0%-100%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4833"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spacing w:val="-12"/>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其他具有良好流动性的货币市场工具</w:t>
            </w:r>
          </w:p>
        </w:tc>
        <w:tc>
          <w:tcPr>
            <w:tcW w:w="130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widowControl/>
              <w:numPr>
                <w:ilvl w:val="255"/>
                <w:numId w:val="0"/>
              </w:numPr>
              <w:spacing w:line="400" w:lineRule="exact"/>
              <w:ind w:left="0" w:leftChars="0" w:firstLine="0" w:firstLineChars="0"/>
              <w:jc w:val="left"/>
              <w:outlineLvl w:val="9"/>
              <w:rPr>
                <w:rFonts w:ascii="宋体" w:hAnsi="宋体" w:cs="宋体"/>
                <w:color w:val="000000"/>
                <w:spacing w:val="-12"/>
                <w:kern w:val="30"/>
                <w:szCs w:val="21"/>
                <w:highlight w:val="none"/>
              </w:rPr>
            </w:pPr>
            <w:r>
              <w:rPr>
                <w:rFonts w:hint="eastAsia" w:ascii="宋体" w:hAnsi="宋体" w:eastAsia="宋体" w:cs="宋体"/>
                <w:b w:val="0"/>
                <w:bCs w:val="0"/>
                <w:color w:val="000000"/>
                <w:kern w:val="30"/>
                <w:sz w:val="21"/>
                <w:szCs w:val="21"/>
                <w:highlight w:val="none"/>
                <w:u w:val="none"/>
                <w:lang w:val="en-US" w:eastAsia="zh-CN"/>
              </w:rPr>
              <w:t>0%-100%</w:t>
            </w:r>
          </w:p>
        </w:tc>
      </w:tr>
    </w:tbl>
    <w:p>
      <w:pPr>
        <w:pStyle w:val="2"/>
        <w:rPr>
          <w:rFonts w:ascii="宋体" w:hAnsi="宋体" w:cs="宋体"/>
          <w:spacing w:val="-12"/>
          <w:kern w:val="30"/>
          <w:sz w:val="24"/>
          <w:highlight w:val="none"/>
        </w:rPr>
      </w:pPr>
    </w:p>
    <w:p>
      <w:pPr>
        <w:rPr>
          <w:rFonts w:ascii="宋体" w:hAnsi="宋体" w:cs="宋体"/>
          <w:spacing w:val="-12"/>
          <w:kern w:val="30"/>
          <w:sz w:val="24"/>
          <w:szCs w:val="24"/>
          <w:highlight w:val="none"/>
        </w:rPr>
      </w:pPr>
    </w:p>
    <w:p>
      <w:pPr>
        <w:pStyle w:val="2"/>
        <w:rPr>
          <w:rFonts w:ascii="宋体" w:hAnsi="宋体" w:cs="宋体"/>
          <w:spacing w:val="-12"/>
          <w:kern w:val="30"/>
          <w:sz w:val="24"/>
          <w:highlight w:val="none"/>
        </w:rPr>
      </w:pPr>
    </w:p>
    <w:p>
      <w:pPr>
        <w:rPr>
          <w:rFonts w:ascii="宋体" w:hAnsi="宋体" w:cs="宋体"/>
          <w:spacing w:val="-12"/>
          <w:kern w:val="30"/>
          <w:sz w:val="24"/>
          <w:szCs w:val="24"/>
          <w:highlight w:val="none"/>
        </w:rPr>
      </w:pPr>
    </w:p>
    <w:p>
      <w:pPr>
        <w:pStyle w:val="2"/>
        <w:rPr>
          <w:rFonts w:ascii="宋体" w:hAnsi="宋体" w:cs="宋体"/>
          <w:spacing w:val="-12"/>
          <w:kern w:val="30"/>
          <w:sz w:val="24"/>
          <w:highlight w:val="none"/>
        </w:rPr>
      </w:pPr>
    </w:p>
    <w:p>
      <w:pPr>
        <w:rPr>
          <w:highlight w:val="none"/>
        </w:rPr>
      </w:pPr>
    </w:p>
    <w:p>
      <w:pPr>
        <w:numPr>
          <w:ilvl w:val="0"/>
          <w:numId w:val="3"/>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投资限制</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1.组合限制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本理财产品不得投资于以下金融工具：</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（1）股票；</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（2）可转换债券、可交换债券；</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（3）以定期存款利率为基准利率的浮动利率债券，已进入最后一个利率调整期的除外；</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（4）信用等级在AA+以下的债券、资产支持证券；</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（5）银保监会、中国人民银行禁止投资的其他金融工具。</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前款所述债券的信用等级应当主要参照最近一个会计年度的主体信用评级，如果对发行人同时有两家以上境内评级机构评级的，应当选择使用评级较低、违约概率较大的外部评级结果，并结合广州银行内部评级进行独立判断和认定。</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2.集中度限制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本理财产品投资于相关金融工具的，应当符合以下要求：</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（1）本理财产品投资于同一机构发行的债券及其作为原始权益人的资产支持证券的比例合计不得超过该产品资产净值的10%，投资于国债、中央银行票据、政策性金融债券的除外。</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本理财产品投资于所有主体信用评级低于AAA的机构发行的金融工具的比例合计不得超过该产品资产净值的10%，其中单一机构发行的金融工具的比例合计不得超过该产品资产净值的2%；本款所称金融工具包括债券、银行存款、同业存单、相关机构作为原始权益人的资产支持证券及银保监会认可的其他金融工具。</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3）本理财产品投资于有固定期限银行存款的比例合计不得超过该产品资产净值的30%，投资于有存款期限，根据协议可提前支取的银行存款除外；本理财产品投资于主体信用评级为AAA的同一商业银行的银行存款、同业存单占该产品资产净值的比例合计不得超过20%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（4）广州银行发行的全部现金管理类产品投资于同一商业银行的存款、同业存单和债券，不得超过该商业银行最近一个季度末净资产的10%。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（5）本理财产品拟投资于主体信用评级低于AA+的商业银行的银行存款与同业存单的，应当经广州银行董事会审议批准，相关交易应当事先告知托管机构，并作为重大事项履行信息披露程序。</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非主观因素导致突破前款各项比例限制的，广州银行应当在10个交易日内调整至符合要求，银保监会规定的特殊情形除外。</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3.流动性限制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本理财产品应当确保持有足够的具有良好流动性的资产，其投资组合应当符合以下要求：</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（1）本理财产品持有不低于该产品资产净值5%的现金、国债、中央银行票据、政策性金融债券；</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（2）本理财产品持有不低于该产品资产净值10%的现金、国债、中央银行票据、政策性金融债券以及五个交易日内到期的其他金融工具；</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3）本理财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该产品资产净值的10%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（4）本理财产品的杠杆水平不得超过120%，发生巨额赎回、连续3个交易日累计赎回20%以上或者连续5个交易日累计赎回30%以上的情形除外。</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非主观因素导致突破前款第（2）（4）项比例限制的，广州银行应当在10个交易日内调整至符合要求；非主观因素导致突破前款第（3）项比例限制的，广州银行不得主动新增流动性受限资产的投资。</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5）本理财产品直接投资于流动性受限资产的市值在开放日不得超过该产品资产净值的15%。因证券市场波动、上市公司股票停牌、理财产品规模变动等因素导致本理财产品不符合本条规定比例限制的，不得主动新增投资流动性受限资产。</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6）本理财产品每日确认且需当日支付的净赎回申请不超过前一工作日该产品7个工作日可变现资产的可变现价值，银保监会另有规定的除外。在开放日前一工作日内，本理财产品7个工作日可变现资产的可变现价值应当不低于该产品资产净值的10%。</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4.投资组合剩余期限限制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本理财产品投资组合的平均剩余期限不得超过120天，平均剩余存续期限不得超过240天。</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5.投资者集中度限制</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广州银行对本理财产品的投资者集中度实施严格的监控与管理，根据投资者集中度情况对投资组合实施调整，并遵守以下要求：</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1）当前10名投资者的持有份额合计超过本理财产品总份额的50%时，投资组合的平均剩余期限不得超过60天，平均剩余存续期限不得超过120天，投资组合中现金、国债、中央银行票据、政策性金融债券以及5个交易日内到期的其他金融工具占该产品资产净值的比例合计不得低于30%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2）当前10名投资者的持有份额合计超过本理财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非因广州银行主观因素导致突破前款第（1）（2）项比例限制的，应当在10个交易日内调整至符合要求，银保监会规定的特殊情形除外。</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6.如国家有最新规定的，可按最新规定进行调整。</w:t>
      </w:r>
    </w:p>
    <w:p>
      <w:pPr>
        <w:numPr>
          <w:ilvl w:val="255"/>
          <w:numId w:val="0"/>
        </w:numPr>
        <w:spacing w:line="620" w:lineRule="exact"/>
        <w:ind w:firstLine="414" w:firstLineChars="200"/>
        <w:jc w:val="left"/>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（四）拟投资市场、资产的流动性风险评估</w:t>
      </w:r>
    </w:p>
    <w:p>
      <w:pPr>
        <w:numPr>
          <w:ilvl w:val="255"/>
          <w:numId w:val="0"/>
        </w:numPr>
        <w:spacing w:line="620" w:lineRule="exact"/>
        <w:ind w:firstLine="412" w:firstLineChars="200"/>
        <w:jc w:val="left"/>
        <w:rPr>
          <w:rFonts w:ascii="宋体" w:hAnsi="宋体" w:cs="宋体"/>
          <w:color w:val="000000"/>
          <w:spacing w:val="-17"/>
          <w:kern w:val="30"/>
          <w:sz w:val="24"/>
          <w:szCs w:val="24"/>
          <w:highlight w:val="none"/>
        </w:rPr>
      </w:pPr>
      <w:r>
        <w:rPr>
          <w:rFonts w:hint="eastAsia" w:ascii="宋体" w:hAnsi="宋体" w:cs="宋体"/>
          <w:color w:val="000000"/>
          <w:spacing w:val="-17"/>
          <w:kern w:val="30"/>
          <w:sz w:val="24"/>
          <w:szCs w:val="24"/>
          <w:highlight w:val="none"/>
        </w:rPr>
        <w:t>本理财产品拟投资市场、资产可能面临的流动性风险主要有：流通和转让受限导致流动性风险；市场成交量不足、缺乏意愿交易对手导致流动性风险等。以上流动性风险仅为列举性质，未能详尽列明所有导致流动性风险的因素。本产品可能面临的其他风险详见《风险提示书》。</w:t>
      </w:r>
    </w:p>
    <w:p>
      <w:pPr>
        <w:spacing w:line="620" w:lineRule="exact"/>
        <w:ind w:firstLine="434" w:firstLineChars="200"/>
        <w:rPr>
          <w:rFonts w:ascii="宋体" w:hAnsi="宋体" w:cs="宋体"/>
          <w:b/>
          <w:bCs/>
          <w:spacing w:val="-17"/>
          <w:kern w:val="30"/>
          <w:sz w:val="24"/>
          <w:szCs w:val="24"/>
          <w:highlight w:val="none"/>
        </w:rPr>
      </w:pPr>
      <w:r>
        <w:rPr>
          <w:rFonts w:hint="eastAsia" w:ascii="宋体" w:hAnsi="宋体" w:cs="宋体"/>
          <w:b/>
          <w:bCs/>
          <w:spacing w:val="-12"/>
          <w:kern w:val="30"/>
          <w:sz w:val="24"/>
          <w:szCs w:val="24"/>
          <w:highlight w:val="none"/>
        </w:rPr>
        <w:t>特别提示：</w:t>
      </w:r>
      <w:r>
        <w:rPr>
          <w:rFonts w:hint="eastAsia" w:ascii="宋体" w:hAnsi="宋体" w:cs="宋体"/>
          <w:b/>
          <w:bCs/>
          <w:spacing w:val="-17"/>
          <w:kern w:val="30"/>
          <w:sz w:val="24"/>
          <w:szCs w:val="24"/>
          <w:highlight w:val="none"/>
        </w:rPr>
        <w:t>本产品所投资的资产或资产组合均严格经过广州银行审批流程审批和筛选，在投资时达到可投资标准。如遇非广州银行主观因素导致投资比例暂时超出</w:t>
      </w:r>
      <w:r>
        <w:rPr>
          <w:rFonts w:hint="eastAsia" w:ascii="宋体" w:hAnsi="宋体" w:cs="宋体"/>
          <w:b/>
          <w:bCs/>
          <w:spacing w:val="-17"/>
          <w:kern w:val="30"/>
          <w:sz w:val="24"/>
          <w:szCs w:val="24"/>
          <w:highlight w:val="none"/>
          <w:lang w:eastAsia="zh-CN"/>
        </w:rPr>
        <w:t>销售文件约定</w:t>
      </w:r>
      <w:r>
        <w:rPr>
          <w:rFonts w:hint="eastAsia" w:ascii="宋体" w:hAnsi="宋体" w:cs="宋体"/>
          <w:b/>
          <w:bCs/>
          <w:spacing w:val="-17"/>
          <w:kern w:val="30"/>
          <w:sz w:val="24"/>
          <w:szCs w:val="24"/>
          <w:highlight w:val="none"/>
        </w:rPr>
        <w:t>范围，为保护投资者利益，广州银行将在流动性受限资产可出售、可转让或恢复交易的10个工作日内调整至</w:t>
      </w:r>
      <w:r>
        <w:rPr>
          <w:rFonts w:hint="eastAsia" w:ascii="宋体" w:hAnsi="宋体" w:cs="宋体"/>
          <w:b/>
          <w:bCs/>
          <w:spacing w:val="-17"/>
          <w:kern w:val="30"/>
          <w:sz w:val="24"/>
          <w:szCs w:val="24"/>
          <w:highlight w:val="none"/>
          <w:lang w:eastAsia="zh-CN"/>
        </w:rPr>
        <w:t>销售文件约定</w:t>
      </w:r>
      <w:r>
        <w:rPr>
          <w:rFonts w:hint="eastAsia" w:ascii="宋体" w:hAnsi="宋体" w:cs="宋体"/>
          <w:b/>
          <w:bCs/>
          <w:spacing w:val="-17"/>
          <w:kern w:val="30"/>
          <w:sz w:val="24"/>
          <w:szCs w:val="24"/>
          <w:highlight w:val="none"/>
        </w:rPr>
        <w:t>范围。</w:t>
      </w:r>
    </w:p>
    <w:p>
      <w:pPr>
        <w:numPr>
          <w:ilvl w:val="255"/>
          <w:numId w:val="0"/>
        </w:numPr>
        <w:spacing w:line="620" w:lineRule="exact"/>
        <w:ind w:firstLine="414" w:firstLineChars="200"/>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广州银行有权根据市场情况，根据约定在提前公告的情况下，对本理财产品的投资范围、投资资产品种、投资比例或杠杆比例以及收费项目、条件、标准和方式进行调整。广州银行将至少于调整前2个工作日通过官方网站（http://www.gzcb.com.cn）或电子渠道或相关营业网点或其他渠道发布相关信息公告。</w:t>
      </w:r>
    </w:p>
    <w:p>
      <w:pPr>
        <w:spacing w:line="620" w:lineRule="exact"/>
        <w:ind w:firstLine="414" w:firstLineChars="200"/>
        <w:rPr>
          <w:rFonts w:ascii="宋体" w:hAnsi="宋体" w:cs="宋体"/>
          <w:b/>
          <w:bCs/>
          <w:color w:val="000000"/>
          <w:spacing w:val="-17"/>
          <w:kern w:val="30"/>
          <w:sz w:val="24"/>
          <w:szCs w:val="24"/>
          <w:highlight w:val="none"/>
        </w:rPr>
      </w:pPr>
      <w:r>
        <w:rPr>
          <w:rFonts w:hint="eastAsia" w:ascii="宋体" w:hAnsi="宋体" w:cs="宋体"/>
          <w:b/>
          <w:bCs/>
          <w:color w:val="000000"/>
          <w:spacing w:val="-17"/>
          <w:kern w:val="30"/>
          <w:sz w:val="24"/>
          <w:szCs w:val="24"/>
          <w:highlight w:val="none"/>
        </w:rPr>
        <w:t>若投资者不接受上述调整，则应按照销售文件约定提前赎回本理财产品，若投资者未在规定时间内赎回本理财产品，则视为其对相关调整无异议且同意在调整后继续持有本理财产品。</w:t>
      </w:r>
    </w:p>
    <w:p>
      <w:pPr>
        <w:pStyle w:val="15"/>
        <w:spacing w:line="620" w:lineRule="exact"/>
        <w:jc w:val="center"/>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四、费用收取方式</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本理财产品收取费用包括托管费、销售手续费、固定管理费、浮动管理费（若有）、其他费用等相关费用。</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（一）托管费。收取的托管费率（年化）为</w:t>
      </w:r>
      <w:r>
        <w:rPr>
          <w:rFonts w:hint="eastAsia" w:ascii="宋体" w:hAnsi="宋体" w:cs="宋体"/>
          <w:spacing w:val="-17"/>
          <w:kern w:val="30"/>
          <w:sz w:val="24"/>
          <w:szCs w:val="24"/>
          <w:highlight w:val="none"/>
          <w:lang w:val="en-US" w:eastAsia="zh-CN"/>
        </w:rPr>
        <w:t>0.008</w:t>
      </w:r>
      <w:r>
        <w:rPr>
          <w:rFonts w:hint="eastAsia" w:ascii="宋体" w:hAnsi="宋体" w:cs="宋体"/>
          <w:spacing w:val="-17"/>
          <w:kern w:val="30"/>
          <w:sz w:val="24"/>
          <w:szCs w:val="24"/>
          <w:highlight w:val="none"/>
        </w:rPr>
        <w:t>%。每日计算公式为：前一日理财产品总净值×托管费率÷365。</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（二）固定管理费。收取的固定管理费率（年化）为</w:t>
      </w:r>
      <w:r>
        <w:rPr>
          <w:rFonts w:hint="eastAsia" w:ascii="宋体" w:hAnsi="宋体" w:cs="宋体"/>
          <w:spacing w:val="-17"/>
          <w:kern w:val="30"/>
          <w:sz w:val="24"/>
          <w:szCs w:val="24"/>
          <w:highlight w:val="none"/>
          <w:lang w:val="en-US" w:eastAsia="zh-CN"/>
        </w:rPr>
        <w:t>0.20</w:t>
      </w:r>
      <w:r>
        <w:rPr>
          <w:rFonts w:hint="eastAsia" w:ascii="宋体" w:hAnsi="宋体" w:cs="宋体"/>
          <w:spacing w:val="-17"/>
          <w:kern w:val="30"/>
          <w:sz w:val="24"/>
          <w:szCs w:val="24"/>
          <w:highlight w:val="none"/>
        </w:rPr>
        <w:t>%。每日计算公式为：前一日理财产品总净值×固定管理费率÷365。</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（三）销售手续费。收取的销售手续费率（年化）为</w:t>
      </w:r>
      <w:r>
        <w:rPr>
          <w:rFonts w:hint="eastAsia" w:ascii="宋体" w:hAnsi="宋体" w:cs="宋体"/>
          <w:spacing w:val="-17"/>
          <w:kern w:val="30"/>
          <w:sz w:val="24"/>
          <w:szCs w:val="24"/>
          <w:highlight w:val="none"/>
          <w:lang w:val="en-US" w:eastAsia="zh-CN"/>
        </w:rPr>
        <w:t>0.10%</w:t>
      </w:r>
      <w:r>
        <w:rPr>
          <w:rFonts w:hint="eastAsia" w:ascii="宋体" w:hAnsi="宋体" w:cs="宋体"/>
          <w:spacing w:val="-17"/>
          <w:kern w:val="30"/>
          <w:sz w:val="24"/>
          <w:szCs w:val="24"/>
          <w:highlight w:val="none"/>
        </w:rPr>
        <w:t>。每日计算公式为：前一日理财产品总净值×销售手续费率÷365。</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四）手续费。本理财产品认购手续费、申购手续费可按客户购买金额区间设置,赎回手续费可按客户单笔赎回金额区间或持有天数设置。认购手续费、申购手续费统一和理财认购资金、申购资金在购买时候冻结资金，统一扣划到产品归集账号；赎回金额扣减赎回手续费后兑付给客户。本理财产品认购手续费、申购手续费、赎回手续费均为0.00%。</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w:t>
      </w:r>
      <w:r>
        <w:rPr>
          <w:rFonts w:hint="eastAsia" w:ascii="宋体" w:hAnsi="宋体" w:cs="宋体"/>
          <w:spacing w:val="-17"/>
          <w:kern w:val="30"/>
          <w:sz w:val="24"/>
          <w:szCs w:val="24"/>
          <w:highlight w:val="none"/>
          <w:lang w:val="en-US" w:eastAsia="zh-CN"/>
        </w:rPr>
        <w:t>五</w:t>
      </w:r>
      <w:r>
        <w:rPr>
          <w:rFonts w:hint="eastAsia" w:ascii="宋体" w:hAnsi="宋体" w:cs="宋体"/>
          <w:spacing w:val="-17"/>
          <w:kern w:val="30"/>
          <w:sz w:val="24"/>
          <w:szCs w:val="24"/>
          <w:highlight w:val="none"/>
        </w:rPr>
        <w:t>）强制赎回费。1.当本理财产品持有的现金、国债、中央银行票据、政策性金融债券以及5个交易日内到期的其他金融工具占产品资产净值的比例合计低于5%且偏离度为负时，广州银行应当对当日单个产品投资者申请赎回份额超过本理财产品总份额1%以上的赎回申请征收1%的强制赎回费用，并将上述赎回费用全额计入该理财产品财产。2.本理财产品前10名投资者的持有份额合计超过该产品总份额50%的，当投资组合中现金、国债、中央银行票据、政策性金融债券以及5个交易日内到期的其他金融工具占该产品资产净值的比例合计低于10%且偏离度为负时，广州银行应当对投资者超过该产品总份额1%以上的赎回申请征收1%的强制赎回费用。</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w:t>
      </w:r>
      <w:r>
        <w:rPr>
          <w:rFonts w:hint="eastAsia" w:ascii="宋体" w:hAnsi="宋体" w:cs="宋体"/>
          <w:spacing w:val="-17"/>
          <w:kern w:val="30"/>
          <w:sz w:val="24"/>
          <w:szCs w:val="24"/>
          <w:highlight w:val="none"/>
          <w:lang w:val="en-US" w:eastAsia="zh-CN"/>
        </w:rPr>
        <w:t>六</w:t>
      </w:r>
      <w:r>
        <w:rPr>
          <w:rFonts w:hint="eastAsia" w:ascii="宋体" w:hAnsi="宋体" w:cs="宋体"/>
          <w:spacing w:val="-17"/>
          <w:kern w:val="30"/>
          <w:sz w:val="24"/>
          <w:szCs w:val="24"/>
          <w:highlight w:val="none"/>
        </w:rPr>
        <w:t>）其他费用。包括但不限于交易佣金、结算费用、账户管理费等相关费用。该费用从理财产品中支付。</w:t>
      </w:r>
    </w:p>
    <w:p>
      <w:pPr>
        <w:pStyle w:val="2"/>
        <w:rPr>
          <w:highlight w:val="none"/>
          <w:lang w:val="en-US"/>
        </w:rPr>
      </w:pPr>
    </w:p>
    <w:p>
      <w:pPr>
        <w:pStyle w:val="15"/>
        <w:numPr>
          <w:ilvl w:val="255"/>
          <w:numId w:val="0"/>
        </w:numPr>
        <w:spacing w:line="620" w:lineRule="exact"/>
        <w:jc w:val="center"/>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五、产品运作</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（一）认购/申购资金扣划及计息方式</w:t>
      </w:r>
    </w:p>
    <w:p>
      <w:pPr>
        <w:pStyle w:val="15"/>
        <w:numPr>
          <w:ilvl w:val="255"/>
          <w:numId w:val="0"/>
        </w:numPr>
        <w:spacing w:line="620" w:lineRule="exact"/>
        <w:ind w:firstLine="412" w:firstLineChars="200"/>
        <w:jc w:val="both"/>
        <w:rPr>
          <w:rFonts w:ascii="宋体" w:hAnsi="宋体" w:eastAsia="宋体" w:cs="宋体"/>
          <w:b/>
          <w:bCs/>
          <w:color w:val="auto"/>
          <w:spacing w:val="-17"/>
          <w:kern w:val="30"/>
          <w:highlight w:val="none"/>
        </w:rPr>
      </w:pPr>
      <w:r>
        <w:rPr>
          <w:rFonts w:ascii="宋体" w:hAnsi="宋体" w:eastAsia="宋体" w:cs="宋体"/>
          <w:color w:val="auto"/>
          <w:spacing w:val="-17"/>
          <w:kern w:val="30"/>
          <w:highlight w:val="none"/>
        </w:rPr>
        <w:t>广州银行有权提前结束认购并相应调整相关日期。募集期内投资者可进行主动认购，认购申请成功后，认购资金立即冻结，认购交易统一集中在募集期结束后的下一工作日确认并扣款。</w:t>
      </w:r>
      <w:r>
        <w:rPr>
          <w:rFonts w:hint="eastAsia" w:ascii="宋体" w:hAnsi="宋体" w:eastAsia="宋体" w:cs="宋体"/>
          <w:color w:val="auto"/>
          <w:spacing w:val="-17"/>
          <w:kern w:val="30"/>
          <w:highlight w:val="none"/>
        </w:rPr>
        <w:t>开放期内投资者可进行主动申购，申购申请成功后，申购资金立即冻结，申购交易统一集中在申购确认日确认并扣款。</w:t>
      </w:r>
      <w:r>
        <w:rPr>
          <w:rFonts w:ascii="宋体" w:hAnsi="宋体" w:eastAsia="宋体" w:cs="宋体"/>
          <w:b/>
          <w:bCs/>
          <w:color w:val="auto"/>
          <w:spacing w:val="-17"/>
          <w:kern w:val="30"/>
          <w:highlight w:val="none"/>
        </w:rPr>
        <w:t>广州银行扣划认购/申购资金，不再另行通知投资者。募集期/</w:t>
      </w:r>
      <w:r>
        <w:rPr>
          <w:rFonts w:hint="eastAsia" w:ascii="宋体" w:hAnsi="宋体" w:eastAsia="宋体" w:cs="宋体"/>
          <w:b/>
          <w:bCs/>
          <w:color w:val="auto"/>
          <w:spacing w:val="-17"/>
          <w:kern w:val="30"/>
          <w:highlight w:val="none"/>
        </w:rPr>
        <w:t>投资冷静期（如有）/</w:t>
      </w:r>
      <w:r>
        <w:rPr>
          <w:rFonts w:ascii="宋体" w:hAnsi="宋体" w:eastAsia="宋体" w:cs="宋体"/>
          <w:b/>
          <w:bCs/>
          <w:color w:val="auto"/>
          <w:spacing w:val="-17"/>
          <w:kern w:val="30"/>
          <w:highlight w:val="none"/>
        </w:rPr>
        <w:t>开放期内，投资者认购/申购资金按照活期存款利率计息，募集期/</w:t>
      </w:r>
      <w:r>
        <w:rPr>
          <w:rFonts w:hint="eastAsia" w:ascii="宋体" w:hAnsi="宋体" w:eastAsia="宋体" w:cs="宋体"/>
          <w:b/>
          <w:bCs/>
          <w:color w:val="auto"/>
          <w:spacing w:val="-17"/>
          <w:kern w:val="30"/>
          <w:highlight w:val="none"/>
        </w:rPr>
        <w:t>投资冷静期（如有）/</w:t>
      </w:r>
      <w:r>
        <w:rPr>
          <w:rFonts w:ascii="宋体" w:hAnsi="宋体" w:eastAsia="宋体" w:cs="宋体"/>
          <w:b/>
          <w:bCs/>
          <w:color w:val="auto"/>
          <w:spacing w:val="-17"/>
          <w:kern w:val="30"/>
          <w:highlight w:val="none"/>
        </w:rPr>
        <w:t>开放期内的利息不计入认购/申购本金。</w:t>
      </w:r>
    </w:p>
    <w:p>
      <w:pPr>
        <w:pStyle w:val="15"/>
        <w:numPr>
          <w:ilvl w:val="255"/>
          <w:numId w:val="0"/>
        </w:numPr>
        <w:spacing w:line="620" w:lineRule="exact"/>
        <w:ind w:firstLine="414" w:firstLineChars="200"/>
        <w:jc w:val="both"/>
        <w:rPr>
          <w:rFonts w:ascii="宋体" w:hAnsi="宋体" w:eastAsia="宋体" w:cs="宋体"/>
          <w:b/>
          <w:bCs/>
          <w:color w:val="auto"/>
          <w:spacing w:val="-17"/>
          <w:kern w:val="30"/>
          <w:highlight w:val="none"/>
        </w:rPr>
      </w:pPr>
      <w:r>
        <w:rPr>
          <w:rFonts w:ascii="宋体" w:hAnsi="宋体" w:eastAsia="宋体" w:cs="宋体"/>
          <w:b/>
          <w:bCs/>
          <w:color w:val="auto"/>
          <w:spacing w:val="-17"/>
          <w:kern w:val="30"/>
          <w:highlight w:val="none"/>
        </w:rPr>
        <w:t>为保护投资者的合法权益，广州银行可以依照相关法律法规约定，在特定市场条件下暂停或者拒绝接受一定金额以上的资金认购。</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（二）认购/申购撤单</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投资者购买本理财产品，在产品募集期/</w:t>
      </w:r>
      <w:r>
        <w:rPr>
          <w:rFonts w:hint="eastAsia" w:ascii="宋体" w:hAnsi="宋体" w:eastAsia="宋体" w:cs="宋体"/>
          <w:b/>
          <w:bCs/>
          <w:color w:val="auto"/>
          <w:spacing w:val="-17"/>
          <w:kern w:val="30"/>
          <w:highlight w:val="none"/>
        </w:rPr>
        <w:t>投资冷静期（如有）/</w:t>
      </w:r>
      <w:r>
        <w:rPr>
          <w:rFonts w:ascii="宋体" w:hAnsi="宋体" w:eastAsia="宋体" w:cs="宋体"/>
          <w:color w:val="auto"/>
          <w:spacing w:val="-17"/>
          <w:kern w:val="30"/>
          <w:highlight w:val="none"/>
        </w:rPr>
        <w:t>开放期内允许撤单。</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w:t>
      </w:r>
      <w:r>
        <w:rPr>
          <w:rFonts w:hint="eastAsia" w:ascii="宋体" w:hAnsi="宋体" w:eastAsia="宋体" w:cs="宋体"/>
          <w:color w:val="auto"/>
          <w:spacing w:val="-17"/>
          <w:kern w:val="30"/>
          <w:highlight w:val="none"/>
        </w:rPr>
        <w:t>三</w:t>
      </w:r>
      <w:r>
        <w:rPr>
          <w:rFonts w:ascii="宋体" w:hAnsi="宋体" w:eastAsia="宋体" w:cs="宋体"/>
          <w:color w:val="auto"/>
          <w:spacing w:val="-17"/>
          <w:kern w:val="30"/>
          <w:highlight w:val="none"/>
        </w:rPr>
        <w:t>）产品成立</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本理财产品最终规模以广州银行实际募集规模为准。广州银行有权提前结束募集，产品提前成立时广州银行将调整相关日期并予以披露。</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如产品募集规模低于</w:t>
      </w:r>
      <w:r>
        <w:rPr>
          <w:rFonts w:hint="eastAsia" w:ascii="宋体" w:hAnsi="宋体" w:eastAsia="宋体" w:cs="宋体"/>
          <w:color w:val="auto"/>
          <w:spacing w:val="-17"/>
          <w:kern w:val="30"/>
          <w:highlight w:val="none"/>
        </w:rPr>
        <w:t>募集下限</w:t>
      </w:r>
      <w:r>
        <w:rPr>
          <w:rFonts w:ascii="宋体" w:hAnsi="宋体" w:eastAsia="宋体" w:cs="宋体"/>
          <w:color w:val="auto"/>
          <w:spacing w:val="-17"/>
          <w:kern w:val="30"/>
          <w:highlight w:val="none"/>
        </w:rPr>
        <w:t>，广州银行可宣布本理财产品不成立并在原定成立日后2个工作日内在广州银行官方网站（http://www.gzcb.com.cn）、电子渠道、营业网点或其他渠道等发布产品不成立信息，投资者购买本金将在原定成立日后2个工作日划转至投资者账户，原定成立日至到账日之间投资者资金不计息。</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w:t>
      </w:r>
      <w:r>
        <w:rPr>
          <w:rFonts w:hint="eastAsia" w:ascii="宋体" w:hAnsi="宋体" w:eastAsia="宋体" w:cs="宋体"/>
          <w:color w:val="auto"/>
          <w:spacing w:val="-17"/>
          <w:kern w:val="30"/>
          <w:highlight w:val="none"/>
        </w:rPr>
        <w:t>四</w:t>
      </w:r>
      <w:r>
        <w:rPr>
          <w:rFonts w:ascii="宋体" w:hAnsi="宋体" w:eastAsia="宋体" w:cs="宋体"/>
          <w:color w:val="auto"/>
          <w:spacing w:val="-17"/>
          <w:kern w:val="30"/>
          <w:highlight w:val="none"/>
        </w:rPr>
        <w:t>）本金和收益返还</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投资者认购/申购本理财产品时的账户默认为投资本金（如有，下同）和收益（如有，下同）返还账户，本理财产品到期或提前终止后两个工作日内，广州银行将理财本金和收益划入认购账户，如遇节假日或公休日则顺延至下一工作日。</w:t>
      </w:r>
      <w:r>
        <w:rPr>
          <w:rFonts w:ascii="宋体" w:hAnsi="宋体" w:eastAsia="宋体" w:cs="宋体"/>
          <w:b/>
          <w:bCs/>
          <w:color w:val="auto"/>
          <w:spacing w:val="-17"/>
          <w:kern w:val="30"/>
          <w:highlight w:val="none"/>
        </w:rPr>
        <w:t>在到期日（或产品实际终止日）至资金到账日之间不计利息。</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（五）</w:t>
      </w:r>
      <w:r>
        <w:rPr>
          <w:rFonts w:ascii="宋体" w:hAnsi="宋体" w:eastAsia="宋体" w:cs="宋体"/>
          <w:color w:val="auto"/>
          <w:spacing w:val="-17"/>
          <w:kern w:val="30"/>
          <w:highlight w:val="none"/>
        </w:rPr>
        <w:t>产品收益测算及示例</w:t>
      </w:r>
      <w:r>
        <w:rPr>
          <w:rFonts w:hint="eastAsia" w:ascii="宋体" w:hAnsi="宋体" w:eastAsia="宋体" w:cs="宋体"/>
          <w:color w:val="auto"/>
          <w:spacing w:val="-17"/>
          <w:kern w:val="30"/>
          <w:highlight w:val="none"/>
        </w:rPr>
        <w:t>：</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1、投资者收益测算依据</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投资者实际收益=投资者赎回金额-投资者认购/申购金额+投资者分红收益（若有）</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其中，投资者赎回金额=赎回份额*交易确认前一自然日产品单位净值。（注：产品单位净值披露至小数点后6位，6位后舍位；认购/申购份额披露至小数点后2位，2位后舍位。）</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2、情景分析</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情景一：投资者认购10万元，认购时产品单位净值为1.000000元，当投资者全额赎回，赎回当期产品单位净值为1.030201时，投资者收益为：</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认购份额=100000/1.000000=100000.00份</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投资者赎回金额=100000*1.030201=103020.10元</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投资者实际收益=103020.10-100000=3020.10元</w:t>
      </w:r>
    </w:p>
    <w:p>
      <w:pPr>
        <w:numPr>
          <w:ilvl w:val="255"/>
          <w:numId w:val="0"/>
        </w:num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情景二：投资者申购10万元，申购时当期产品单位净值为1.011201元，当投资者全额赎回，赎回当期产品单位净值为1.042201时，投资者收益为：</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申购份额=100000/1.011201=98892.30份</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投资者赎回金额=98892.30*1.042201=103065.65元</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投资者实际收益=103065.65-100000=3065.65元</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情景三：最不利情况，扣除托管费、销售手续费等相关费用后，投资发生亏损。投资者申购10万元，申购时产品单位净值为1.011201元，当投资者全额赎回，赎回当期产品单位净值为1.010201时，投资者收益为：</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申购份额=100000/1.011201=98892.30份</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投资者赎回金额=98892.30*1.010201=99901.10元</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投资者实际收益=99901.10-100000=-98.90元</w:t>
      </w:r>
    </w:p>
    <w:p>
      <w:pPr>
        <w:spacing w:line="620" w:lineRule="exact"/>
        <w:ind w:firstLine="414" w:firstLineChars="200"/>
        <w:rPr>
          <w:rFonts w:ascii="宋体" w:hAnsi="宋体" w:cs="宋体"/>
          <w:spacing w:val="-17"/>
          <w:kern w:val="30"/>
          <w:sz w:val="24"/>
          <w:szCs w:val="24"/>
          <w:highlight w:val="none"/>
        </w:rPr>
      </w:pPr>
      <w:r>
        <w:rPr>
          <w:rFonts w:hint="eastAsia" w:ascii="宋体" w:hAnsi="宋体" w:cs="宋体"/>
          <w:b/>
          <w:bCs/>
          <w:spacing w:val="-17"/>
          <w:kern w:val="30"/>
          <w:sz w:val="24"/>
          <w:szCs w:val="24"/>
          <w:highlight w:val="none"/>
        </w:rPr>
        <w:t>上述情况与举例仅为向投资者介绍收益计算方法之用，并不代表以上的所有情形或某一情形一定会发生，或广州银行认为发生的可能性很大。在任何情况下，投资者所能获得的最终收益以广州银行的实际支付为准。</w:t>
      </w:r>
    </w:p>
    <w:p>
      <w:pPr>
        <w:spacing w:line="620" w:lineRule="exact"/>
        <w:ind w:firstLine="412" w:firstLineChars="2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（六）提前终止</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1.提前终止情况</w:t>
      </w:r>
    </w:p>
    <w:p>
      <w:pPr>
        <w:pStyle w:val="15"/>
        <w:numPr>
          <w:ilvl w:val="255"/>
          <w:numId w:val="0"/>
        </w:numPr>
        <w:spacing w:line="620" w:lineRule="exact"/>
        <w:ind w:firstLine="414" w:firstLineChars="200"/>
        <w:jc w:val="both"/>
        <w:rPr>
          <w:rFonts w:ascii="宋体" w:hAnsi="宋体" w:eastAsia="宋体" w:cs="宋体"/>
          <w:color w:val="auto"/>
          <w:spacing w:val="-17"/>
          <w:kern w:val="30"/>
          <w:highlight w:val="none"/>
        </w:rPr>
      </w:pPr>
      <w:r>
        <w:rPr>
          <w:rFonts w:hint="eastAsia" w:ascii="宋体" w:hAnsi="宋体" w:eastAsia="宋体" w:cs="宋体"/>
          <w:b/>
          <w:bCs/>
          <w:color w:val="auto"/>
          <w:spacing w:val="-17"/>
          <w:kern w:val="30"/>
          <w:highlight w:val="none"/>
        </w:rPr>
        <w:t>为保障投资者利益，广州银行可根据市场变化情况提前终止本理财产品。投资者不得提前终止本理财产品。</w:t>
      </w:r>
      <w:r>
        <w:rPr>
          <w:rFonts w:hint="eastAsia" w:ascii="宋体" w:hAnsi="宋体" w:eastAsia="宋体" w:cs="宋体"/>
          <w:color w:val="auto"/>
          <w:spacing w:val="-17"/>
          <w:kern w:val="30"/>
          <w:highlight w:val="none"/>
        </w:rPr>
        <w:t>产品成立后，如出现但不限于如下情形，广州银行有权在产品到期前提前终止本理财产品，且产品的本金及收益（如有）将以资产组合提前到期时实际出让或处分情况来计算：（1）产品存续规模低于1000万元人民币；（2）如遇国家金融政策出现重大调整或宏观经济形势发生重大变化并影响到产品的正常运作时；（3）因产品投向的金融资产市场利率大幅下滑，或出现金融资产项下借款企业提前还款等情况时；（4）广州银行有合理理由认为将影响产品正常运作的其他情形；（5）法律法规和中国银行保险监督管理委员会规定的其他情况。</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2.提前终止收益分配</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如本理财产品提前终止，将于提前终止日的前3个工作日，在广州银行官方网站（http://www.gzcb.com.cn）、电子渠道、营业网点或其他渠道等发布相关信息公告。广州银行在提前终止日后3个工作日内将投资者理财本金和收益（如有）划转至投资者账户。</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在资产可全部及时变现的情况下，广州银行将扣除应由产品承担的费用和税费后向投资者返还投资者应得资金，投资者应得资金计算公式如下：投资者应得资金=投资者持有产品份额×产品提前到期日前一日单位净值-费用和税费（如有）</w:t>
      </w:r>
    </w:p>
    <w:p>
      <w:pPr>
        <w:pStyle w:val="15"/>
        <w:numPr>
          <w:ilvl w:val="255"/>
          <w:numId w:val="0"/>
        </w:numPr>
        <w:spacing w:line="620" w:lineRule="exact"/>
        <w:ind w:firstLine="412" w:firstLineChars="200"/>
        <w:jc w:val="both"/>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如产品所投资的资产不能全部变现，则广州银行将现金类资产扣除应由产品承担的费用、税费（如有）后向投资者分配。对于未变现资产部分，广州银行以投资者利益最大化的原则，寻求未变现资产变现方式，在资产变现后10个工作日内，扣除应由产品承担的费用、税费后向投资者分配。</w:t>
      </w:r>
    </w:p>
    <w:p>
      <w:pPr>
        <w:pStyle w:val="15"/>
        <w:numPr>
          <w:ilvl w:val="255"/>
          <w:numId w:val="0"/>
        </w:numPr>
        <w:spacing w:line="620" w:lineRule="exact"/>
        <w:jc w:val="center"/>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六、理财产品估值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（一）估值日</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本理财产品每个工作日公布上一工作日净值，如为节假日后首个工作日，公布上一工作日及各非工作日单位净值。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（二）估值对象</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本理财产品所拥有的资产。</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（三）估值方法</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1、本理财产品估值采用“摊余成本法”，即计价对象以买入成本列示，按照票面利率或协议利率并考虑其买入时的溢价与折价，在剩余存续期内按照实际利率法摊销，每日计提损益。本理财产品不采用市场利率和上市交易的债券和票据的市价计算理财产品资产净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2、为了避免采用“摊余成本法”计算的现金管理类产品资产净值与按市场利率和交易市价计算的资产净值发生重大偏离，从而对理财产品份额持有人的利益产生稀释和不公平的结果，理财产品管理人于每一估值日，采用估值技术，对理财产品持有的估值对象进行重新评估，即“影子定价”。当影子定价确定的现金管理类产品资产净值与摊余成本法计算的资产净值正偏离度绝对值达到0.5%时，理财产品管理人应当暂停接受认购并在5个交易日内将正偏离度绝对值调整到0.5%以内。当负偏离度绝对值达到0.25%时，理财产品管理人应当在5个交易日内将负偏离度绝对值调整到0.25%以内。当负偏离度绝对值达到0.5%时，理财产品管理人应当采取相应措施，将负偏离度绝对值控制在0.5%以内。当负偏离度绝对值连续两个交易日超过0.5%时，理财产品管理人应当采用公允价值估值方法对持有投资组合的账面价值进行调整，或者采取暂停接受所有赎回申请并终止产品合同进行财产清算等措施。</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3、如有充足理由表明按上述方法进行估值不能客观反映其公允价值的，理财产品管理人可根据具体情况与理财产品托管人商定后，按最能反映公允价值的价格估值。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4、相关法律法规以及监管部门有强制规定的，从其规定。如有新增事项，按国家最新规定估值。如理财产品管理人或理财产品托管人发现理财产品估值违反理财产品合同订明的估值方法、程序及相关法律法规的规定或者未能充分维护理财产品份额持有人利益时，应立即通知对方，共同查明原因，双方协商解决。</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5、理财产品管理人按以上估值方法进行估值时，所造成的误差不作为理财计划单位资产收益率错误处理。</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6、扣除项：应由理财计划承担的产品管理费用、其他费用（如有）和税款（如有）等。</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7、理财产品管理人可委托估值机构提供估值服务，并以其的估值为准。</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（四）估值错误的处理</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和托管人将采取必要、适当合理的措施确保产品资产估值的准确性、及时性。当产品单位净值出现错误时，</w:t>
      </w: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应当立即予以纠正，并采取合理的措施防止损失进一步扩大。由于本理财产品估值所用的价格来源中出现错误，或由于其它不可抗力原因，</w:t>
      </w: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和托管人虽然已经采取必要、适当、合理的措施进行检查，但是未能发现该错误的，由此造成的产品资产估值错误，</w:t>
      </w: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和</w:t>
      </w:r>
      <w:r>
        <w:rPr>
          <w:rFonts w:hint="eastAsia" w:ascii="宋体" w:hAnsi="宋体" w:eastAsia="宋体" w:cs="宋体"/>
          <w:color w:val="auto"/>
          <w:spacing w:val="-17"/>
          <w:kern w:val="30"/>
          <w:highlight w:val="none"/>
        </w:rPr>
        <w:t>托管人</w:t>
      </w:r>
      <w:r>
        <w:rPr>
          <w:rFonts w:hint="eastAsia" w:ascii="宋体" w:hAnsi="宋体" w:eastAsia="宋体" w:cs="宋体"/>
          <w:color w:val="auto"/>
          <w:spacing w:val="-17"/>
          <w:kern w:val="30"/>
          <w:highlight w:val="none"/>
        </w:rPr>
        <w:t>可以免除赔偿责任。但</w:t>
      </w:r>
      <w:r>
        <w:rPr>
          <w:rFonts w:hint="eastAsia" w:ascii="宋体" w:hAnsi="宋体" w:eastAsia="宋体" w:cs="宋体"/>
          <w:color w:val="auto"/>
          <w:spacing w:val="-17"/>
          <w:kern w:val="30"/>
          <w:highlight w:val="none"/>
          <w:lang w:eastAsia="zh-CN"/>
        </w:rPr>
        <w:t>理财产品管理人</w:t>
      </w:r>
      <w:r>
        <w:rPr>
          <w:rFonts w:hint="eastAsia" w:ascii="宋体" w:hAnsi="宋体" w:eastAsia="宋体" w:cs="宋体"/>
          <w:color w:val="auto"/>
          <w:spacing w:val="-17"/>
          <w:kern w:val="30"/>
          <w:highlight w:val="none"/>
        </w:rPr>
        <w:t>和托管人应当积极采取必要的措施消除由此造成的影响。</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（五）暂停估值</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1、本理财产品投资所涉及的交易市场遇法定节假日或因其他原因暂停营业时暂停估值，该种情况本理财产品估值日期顺延到下一交易日。</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2、因不可抗力或其他情形致使本理财产品管理人、托管人无法准确评估资产价值时。</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3、广州银行应当按照相关规定开展理财产品估值，加强极端市场条件下的估值管理。开放式理财产品在前一估值日内，产品资产净值50%以上的资产不具备活跃交易市场或者在活跃市场中无报价，且不能采用估值技术可靠计量公允价值的，广州银行应当暂停该产品估值，并采取延缓支付赎回款项或暂停接受理财产品认购、赎回申请等措施。</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hint="eastAsia" w:ascii="宋体" w:hAnsi="宋体" w:eastAsia="宋体" w:cs="宋体"/>
          <w:color w:val="auto"/>
          <w:spacing w:val="-17"/>
          <w:kern w:val="30"/>
          <w:highlight w:val="none"/>
        </w:rPr>
        <w:t>4、广州银行、托管人有合理理由认为将影响本理财产品估值的其他情形发生。</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p>
    <w:p>
      <w:pPr>
        <w:spacing w:line="620" w:lineRule="exact"/>
        <w:ind w:firstLine="207" w:firstLineChars="100"/>
        <w:jc w:val="center"/>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七、信息披露</w:t>
      </w:r>
    </w:p>
    <w:p>
      <w:pPr>
        <w:spacing w:line="620" w:lineRule="exact"/>
        <w:ind w:firstLine="206" w:firstLineChars="100"/>
        <w:rPr>
          <w:rFonts w:ascii="宋体" w:hAnsi="宋体" w:cs="宋体"/>
          <w:spacing w:val="-17"/>
          <w:kern w:val="30"/>
          <w:sz w:val="24"/>
          <w:szCs w:val="24"/>
          <w:highlight w:val="none"/>
        </w:rPr>
      </w:pPr>
      <w:r>
        <w:rPr>
          <w:rFonts w:hint="eastAsia" w:ascii="宋体" w:hAnsi="宋体" w:cs="宋体"/>
          <w:spacing w:val="-17"/>
          <w:kern w:val="30"/>
          <w:sz w:val="24"/>
          <w:szCs w:val="24"/>
          <w:highlight w:val="none"/>
        </w:rPr>
        <w:t xml:space="preserve">    </w:t>
      </w:r>
      <w:r>
        <w:rPr>
          <w:rFonts w:hint="eastAsia" w:ascii="宋体" w:hAnsi="宋体" w:cs="宋体"/>
          <w:spacing w:val="-17"/>
          <w:kern w:val="30"/>
          <w:sz w:val="24"/>
          <w:szCs w:val="24"/>
          <w:highlight w:val="none"/>
          <w:lang w:bidi="ar"/>
        </w:rPr>
        <w:t>本理财产品的信息披露渠道为</w:t>
      </w:r>
      <w:r>
        <w:rPr>
          <w:rFonts w:hint="eastAsia" w:ascii="宋体" w:hAnsi="宋体" w:cs="宋体"/>
          <w:spacing w:val="-17"/>
          <w:kern w:val="30"/>
          <w:sz w:val="24"/>
          <w:szCs w:val="24"/>
          <w:highlight w:val="none"/>
        </w:rPr>
        <w:t>广州银行官方网站（http://www.gzcb.com.cn）或电子渠道或相关营业网点或其他渠道等，广州银行将在上述渠道发布产品的相关公告，</w:t>
      </w:r>
      <w:r>
        <w:rPr>
          <w:rFonts w:hint="eastAsia" w:ascii="宋体" w:hAnsi="宋体" w:cs="宋体"/>
          <w:spacing w:val="-17"/>
          <w:kern w:val="30"/>
          <w:sz w:val="24"/>
          <w:szCs w:val="24"/>
          <w:highlight w:val="none"/>
          <w:lang w:bidi="ar"/>
        </w:rPr>
        <w:t>投资者可通过上述渠道查询理财产品相关信息。</w:t>
      </w:r>
      <w:r>
        <w:rPr>
          <w:rFonts w:hint="eastAsia" w:ascii="宋体" w:hAnsi="宋体" w:cs="宋体"/>
          <w:b/>
          <w:bCs/>
          <w:spacing w:val="-17"/>
          <w:kern w:val="30"/>
          <w:sz w:val="24"/>
          <w:szCs w:val="24"/>
          <w:highlight w:val="none"/>
          <w:lang w:bidi="ar"/>
        </w:rPr>
        <w:t>相关信息自公告之日即视为送达投资者并对投资者具有法律约束力</w:t>
      </w:r>
      <w:r>
        <w:rPr>
          <w:rFonts w:hint="eastAsia" w:ascii="宋体" w:hAnsi="宋体" w:cs="宋体"/>
          <w:spacing w:val="-17"/>
          <w:kern w:val="30"/>
          <w:sz w:val="24"/>
          <w:szCs w:val="24"/>
          <w:highlight w:val="none"/>
          <w:lang w:bidi="ar"/>
        </w:rPr>
        <w:t>。</w:t>
      </w:r>
      <w:r>
        <w:rPr>
          <w:rFonts w:hint="eastAsia" w:ascii="宋体" w:hAnsi="宋体" w:cs="宋体"/>
          <w:spacing w:val="-17"/>
          <w:kern w:val="30"/>
          <w:sz w:val="24"/>
          <w:szCs w:val="24"/>
          <w:highlight w:val="none"/>
        </w:rPr>
        <w:t>若投资者对本理财产品有任何异议，可拨打广州银行客服电话96699（广东）、4008396699（全国），或至营业网点咨询。具体公告分类如下：</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（一）产品不成立公告</w:t>
      </w:r>
    </w:p>
    <w:p>
      <w:pPr>
        <w:spacing w:line="620" w:lineRule="exact"/>
        <w:ind w:firstLine="412" w:firstLineChars="200"/>
        <w:outlineLvl w:val="2"/>
        <w:rPr>
          <w:rFonts w:ascii="宋体" w:hAnsi="宋体" w:cs="宋体"/>
          <w:b/>
          <w:bCs/>
          <w:spacing w:val="-17"/>
          <w:kern w:val="30"/>
          <w:sz w:val="24"/>
          <w:szCs w:val="24"/>
          <w:highlight w:val="none"/>
        </w:rPr>
      </w:pPr>
      <w:r>
        <w:rPr>
          <w:rFonts w:hint="eastAsia" w:ascii="宋体" w:hAnsi="宋体" w:cs="宋体"/>
          <w:spacing w:val="-17"/>
          <w:kern w:val="30"/>
          <w:sz w:val="24"/>
          <w:szCs w:val="24"/>
          <w:highlight w:val="none"/>
        </w:rPr>
        <w:t>产品不成立时，广州银行将在本理财产品原定成立日后2个工作日内发布产品不成立信息。广州银行将于原定成立日后2个工作日内将已认购/申购资金退回投资者账户，</w:t>
      </w:r>
      <w:r>
        <w:rPr>
          <w:rFonts w:hint="eastAsia" w:ascii="宋体" w:hAnsi="宋体" w:cs="宋体"/>
          <w:b/>
          <w:bCs/>
          <w:spacing w:val="-17"/>
          <w:kern w:val="30"/>
          <w:sz w:val="24"/>
          <w:szCs w:val="24"/>
          <w:highlight w:val="none"/>
        </w:rPr>
        <w:t>原定成立日至退回资金到账日期间不计付利息。</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（二）产品发行公告</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本理财产品成立后，广州银行将在5个工作日内发布产品发行公告。</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（三）净值公告</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本理财产品成立后，广州银行将于每个开放期结束后2个工作日内披露公募理财产品在开放期结束后交易确认日的产品单位净值、份额累计净值、认购价格和赎回价格及其他重要信息（如有），将于每季度披露私募理财产品的资产净值、份额净值和其他重要信息（如有）。</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（四）提前终止公告</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广州银行将至少于本理财产品提前终止日的前3个工作日发布相关信息公告。</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（五）到期公告</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广州银行将在本理财产品终止后5个工作日内发布产品到期公告。</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（六）重大事项公告</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本理财产品存续期间如发生广州银行认为可能对产品正常运作产生重大不利影响的事项时，包括但不限于市场发生重大变化、投资的资产质量发生重大变化、金融市场发生重大变化导致理财产品投资比例暂时超出浮动区间或其他可能对投资者权益产生重大影响的突发事件等，广州银行可视情况在发生重大影响事件后2个工作日内选择以下一种或多种方式告知投资者：广州银行官方网站（http://www.gzcb.com.cn）、电子渠道、广州银行营业网点、电话、手机短信等。</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（七）定期报告</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广州银行在每个季度结束之日起15个工作日内、上半年结束之日起60个工作日内、每年结束之日起90个工作日内，编制完成产品的季度、半年和年度报告等定期报告，产品成立不足90日或者剩余存续期不超过90日的，广州银行可以不编制产品当期的季度、半年和年度报告。</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本理财产品的半年和年度报告中，披露本理财产品前10名投资者的类别、持有份额及占总份额的比例等信息。</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本理财产品存续期间，如出现单一投资者持有产品份额达到或者超过该产品总份额20%的情形，为保障其他投资者的权益，广州银行在定期报告中披露该投资者的类别、持有份额及占比、持有份额变化情况及产品风险等信息，银保监会认定的特殊情形除外。</w:t>
      </w:r>
    </w:p>
    <w:p>
      <w:pPr>
        <w:spacing w:line="620" w:lineRule="exact"/>
        <w:ind w:firstLine="414" w:firstLineChars="200"/>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（八）临时性信息披露</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及时披露国务院银行业监督管理机构规定的其他信息或除重大事项事件以外的其他信息。如：理财产品收益分配事项；管理费、托管费等费用计提标准、计提方式和费率发生变更；对本理财产品业绩比较基准、投资范围、投资品种或《理财产品说明书》其他条款进行补充、说明和修改；其它应披露的事项。</w:t>
      </w:r>
    </w:p>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如本理财产品运用收取短期赎回费（如有）、摆动定价、暂停认购、延期办理巨额赎回申请、暂停接受赎回申请、延缓支付赎回款项、暂停理财产品估值等措施，将在运用以上措施后3个交易日内进行信息披露，并说明运用相关措施的原因、拟采取的应对安排等。</w:t>
      </w:r>
    </w:p>
    <w:p>
      <w:pPr>
        <w:pStyle w:val="15"/>
        <w:numPr>
          <w:ilvl w:val="255"/>
          <w:numId w:val="0"/>
        </w:numPr>
        <w:spacing w:line="620" w:lineRule="exact"/>
        <w:ind w:firstLine="414" w:firstLineChars="200"/>
        <w:rPr>
          <w:rFonts w:ascii="宋体" w:hAnsi="宋体" w:eastAsia="宋体" w:cs="宋体"/>
          <w:b/>
          <w:bCs/>
          <w:spacing w:val="-17"/>
          <w:kern w:val="30"/>
          <w:highlight w:val="none"/>
        </w:rPr>
      </w:pPr>
      <w:r>
        <w:rPr>
          <w:rFonts w:hint="eastAsia" w:ascii="宋体" w:hAnsi="宋体" w:eastAsia="宋体" w:cs="宋体"/>
          <w:b/>
          <w:bCs/>
          <w:color w:val="auto"/>
          <w:spacing w:val="-17"/>
          <w:kern w:val="30"/>
          <w:highlight w:val="none"/>
        </w:rPr>
        <w:t>（九）</w:t>
      </w:r>
      <w:r>
        <w:rPr>
          <w:rFonts w:hint="eastAsia" w:ascii="宋体" w:hAnsi="宋体" w:eastAsia="宋体" w:cs="宋体"/>
          <w:b/>
          <w:bCs/>
          <w:spacing w:val="-17"/>
          <w:kern w:val="30"/>
          <w:highlight w:val="none"/>
        </w:rPr>
        <w:t>其他信息披露</w:t>
      </w:r>
    </w:p>
    <w:p>
      <w:pPr>
        <w:pStyle w:val="15"/>
        <w:numPr>
          <w:ilvl w:val="255"/>
          <w:numId w:val="0"/>
        </w:numPr>
        <w:spacing w:line="620" w:lineRule="exact"/>
        <w:ind w:firstLine="412" w:firstLineChars="200"/>
        <w:rPr>
          <w:rFonts w:ascii="宋体" w:hAnsi="宋体" w:eastAsia="宋体" w:cs="宋体"/>
          <w:color w:val="auto"/>
          <w:spacing w:val="-17"/>
          <w:kern w:val="30"/>
          <w:highlight w:val="none"/>
        </w:rPr>
      </w:pPr>
      <w:r>
        <w:rPr>
          <w:rFonts w:ascii="宋体" w:hAnsi="宋体" w:eastAsia="宋体" w:cs="宋体"/>
          <w:color w:val="auto"/>
          <w:spacing w:val="-17"/>
          <w:kern w:val="30"/>
          <w:highlight w:val="none"/>
        </w:rPr>
        <w:t>在本理财产品存续期内，如遇维持本理财产品正常运营的需要且在不损害投资者利益的前提下，或因国家法律法规、监管规定发生变化，广州银行有权在法律允许的范围内单方对本</w:t>
      </w:r>
      <w:r>
        <w:rPr>
          <w:rFonts w:hint="eastAsia" w:ascii="宋体" w:hAnsi="宋体" w:eastAsia="宋体" w:cs="宋体"/>
          <w:color w:val="auto"/>
          <w:spacing w:val="-17"/>
          <w:kern w:val="30"/>
          <w:highlight w:val="none"/>
        </w:rPr>
        <w:t>《理财产品说明书》</w:t>
      </w:r>
      <w:r>
        <w:rPr>
          <w:rFonts w:ascii="宋体" w:hAnsi="宋体" w:eastAsia="宋体" w:cs="宋体"/>
          <w:color w:val="auto"/>
          <w:spacing w:val="-17"/>
          <w:kern w:val="30"/>
          <w:highlight w:val="none"/>
        </w:rPr>
        <w:t>进行修订。广州银行决定对</w:t>
      </w:r>
      <w:r>
        <w:rPr>
          <w:rFonts w:hint="eastAsia" w:ascii="宋体" w:hAnsi="宋体" w:eastAsia="宋体" w:cs="宋体"/>
          <w:color w:val="auto"/>
          <w:spacing w:val="-17"/>
          <w:kern w:val="30"/>
          <w:highlight w:val="none"/>
        </w:rPr>
        <w:t>《理财产品说明书》</w:t>
      </w:r>
      <w:r>
        <w:rPr>
          <w:rFonts w:ascii="宋体" w:hAnsi="宋体" w:eastAsia="宋体" w:cs="宋体"/>
          <w:color w:val="auto"/>
          <w:spacing w:val="-17"/>
          <w:kern w:val="30"/>
          <w:highlight w:val="none"/>
        </w:rPr>
        <w:t>进行修订的，将提前</w:t>
      </w:r>
      <w:r>
        <w:rPr>
          <w:rFonts w:hint="eastAsia" w:ascii="宋体" w:hAnsi="宋体" w:eastAsia="宋体" w:cs="宋体"/>
          <w:color w:val="auto"/>
          <w:spacing w:val="-17"/>
          <w:kern w:val="30"/>
          <w:highlight w:val="none"/>
        </w:rPr>
        <w:t>2</w:t>
      </w:r>
      <w:r>
        <w:rPr>
          <w:rFonts w:ascii="宋体" w:hAnsi="宋体" w:eastAsia="宋体" w:cs="宋体"/>
          <w:color w:val="auto"/>
          <w:spacing w:val="-17"/>
          <w:kern w:val="30"/>
          <w:highlight w:val="none"/>
        </w:rPr>
        <w:t>个工作日在官方网站（http://www.gzcb.com.cn）发布公告通知投资者。</w:t>
      </w:r>
    </w:p>
    <w:p>
      <w:pPr>
        <w:pStyle w:val="15"/>
        <w:numPr>
          <w:ilvl w:val="255"/>
          <w:numId w:val="0"/>
        </w:numPr>
        <w:spacing w:line="620" w:lineRule="exact"/>
        <w:ind w:firstLine="434" w:firstLineChars="200"/>
        <w:rPr>
          <w:rFonts w:ascii="宋体" w:hAnsi="宋体" w:eastAsia="宋体" w:cs="宋体"/>
          <w:b/>
          <w:color w:val="auto"/>
          <w:spacing w:val="-12"/>
          <w:kern w:val="2"/>
          <w:highlight w:val="none"/>
          <w:shd w:val="pct10" w:color="auto" w:fill="FFFFFF"/>
        </w:rPr>
      </w:pPr>
      <w:r>
        <w:rPr>
          <w:rFonts w:hint="eastAsia" w:ascii="宋体" w:hAnsi="宋体" w:eastAsia="宋体" w:cs="宋体"/>
          <w:b/>
          <w:color w:val="auto"/>
          <w:spacing w:val="-12"/>
          <w:kern w:val="2"/>
          <w:highlight w:val="none"/>
          <w:shd w:val="pct10" w:color="auto" w:fill="FFFFFF"/>
        </w:rPr>
        <w:br w:type="page"/>
      </w:r>
    </w:p>
    <w:p>
      <w:pPr>
        <w:widowControl/>
        <w:numPr>
          <w:ilvl w:val="255"/>
          <w:numId w:val="0"/>
        </w:numPr>
        <w:autoSpaceDN w:val="0"/>
        <w:spacing w:before="312" w:beforeLines="100" w:after="312" w:afterLines="100" w:line="620" w:lineRule="exact"/>
        <w:jc w:val="center"/>
        <w:rPr>
          <w:rFonts w:ascii="黑体" w:hAnsi="黑体" w:eastAsia="黑体" w:cs="黑体"/>
          <w:b/>
          <w:bCs/>
          <w:spacing w:val="-17"/>
          <w:sz w:val="28"/>
          <w:szCs w:val="28"/>
          <w:highlight w:val="none"/>
        </w:rPr>
      </w:pPr>
      <w:r>
        <w:rPr>
          <w:rFonts w:hint="eastAsia" w:ascii="黑体" w:hAnsi="黑体" w:eastAsia="黑体" w:cs="黑体"/>
          <w:b/>
          <w:bCs/>
          <w:spacing w:val="-17"/>
          <w:sz w:val="28"/>
          <w:szCs w:val="28"/>
          <w:highlight w:val="none"/>
        </w:rPr>
        <w:t>投资者权益须知</w:t>
      </w:r>
    </w:p>
    <w:p>
      <w:pPr>
        <w:pStyle w:val="15"/>
        <w:ind w:firstLine="414" w:firstLineChars="200"/>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一、个人投资者权益须知</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尊敬的投资者，您好：</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为方便您在广州银行办理理财业务，以及保护您的合法权益，请在投资本理财产品前认真阅读以下内容：</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（一）理财业务的办理流程</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投资者首次购买理财产品前，需在广州银行营业网点接受风险承受能力评估。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投资者可通过广州银行营业网点、网上银行、手机银行等渠道办理理财业务，具体办理的渠道及时间以广州银行发布的信息为准。</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1、营业网点购买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若本理财产品可于广州银行营业网点购买的：需提供本人有效身份证件原件、本人借记卡或活期存折；并签署《广州银行理财业务合同条款》、《风险提示书》、《理财产品说明书》、《投资者权益须知》</w:t>
      </w:r>
      <w:r>
        <w:rPr>
          <w:rFonts w:hint="eastAsia" w:ascii="宋体" w:hAnsi="宋体" w:cs="宋体"/>
          <w:spacing w:val="-12"/>
          <w:kern w:val="30"/>
          <w:highlight w:val="none"/>
        </w:rPr>
        <w:t>、</w:t>
      </w:r>
      <w:r>
        <w:rPr>
          <w:rFonts w:hint="eastAsia" w:ascii="宋体" w:hAnsi="宋体" w:cs="宋体"/>
          <w:spacing w:val="-12"/>
          <w:kern w:val="30"/>
          <w:sz w:val="24"/>
          <w:szCs w:val="24"/>
          <w:highlight w:val="none"/>
        </w:rPr>
        <w:t>《理财产品投资协议书》</w:t>
      </w:r>
      <w:r>
        <w:rPr>
          <w:rFonts w:hint="eastAsia" w:ascii="宋体" w:hAnsi="宋体" w:cs="宋体"/>
          <w:spacing w:val="-17"/>
          <w:kern w:val="30"/>
          <w:sz w:val="24"/>
          <w:szCs w:val="24"/>
          <w:highlight w:val="none"/>
        </w:rPr>
        <w:t>等销售文件以及业务申请表。</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2、网上银行、手机银行、微信银行、自助设备、智能柜台等渠道购买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若本理财产品可于网上银行、手机银行、微信银行、自助设备、智能柜台等渠道购买的，投资者可按照操作提示购买。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3、直销银行购买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若本理财产品可于直销银行购买的，投资者可按照操作提示购买。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4、其他渠道购买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若本理财产品可于广州银行的其他渠道购买的，投资者可按照操作提示购买。</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（二）风险评估流程</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1、投资者购买广州银行理财产品，需亲自填写《投资者风险评估问卷》，接受风险评估，并对评估结果签名确认。</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2、首次通过电子渠道购买理财产品，需首先至广州银行营业网点接受风险评估。</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3、若超过一年未进行风险承受能力评估，或发生可能影响自身风险承受能力情况，再次购买理财产品时，投资者应主动要求广州银行进行风险承受能力评估。</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（三）投资者风险评级</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广州银行理财投资者风险评估划分五个级别，分别为保守型、稳健型、平衡型、成长型和进取型，适合购买不同类型理财产品。</w:t>
      </w:r>
    </w:p>
    <w:tbl>
      <w:tblPr>
        <w:tblStyle w:val="1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2024"/>
        <w:gridCol w:w="4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b/>
                <w:sz w:val="24"/>
                <w:szCs w:val="24"/>
                <w:highlight w:val="none"/>
              </w:rPr>
              <w:t>分值区间</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b/>
                <w:sz w:val="24"/>
                <w:szCs w:val="24"/>
                <w:highlight w:val="none"/>
              </w:rPr>
              <w:t>投资者风险承受类型</w:t>
            </w:r>
          </w:p>
        </w:tc>
        <w:tc>
          <w:tcPr>
            <w:tcW w:w="4702" w:type="dxa"/>
            <w:vAlign w:val="center"/>
          </w:tcPr>
          <w:p>
            <w:pPr>
              <w:widowControl/>
              <w:jc w:val="center"/>
              <w:rPr>
                <w:rFonts w:ascii="宋体" w:hAnsi="宋体" w:cs="宋体"/>
                <w:spacing w:val="-17"/>
                <w:kern w:val="30"/>
                <w:sz w:val="24"/>
                <w:szCs w:val="24"/>
                <w:highlight w:val="none"/>
              </w:rPr>
            </w:pPr>
            <w:r>
              <w:rPr>
                <w:rFonts w:hint="eastAsia" w:ascii="宋体" w:hAnsi="宋体" w:cs="宋体"/>
                <w:b/>
                <w:sz w:val="24"/>
                <w:szCs w:val="24"/>
                <w:highlight w:val="none"/>
              </w:rPr>
              <w:t>适合购买产品的风险等级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96分以上</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C5进取型</w:t>
            </w:r>
          </w:p>
        </w:tc>
        <w:tc>
          <w:tcPr>
            <w:tcW w:w="4702" w:type="dxa"/>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R1低风险 、R2中低风险、R3中风险、R4中高风险、R5高风险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81-95分</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C4成长型</w:t>
            </w:r>
          </w:p>
        </w:tc>
        <w:tc>
          <w:tcPr>
            <w:tcW w:w="4702" w:type="dxa"/>
          </w:tcPr>
          <w:p>
            <w:pPr>
              <w:widowControl/>
              <w:jc w:val="center"/>
              <w:rPr>
                <w:rFonts w:ascii="宋体" w:hAnsi="宋体" w:cs="宋体"/>
                <w:sz w:val="24"/>
                <w:szCs w:val="24"/>
                <w:highlight w:val="none"/>
              </w:rPr>
            </w:pPr>
            <w:r>
              <w:rPr>
                <w:rFonts w:hint="eastAsia" w:ascii="宋体" w:hAnsi="宋体" w:cs="宋体"/>
                <w:sz w:val="24"/>
                <w:szCs w:val="24"/>
                <w:highlight w:val="none"/>
              </w:rPr>
              <w:t>R1低风险 、R2中低风险、</w:t>
            </w:r>
          </w:p>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R3中风险、R4中高风险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66-80分</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C3平衡型</w:t>
            </w:r>
          </w:p>
        </w:tc>
        <w:tc>
          <w:tcPr>
            <w:tcW w:w="4702" w:type="dxa"/>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R1低风险 、R2中低风险、R3中风险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41-65分</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C2稳健型</w:t>
            </w:r>
          </w:p>
        </w:tc>
        <w:tc>
          <w:tcPr>
            <w:tcW w:w="4702" w:type="dxa"/>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R1低风险 、R2中低风险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2"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0-40分</w:t>
            </w:r>
          </w:p>
        </w:tc>
        <w:tc>
          <w:tcPr>
            <w:tcW w:w="2024" w:type="dxa"/>
            <w:vAlign w:val="center"/>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C1保守型</w:t>
            </w:r>
          </w:p>
        </w:tc>
        <w:tc>
          <w:tcPr>
            <w:tcW w:w="4702" w:type="dxa"/>
          </w:tcPr>
          <w:p>
            <w:pPr>
              <w:widowControl/>
              <w:jc w:val="center"/>
              <w:rPr>
                <w:rFonts w:ascii="宋体" w:hAnsi="宋体" w:cs="宋体"/>
                <w:spacing w:val="-17"/>
                <w:kern w:val="30"/>
                <w:sz w:val="24"/>
                <w:szCs w:val="24"/>
                <w:highlight w:val="none"/>
              </w:rPr>
            </w:pPr>
            <w:r>
              <w:rPr>
                <w:rFonts w:hint="eastAsia" w:ascii="宋体" w:hAnsi="宋体" w:cs="宋体"/>
                <w:sz w:val="24"/>
                <w:szCs w:val="24"/>
                <w:highlight w:val="none"/>
              </w:rPr>
              <w:t>R1低风险</w:t>
            </w:r>
          </w:p>
        </w:tc>
      </w:tr>
    </w:tbl>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1、低风险理财产品：经广州银行评为低风险等级的理财产品，总体风险程度低，收益波动小，产品本金安全性高，收益不能实现的可能性很小；</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2、中低风险理财产品：经广州银行评为中低风险等级的理财产品，总体风险程度较低，收益波动较小，虽然存在一些可能对产品本金和收益安全产生不利影响的因素，但产品本金出现损失的可能性较小；</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3、中风险理财产品：经广州银行评为中风险等级的理财产品，总体风险程度适中，收益存在一定的波动，产品本金出现损失的可能性不容忽视；</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4、中高风险理财产品：经广州银行评为中高风险等级的理财产品，总体风险程度较高，收益波动较明显，产品本金出现损失的可能性高；</w:t>
      </w:r>
    </w:p>
    <w:p>
      <w:pPr>
        <w:spacing w:line="620" w:lineRule="exact"/>
        <w:ind w:firstLine="412" w:firstLineChars="200"/>
        <w:outlineLvl w:val="2"/>
        <w:rPr>
          <w:rFonts w:hint="eastAsia" w:ascii="宋体" w:hAnsi="宋体" w:cs="宋体"/>
          <w:spacing w:val="-17"/>
          <w:kern w:val="30"/>
          <w:sz w:val="24"/>
          <w:szCs w:val="24"/>
          <w:highlight w:val="none"/>
        </w:rPr>
      </w:pPr>
      <w:r>
        <w:rPr>
          <w:rFonts w:hint="eastAsia" w:ascii="宋体" w:hAnsi="宋体" w:cs="宋体"/>
          <w:spacing w:val="-17"/>
          <w:kern w:val="30"/>
          <w:sz w:val="24"/>
          <w:szCs w:val="24"/>
          <w:highlight w:val="none"/>
        </w:rPr>
        <w:t>5、高风险理财产品：经广州银行评为高风险等级的理财产品，总体风险程度高，收益波动明显，产品本金出现损失的可能性很高，产品本金出现全部损失的可能性不容忽视。</w:t>
      </w:r>
    </w:p>
    <w:p>
      <w:pPr>
        <w:spacing w:line="620" w:lineRule="exact"/>
        <w:ind w:firstLine="414" w:firstLineChars="200"/>
        <w:outlineLvl w:val="2"/>
        <w:rPr>
          <w:rFonts w:hint="eastAsia" w:ascii="宋体" w:hAnsi="宋体" w:eastAsia="宋体" w:cs="宋体"/>
          <w:b/>
          <w:bCs/>
          <w:spacing w:val="-17"/>
          <w:kern w:val="30"/>
          <w:sz w:val="24"/>
          <w:szCs w:val="24"/>
          <w:highlight w:val="none"/>
          <w:lang w:eastAsia="zh-CN"/>
        </w:rPr>
      </w:pPr>
      <w:r>
        <w:rPr>
          <w:rFonts w:hint="eastAsia" w:ascii="宋体" w:hAnsi="宋体" w:cs="宋体"/>
          <w:b/>
          <w:bCs/>
          <w:spacing w:val="-17"/>
          <w:kern w:val="30"/>
          <w:sz w:val="24"/>
          <w:szCs w:val="24"/>
          <w:highlight w:val="none"/>
        </w:rPr>
        <w:t>（四）</w:t>
      </w:r>
      <w:r>
        <w:rPr>
          <w:rFonts w:hint="eastAsia" w:ascii="宋体" w:hAnsi="宋体" w:cs="宋体"/>
          <w:b/>
          <w:bCs/>
          <w:spacing w:val="-17"/>
          <w:kern w:val="30"/>
          <w:sz w:val="24"/>
          <w:szCs w:val="24"/>
          <w:highlight w:val="none"/>
          <w:lang w:eastAsia="zh-CN"/>
        </w:rPr>
        <w:t>信息披露</w:t>
      </w:r>
    </w:p>
    <w:p>
      <w:pPr>
        <w:spacing w:line="620" w:lineRule="exact"/>
        <w:ind w:firstLine="412" w:firstLineChars="200"/>
        <w:outlineLvl w:val="2"/>
        <w:rPr>
          <w:rFonts w:hint="eastAsia" w:ascii="宋体" w:hAnsi="宋体" w:eastAsia="宋体" w:cs="宋体"/>
          <w:spacing w:val="-17"/>
          <w:kern w:val="30"/>
          <w:sz w:val="24"/>
          <w:szCs w:val="24"/>
          <w:highlight w:val="none"/>
          <w:lang w:eastAsia="zh-CN"/>
        </w:rPr>
      </w:pPr>
      <w:r>
        <w:rPr>
          <w:rFonts w:hint="eastAsia" w:ascii="宋体" w:hAnsi="宋体" w:cs="宋体"/>
          <w:spacing w:val="-17"/>
          <w:kern w:val="30"/>
          <w:sz w:val="24"/>
          <w:szCs w:val="24"/>
          <w:highlight w:val="none"/>
          <w:lang w:eastAsia="zh-CN"/>
        </w:rPr>
        <w:t>本理财产品将通过广州银行或代销机构的信息披露渠道等进行信息披露，具体信息披露</w:t>
      </w:r>
      <w:r>
        <w:rPr>
          <w:rFonts w:hint="eastAsia" w:ascii="宋体" w:hAnsi="宋体" w:cs="宋体"/>
          <w:spacing w:val="-17"/>
          <w:kern w:val="30"/>
          <w:sz w:val="24"/>
          <w:szCs w:val="24"/>
          <w:highlight w:val="none"/>
        </w:rPr>
        <w:t>方式、渠道和频率</w:t>
      </w:r>
      <w:r>
        <w:rPr>
          <w:rFonts w:hint="eastAsia" w:ascii="宋体" w:hAnsi="宋体" w:cs="宋体"/>
          <w:spacing w:val="-17"/>
          <w:kern w:val="30"/>
          <w:sz w:val="24"/>
          <w:szCs w:val="24"/>
          <w:highlight w:val="none"/>
          <w:lang w:eastAsia="zh-CN"/>
        </w:rPr>
        <w:t>，以《理财产品说明书》第七条“信息披露”中约定为准。</w:t>
      </w:r>
    </w:p>
    <w:p>
      <w:pPr>
        <w:spacing w:line="620" w:lineRule="exact"/>
        <w:ind w:firstLine="414" w:firstLineChars="200"/>
        <w:outlineLvl w:val="2"/>
        <w:rPr>
          <w:rFonts w:ascii="宋体" w:hAnsi="宋体" w:cs="宋体"/>
          <w:b/>
          <w:bCs/>
          <w:spacing w:val="-17"/>
          <w:kern w:val="30"/>
          <w:sz w:val="24"/>
          <w:szCs w:val="24"/>
          <w:highlight w:val="none"/>
        </w:rPr>
      </w:pPr>
      <w:r>
        <w:rPr>
          <w:rFonts w:hint="eastAsia" w:ascii="宋体" w:hAnsi="宋体" w:cs="宋体"/>
          <w:b/>
          <w:bCs/>
          <w:spacing w:val="-17"/>
          <w:kern w:val="30"/>
          <w:sz w:val="24"/>
          <w:szCs w:val="24"/>
          <w:highlight w:val="none"/>
        </w:rPr>
        <w:t>（</w:t>
      </w:r>
      <w:r>
        <w:rPr>
          <w:rFonts w:hint="eastAsia" w:ascii="宋体" w:hAnsi="宋体" w:cs="宋体"/>
          <w:b/>
          <w:bCs/>
          <w:spacing w:val="-17"/>
          <w:kern w:val="30"/>
          <w:sz w:val="24"/>
          <w:szCs w:val="24"/>
          <w:highlight w:val="none"/>
          <w:lang w:eastAsia="zh-CN"/>
        </w:rPr>
        <w:t>五</w:t>
      </w:r>
      <w:r>
        <w:rPr>
          <w:rFonts w:hint="eastAsia" w:ascii="宋体" w:hAnsi="宋体" w:cs="宋体"/>
          <w:b/>
          <w:bCs/>
          <w:spacing w:val="-17"/>
          <w:kern w:val="30"/>
          <w:sz w:val="24"/>
          <w:szCs w:val="24"/>
          <w:highlight w:val="none"/>
        </w:rPr>
        <w:t>）投诉受理</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若对本理财产品有任何异议，投资者可通过以下途径进行投诉：</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1、投资者可在理财产品销售网点，向销售人员进行现场投诉；</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2、投资者可致电广州银行客户服务中心进行投诉；</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客服中心电话： 96699（广东）    4008396699（全国）</w:t>
      </w:r>
    </w:p>
    <w:p>
      <w:pPr>
        <w:spacing w:line="620" w:lineRule="exact"/>
        <w:ind w:firstLine="412" w:firstLineChars="200"/>
        <w:outlineLvl w:val="2"/>
        <w:rPr>
          <w:rFonts w:ascii="宋体" w:hAnsi="宋体" w:cs="宋体"/>
          <w:spacing w:val="-17"/>
          <w:kern w:val="30"/>
          <w:sz w:val="24"/>
          <w:szCs w:val="24"/>
          <w:highlight w:val="none"/>
        </w:rPr>
      </w:pPr>
      <w:r>
        <w:rPr>
          <w:rFonts w:hint="eastAsia" w:ascii="宋体" w:hAnsi="宋体" w:cs="宋体"/>
          <w:spacing w:val="-17"/>
          <w:kern w:val="30"/>
          <w:sz w:val="24"/>
          <w:szCs w:val="24"/>
          <w:highlight w:val="none"/>
        </w:rPr>
        <w:t>广州银行将自受理投诉之日起，不超过3个工作日给予答复。欢迎您提出宝贵意见和建议！</w:t>
      </w:r>
    </w:p>
    <w:p>
      <w:pPr>
        <w:spacing w:line="400" w:lineRule="exact"/>
        <w:jc w:val="center"/>
        <w:rPr>
          <w:rFonts w:ascii="宋体" w:hAnsi="宋体" w:cs="宋体"/>
          <w:b/>
          <w:spacing w:val="-12"/>
          <w:sz w:val="24"/>
          <w:szCs w:val="24"/>
          <w:highlight w:val="none"/>
          <w:shd w:val="pct10" w:color="auto" w:fill="FFFFFF"/>
        </w:rPr>
      </w:pPr>
      <w:r>
        <w:rPr>
          <w:rFonts w:hint="eastAsia" w:ascii="宋体" w:hAnsi="宋体" w:cs="宋体"/>
          <w:b/>
          <w:spacing w:val="-12"/>
          <w:sz w:val="24"/>
          <w:szCs w:val="24"/>
          <w:highlight w:val="none"/>
          <w:shd w:val="pct10" w:color="auto" w:fill="FFFFFF"/>
        </w:rPr>
        <w:br w:type="page"/>
      </w:r>
    </w:p>
    <w:p>
      <w:pPr>
        <w:pStyle w:val="15"/>
        <w:numPr>
          <w:ilvl w:val="255"/>
          <w:numId w:val="0"/>
        </w:numPr>
        <w:spacing w:line="620" w:lineRule="exact"/>
        <w:ind w:firstLine="414" w:firstLineChars="200"/>
        <w:rPr>
          <w:rFonts w:ascii="宋体" w:hAnsi="宋体" w:eastAsia="宋体" w:cs="宋体"/>
          <w:b/>
          <w:bCs/>
          <w:color w:val="auto"/>
          <w:spacing w:val="-17"/>
          <w:kern w:val="30"/>
          <w:highlight w:val="none"/>
        </w:rPr>
      </w:pPr>
      <w:r>
        <w:rPr>
          <w:rFonts w:hint="eastAsia" w:ascii="宋体" w:hAnsi="宋体" w:eastAsia="宋体" w:cs="宋体"/>
          <w:b/>
          <w:bCs/>
          <w:color w:val="auto"/>
          <w:spacing w:val="-17"/>
          <w:kern w:val="30"/>
          <w:highlight w:val="none"/>
        </w:rPr>
        <w:t>二、机构投资者权益须知</w:t>
      </w:r>
    </w:p>
    <w:p>
      <w:pPr>
        <w:pStyle w:val="15"/>
        <w:spacing w:line="60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rPr>
        <w:t>（一）不同渠道的购买流程</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1、营业网点购买。若本理财产品可于广州银行营业网点购买的：</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需在广州银行开立结算账户，签署《财富管理类业务申请表（机构）》（如有）、《广州银行理财业务协议书（对公客户）》、《风险提示书》、《理财产品说明书》、《投资者权益须知》、《理财产品投资协议书》等销售文件、授权委托书、法人代表及代办人身份证复印件及购买理财产品的转账支票。投资者首次购买理财产品前，需在广州银行营业网点接受风险承受能力评估。签署完资料后，直接在营业网点办理即可。</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2、网上银行购买。若本理财产品可于网上银行购买的，投资者可按照操作提示购买。</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3、其他渠道购买。若本理财产品可于广州银行的其他渠道购买的，投资者可按照操作提示购买。</w:t>
      </w:r>
    </w:p>
    <w:p>
      <w:pPr>
        <w:pStyle w:val="15"/>
        <w:spacing w:line="60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rPr>
        <w:t>（二）风险评估流程</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1、投资者购买广州银行理财产品，需填写《投资者风险评估问卷》，接受风险评估，并对评估结果签名确认。</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2、通过电子渠道购买理财产品，需首先在营业网点接受风险评估。</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3、若超过一年未进行风险承受能力评估，或发生可能影响自身风险承受能力情况，再次购买理财产品时，投资者应主动要求广州银行进行风险承受能力评估。</w:t>
      </w:r>
    </w:p>
    <w:p>
      <w:pPr>
        <w:pStyle w:val="15"/>
        <w:spacing w:line="60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rPr>
        <w:t>（三）投资者风险评级</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广州银行理财投资者风险评估划分五个级别，分别为保守型、稳健型、平衡型、成长型和进取型，适合购买不同类型理财产品。</w:t>
      </w:r>
    </w:p>
    <w:tbl>
      <w:tblPr>
        <w:tblStyle w:val="10"/>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1937"/>
        <w:gridCol w:w="4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分值范围</w:t>
            </w:r>
          </w:p>
        </w:tc>
        <w:tc>
          <w:tcPr>
            <w:tcW w:w="1937"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投资者类型</w:t>
            </w:r>
          </w:p>
        </w:tc>
        <w:tc>
          <w:tcPr>
            <w:tcW w:w="4789"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适合的产品类型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1802" w:type="dxa"/>
          </w:tcPr>
          <w:p>
            <w:pPr>
              <w:pStyle w:val="15"/>
              <w:spacing w:line="620" w:lineRule="exact"/>
              <w:rPr>
                <w:rFonts w:ascii="宋体" w:hAnsi="宋体" w:eastAsia="宋体" w:cs="宋体"/>
                <w:spacing w:val="-17"/>
                <w:kern w:val="30"/>
                <w:highlight w:val="none"/>
              </w:rPr>
            </w:pPr>
            <w:r>
              <w:rPr>
                <w:rFonts w:hint="eastAsia" w:ascii="宋体" w:hAnsi="宋体" w:eastAsia="宋体" w:cs="宋体"/>
                <w:spacing w:val="-17"/>
                <w:kern w:val="30"/>
                <w:highlight w:val="none"/>
              </w:rPr>
              <w:t>-9－15分</w:t>
            </w:r>
          </w:p>
        </w:tc>
        <w:tc>
          <w:tcPr>
            <w:tcW w:w="1937" w:type="dxa"/>
          </w:tcPr>
          <w:p>
            <w:pPr>
              <w:pStyle w:val="15"/>
              <w:spacing w:line="620" w:lineRule="exact"/>
              <w:ind w:firstLine="412" w:firstLineChars="200"/>
              <w:rPr>
                <w:rFonts w:ascii="宋体" w:hAnsi="宋体" w:eastAsia="宋体" w:cs="宋体"/>
                <w:spacing w:val="-17"/>
                <w:kern w:val="30"/>
                <w:highlight w:val="none"/>
              </w:rPr>
            </w:pPr>
            <w:r>
              <w:rPr>
                <w:rFonts w:hint="eastAsia" w:ascii="宋体" w:hAnsi="宋体" w:eastAsia="宋体" w:cs="宋体"/>
                <w:spacing w:val="-17"/>
                <w:kern w:val="30"/>
                <w:highlight w:val="none"/>
              </w:rPr>
              <w:t>保守型</w:t>
            </w:r>
          </w:p>
        </w:tc>
        <w:tc>
          <w:tcPr>
            <w:tcW w:w="4789" w:type="dxa"/>
          </w:tcPr>
          <w:p>
            <w:pPr>
              <w:pStyle w:val="15"/>
              <w:spacing w:line="620" w:lineRule="exact"/>
              <w:rPr>
                <w:rFonts w:ascii="宋体" w:hAnsi="宋体" w:eastAsia="宋体" w:cs="宋体"/>
                <w:spacing w:val="-17"/>
                <w:kern w:val="30"/>
                <w:highlight w:val="none"/>
              </w:rPr>
            </w:pPr>
            <w:r>
              <w:rPr>
                <w:rFonts w:hint="eastAsia" w:ascii="宋体" w:hAnsi="宋体" w:eastAsia="宋体" w:cs="宋体"/>
                <w:spacing w:val="-17"/>
                <w:kern w:val="30"/>
                <w:highlight w:val="none"/>
              </w:rPr>
              <w:t>低风险理财产品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16－35分</w:t>
            </w:r>
          </w:p>
        </w:tc>
        <w:tc>
          <w:tcPr>
            <w:tcW w:w="1937"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稳健型</w:t>
            </w:r>
          </w:p>
        </w:tc>
        <w:tc>
          <w:tcPr>
            <w:tcW w:w="4789"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低、中低风险理财产品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36－60分</w:t>
            </w:r>
          </w:p>
        </w:tc>
        <w:tc>
          <w:tcPr>
            <w:tcW w:w="1937"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平衡型</w:t>
            </w:r>
          </w:p>
        </w:tc>
        <w:tc>
          <w:tcPr>
            <w:tcW w:w="4789"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低、中低、中风险理财产品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61－80分</w:t>
            </w:r>
          </w:p>
        </w:tc>
        <w:tc>
          <w:tcPr>
            <w:tcW w:w="1937"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成长型</w:t>
            </w:r>
          </w:p>
        </w:tc>
        <w:tc>
          <w:tcPr>
            <w:tcW w:w="4789"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低、中低、中、中高风险理财产品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02"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81－100分</w:t>
            </w:r>
          </w:p>
        </w:tc>
        <w:tc>
          <w:tcPr>
            <w:tcW w:w="1937" w:type="dxa"/>
          </w:tcPr>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进取型</w:t>
            </w:r>
          </w:p>
        </w:tc>
        <w:tc>
          <w:tcPr>
            <w:tcW w:w="4789" w:type="dxa"/>
          </w:tcPr>
          <w:p>
            <w:pPr>
              <w:pStyle w:val="15"/>
              <w:spacing w:line="600" w:lineRule="exact"/>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低、中低、中、中高及高风险理财产品</w:t>
            </w:r>
          </w:p>
        </w:tc>
      </w:tr>
    </w:tbl>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1、低风险理财产品：经本行评为低风险等级的理财产品，总体风险程度低，收益波动小，产品本金安全性高，收益不能实现的可能性很小；</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2、中低风险理财产品：经本行评为中低风险等级的理财产品，总体风险程度较低，收益波动较小，虽然存在一些可能对产品本金和收益安全产生不利影响的因素，但产品本金出现损失的可能性较小；</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3、中风险理财产品：经本行评为中风险等级的理财产品，总体风险程度适中，收益存在一定的波动，产品本金出现损失的可能性不容忽视；</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4、中高风险理财产品：经本行评为中高风险等级的理财产品，总体风险程度较高，收益波动较明显，产品本金出现损失的可能性高；</w:t>
      </w:r>
    </w:p>
    <w:p>
      <w:pPr>
        <w:pStyle w:val="15"/>
        <w:spacing w:line="600" w:lineRule="exact"/>
        <w:ind w:firstLine="432" w:firstLineChars="200"/>
        <w:rPr>
          <w:rFonts w:hint="eastAsia"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5、高风险理财产品：经本行评为高风险等级的理财产品，总体风险程度高，收益波动明显，产品本金出现损失的可能性很高，产品本金出现全部损失的可能性不容忽视。</w:t>
      </w:r>
    </w:p>
    <w:p>
      <w:pPr>
        <w:spacing w:line="620" w:lineRule="exact"/>
        <w:ind w:firstLine="414" w:firstLineChars="200"/>
        <w:outlineLvl w:val="2"/>
        <w:rPr>
          <w:rFonts w:hint="eastAsia" w:ascii="宋体" w:hAnsi="宋体" w:eastAsia="宋体" w:cs="宋体"/>
          <w:b/>
          <w:bCs/>
          <w:spacing w:val="-17"/>
          <w:kern w:val="30"/>
          <w:sz w:val="24"/>
          <w:szCs w:val="24"/>
          <w:highlight w:val="none"/>
          <w:lang w:eastAsia="zh-CN"/>
        </w:rPr>
      </w:pPr>
      <w:r>
        <w:rPr>
          <w:rFonts w:hint="eastAsia" w:ascii="宋体" w:hAnsi="宋体" w:cs="宋体"/>
          <w:b/>
          <w:bCs/>
          <w:spacing w:val="-17"/>
          <w:kern w:val="30"/>
          <w:sz w:val="24"/>
          <w:szCs w:val="24"/>
          <w:highlight w:val="none"/>
        </w:rPr>
        <w:t>（四）</w:t>
      </w:r>
      <w:r>
        <w:rPr>
          <w:rFonts w:hint="eastAsia" w:ascii="宋体" w:hAnsi="宋体" w:cs="宋体"/>
          <w:b/>
          <w:bCs/>
          <w:spacing w:val="-17"/>
          <w:kern w:val="30"/>
          <w:sz w:val="24"/>
          <w:szCs w:val="24"/>
          <w:highlight w:val="none"/>
          <w:lang w:eastAsia="zh-CN"/>
        </w:rPr>
        <w:t>信息披露</w:t>
      </w:r>
    </w:p>
    <w:p>
      <w:pPr>
        <w:spacing w:line="620" w:lineRule="exact"/>
        <w:ind w:firstLine="412" w:firstLineChars="200"/>
        <w:outlineLvl w:val="2"/>
        <w:rPr>
          <w:rFonts w:hint="eastAsia" w:ascii="宋体" w:hAnsi="宋体" w:eastAsia="宋体" w:cs="宋体"/>
          <w:spacing w:val="-17"/>
          <w:kern w:val="30"/>
          <w:sz w:val="24"/>
          <w:szCs w:val="24"/>
          <w:highlight w:val="none"/>
          <w:lang w:eastAsia="zh-CN"/>
        </w:rPr>
      </w:pPr>
      <w:r>
        <w:rPr>
          <w:rFonts w:hint="eastAsia" w:ascii="宋体" w:hAnsi="宋体" w:cs="宋体"/>
          <w:spacing w:val="-17"/>
          <w:kern w:val="30"/>
          <w:sz w:val="24"/>
          <w:szCs w:val="24"/>
          <w:highlight w:val="none"/>
          <w:lang w:eastAsia="zh-CN"/>
        </w:rPr>
        <w:t>本理财产品将通过广州银行或代销机构的信息披露渠道等进行信息披露，具体信息披露</w:t>
      </w:r>
      <w:r>
        <w:rPr>
          <w:rFonts w:hint="eastAsia" w:ascii="宋体" w:hAnsi="宋体" w:cs="宋体"/>
          <w:spacing w:val="-17"/>
          <w:kern w:val="30"/>
          <w:sz w:val="24"/>
          <w:szCs w:val="24"/>
          <w:highlight w:val="none"/>
        </w:rPr>
        <w:t>方式、渠道和频率</w:t>
      </w:r>
      <w:r>
        <w:rPr>
          <w:rFonts w:hint="eastAsia" w:ascii="宋体" w:hAnsi="宋体" w:cs="宋体"/>
          <w:spacing w:val="-17"/>
          <w:kern w:val="30"/>
          <w:sz w:val="24"/>
          <w:szCs w:val="24"/>
          <w:highlight w:val="none"/>
          <w:lang w:eastAsia="zh-CN"/>
        </w:rPr>
        <w:t>，以《理财产品说明书》第七条“信息披露”中约定为准。</w:t>
      </w:r>
    </w:p>
    <w:p>
      <w:pPr>
        <w:pStyle w:val="15"/>
        <w:spacing w:line="60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rPr>
        <w:t>（</w:t>
      </w:r>
      <w:r>
        <w:rPr>
          <w:rFonts w:hint="eastAsia" w:ascii="宋体" w:hAnsi="宋体" w:eastAsia="宋体" w:cs="宋体"/>
          <w:b/>
          <w:bCs/>
          <w:color w:val="auto"/>
          <w:spacing w:val="-12"/>
          <w:kern w:val="30"/>
          <w:highlight w:val="none"/>
          <w:lang w:eastAsia="zh-CN"/>
        </w:rPr>
        <w:t>五</w:t>
      </w:r>
      <w:r>
        <w:rPr>
          <w:rFonts w:hint="eastAsia" w:ascii="宋体" w:hAnsi="宋体" w:eastAsia="宋体" w:cs="宋体"/>
          <w:b/>
          <w:bCs/>
          <w:color w:val="auto"/>
          <w:spacing w:val="-12"/>
          <w:kern w:val="30"/>
          <w:highlight w:val="none"/>
        </w:rPr>
        <w:t>）投诉受理</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若对本理财产品有任何异议，投资者可通过以下途径进行投诉：</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1、投资者可在理财产品销售网点，向销售人员进行现场投诉；</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2、投资者可致电广州银行投资者服务中心进行投诉；</w:t>
      </w:r>
    </w:p>
    <w:p>
      <w:pPr>
        <w:pStyle w:val="15"/>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客服中心电话： 96699（广东）    4008396699（全国）</w:t>
      </w:r>
    </w:p>
    <w:p>
      <w:pPr>
        <w:pStyle w:val="15"/>
        <w:widowControl/>
        <w:spacing w:line="60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rPr>
        <w:t>广州银行将自受理投诉之日起，不超过3个工作日给予答复。欢迎您提出宝贵意见和建议！</w:t>
      </w:r>
    </w:p>
    <w:p>
      <w:pPr>
        <w:widowControl/>
        <w:spacing w:line="600" w:lineRule="exact"/>
        <w:ind w:firstLine="432" w:firstLineChars="200"/>
        <w:rPr>
          <w:rFonts w:ascii="仿宋" w:hAnsi="仿宋" w:eastAsia="仿宋" w:cs="仿宋"/>
          <w:spacing w:val="-17"/>
          <w:sz w:val="30"/>
          <w:szCs w:val="30"/>
          <w:highlight w:val="none"/>
        </w:rPr>
      </w:pPr>
      <w:r>
        <w:rPr>
          <w:rFonts w:hint="eastAsia" w:ascii="宋体" w:hAnsi="宋体" w:cs="宋体"/>
          <w:spacing w:val="-12"/>
          <w:kern w:val="30"/>
          <w:sz w:val="24"/>
          <w:szCs w:val="24"/>
          <w:highlight w:val="none"/>
        </w:rPr>
        <w:br w:type="page"/>
      </w:r>
    </w:p>
    <w:p>
      <w:pPr>
        <w:widowControl/>
        <w:jc w:val="center"/>
        <w:rPr>
          <w:rFonts w:ascii="黑体" w:hAnsi="黑体" w:eastAsia="黑体" w:cs="黑体"/>
          <w:b/>
          <w:bCs/>
          <w:spacing w:val="-17"/>
          <w:kern w:val="30"/>
          <w:sz w:val="28"/>
          <w:szCs w:val="28"/>
          <w:highlight w:val="none"/>
        </w:rPr>
      </w:pPr>
      <w:r>
        <w:rPr>
          <w:rFonts w:hint="eastAsia" w:ascii="黑体" w:hAnsi="黑体" w:eastAsia="黑体" w:cs="黑体"/>
          <w:b/>
          <w:bCs/>
          <w:spacing w:val="-17"/>
          <w:kern w:val="30"/>
          <w:sz w:val="28"/>
          <w:szCs w:val="28"/>
          <w:highlight w:val="none"/>
        </w:rPr>
        <w:t>理财产品投资协议书</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经甲方（以下简称“投资者”或“甲方”）与乙方（广州银行股份有限公司</w:t>
      </w:r>
      <w:r>
        <w:rPr>
          <w:rFonts w:hint="eastAsia" w:ascii="宋体" w:hAnsi="宋体" w:eastAsia="宋体" w:cs="宋体"/>
          <w:spacing w:val="-6"/>
          <w:szCs w:val="21"/>
          <w:highlight w:val="none"/>
        </w:rPr>
        <w:t>，</w:t>
      </w:r>
      <w:r>
        <w:rPr>
          <w:rFonts w:hint="eastAsia" w:ascii="宋体" w:hAnsi="宋体" w:eastAsia="宋体" w:cs="宋体"/>
          <w:color w:val="auto"/>
          <w:spacing w:val="-12"/>
          <w:kern w:val="30"/>
          <w:highlight w:val="none"/>
          <w:lang w:bidi="ar"/>
        </w:rPr>
        <w:t xml:space="preserve">以下简称“广州银行”或“乙方”）友好协商，本着平等自愿、诚实信用的原则，就甲方投资乙方发行的理财产品（以下简称“本理财产品”），达成协议如下： </w:t>
      </w:r>
    </w:p>
    <w:p>
      <w:pPr>
        <w:pStyle w:val="15"/>
        <w:spacing w:line="620" w:lineRule="exact"/>
        <w:ind w:firstLine="432"/>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一、甲方自愿通过乙方指定的销售机构（以下简称“销售机构”）购买乙方所发行的理财产品，接受乙方提供的投资理财服务。</w:t>
      </w:r>
    </w:p>
    <w:p>
      <w:pPr>
        <w:pStyle w:val="15"/>
        <w:numPr>
          <w:ilvl w:val="255"/>
          <w:numId w:val="0"/>
        </w:numPr>
        <w:spacing w:line="620" w:lineRule="exact"/>
        <w:ind w:firstLine="434" w:firstLineChars="200"/>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二、风险提示：理财非存款、产品有风险、投资须谨慎。</w:t>
      </w:r>
    </w:p>
    <w:p>
      <w:pPr>
        <w:pStyle w:val="15"/>
        <w:spacing w:line="620" w:lineRule="exact"/>
        <w:ind w:firstLine="434" w:firstLineChars="200"/>
        <w:rPr>
          <w:rFonts w:ascii="宋体" w:hAnsi="宋体" w:eastAsia="宋体" w:cs="宋体"/>
          <w:b/>
          <w:bCs/>
          <w:color w:val="auto"/>
          <w:spacing w:val="-12"/>
          <w:kern w:val="30"/>
          <w:highlight w:val="none"/>
        </w:rPr>
      </w:pPr>
      <w:r>
        <w:rPr>
          <w:rFonts w:hint="eastAsia" w:ascii="宋体" w:hAnsi="宋体" w:eastAsia="宋体" w:cs="宋体"/>
          <w:b/>
          <w:bCs/>
          <w:color w:val="auto"/>
          <w:spacing w:val="-12"/>
          <w:kern w:val="30"/>
          <w:highlight w:val="none"/>
          <w:lang w:bidi="ar"/>
        </w:rPr>
        <w:t>理财产品过往业绩不代表其未来表现，不等于理财产品实际收益。乙方不对任何理财产品的本金或收益做出任何承诺或保证。</w:t>
      </w:r>
      <w:r>
        <w:rPr>
          <w:rFonts w:ascii="宋体" w:hAnsi="宋体" w:eastAsia="宋体" w:cs="宋体"/>
          <w:b/>
          <w:bCs/>
          <w:color w:val="auto"/>
          <w:spacing w:val="-12"/>
          <w:kern w:val="30"/>
          <w:highlight w:val="none"/>
          <w:lang w:bidi="ar"/>
        </w:rPr>
        <w:t xml:space="preserve">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投资理财产品可能面临信用风险、市场风险、流动性风险等风险因素，具体由乙方在每款理财产品的《理财产品说明书》和《风险提示书》中揭示。甲方应仔细阅读并充分理解相关销售文件。 </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 xml:space="preserve">三、 协议的构成和效力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《理财产品投资协议书》（以下简称“本协议”）与本理财产品的《风险提示书》、《理财产品说明书》、《投资者权益须知》等共同构成完整的理财产品销售文件（以下简称“销售文件”）。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四、 双方的权利和义务</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(一)若甲方为个人投资者的，甲方确认其为具有完全民事行为能力的个人；若甲方为机构投资者的，甲方确认已经按照其章程或者其它内部管理文件的要求取得合法、有效的授权。 甲方承诺所提供的所有资料真实、完整、合法、有效，如有变更，甲方应及时到销售机构办理变更手续。若甲方未及时办理相关变更手续，由此导致的一切后果由甲方自行承担，乙方对此不承担任何责任。</w:t>
      </w:r>
    </w:p>
    <w:p>
      <w:pPr>
        <w:pStyle w:val="15"/>
        <w:widowControl/>
        <w:autoSpaceDE/>
        <w:autoSpaceDN/>
        <w:adjustRightInd/>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（二）甲方承诺其购买理财产品的资金为合法自有资金，不存在使用贷款、</w:t>
      </w:r>
      <w:r>
        <w:rPr>
          <w:rFonts w:hint="eastAsia" w:ascii="宋体" w:hAnsi="宋体" w:eastAsia="宋体" w:cs="宋体"/>
          <w:color w:val="auto"/>
          <w:spacing w:val="-12"/>
          <w:kern w:val="30"/>
          <w:highlight w:val="none"/>
          <w:lang w:bidi="ar"/>
        </w:rPr>
        <w:t>借款、</w:t>
      </w:r>
      <w:r>
        <w:rPr>
          <w:rFonts w:hint="eastAsia" w:ascii="宋体" w:hAnsi="宋体" w:eastAsia="宋体" w:cs="宋体"/>
          <w:color w:val="auto"/>
          <w:spacing w:val="-12"/>
          <w:kern w:val="30"/>
          <w:highlight w:val="none"/>
          <w:lang w:bidi="ar"/>
        </w:rPr>
        <w:t>发行债券等筹集的非自有资金投资资产管理产品的情形，甲方承诺投资理财产品使用的资金来源合法合规，并且系为合法之目的投资本理财产品，而非为洗钱等违法犯罪之目的，甲方将配合产品管理人及销售机构开展投资者身份识别及尽职调查等反洗钱活动，及时、真实、准确、完整提供身份信息及资金来源等信息。</w:t>
      </w:r>
    </w:p>
    <w:p>
      <w:pPr>
        <w:pStyle w:val="15"/>
        <w:spacing w:line="620" w:lineRule="exact"/>
        <w:ind w:firstLine="434" w:firstLineChars="200"/>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（三） 甲方已经阅读《投资者权益须知》并清楚知晓其内容，接受并签署本协议书、《理财产品说明书》和《风险提示书》，对有关条款不存在任何疑问或异议；甲方以其合法持有的资金购买乙方发行的理财产品，并能充分理解所购买产品的内容，完全知晓产品可能存在的各种风险，愿意并能够承担风险。乙方向甲方提供的市场分析和预测仅供参考，甲方据此做出的任何决策均基于甲方自身的判断，乙方不承担任何责任。</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（四）产品募集期或开放期内，如因甲方原因导致投资本金不能从其理财指定账户足额划转的，甲方对相关理财产品的购买不成功，该理财产品相关法律协议不生效，乙方不承担责任。</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(五) 甲方已清楚知悉并同意本协议项下理财产品的投资管理由乙方负责实施。</w:t>
      </w:r>
      <w:r>
        <w:rPr>
          <w:rFonts w:hint="eastAsia" w:ascii="宋体" w:hAnsi="宋体" w:eastAsia="宋体" w:cs="宋体"/>
          <w:color w:val="auto"/>
          <w:spacing w:val="-12"/>
          <w:kern w:val="30"/>
          <w:highlight w:val="none"/>
          <w:lang w:bidi="ar"/>
        </w:rPr>
        <w:t xml:space="preserve">甲方同意，如乙方成立理财子公司的，乙方将根据理财子公司的设立情况，将本协议项下理财产品的投资管理转由乙方理财子公司负责实施。 </w:t>
      </w:r>
      <w:r>
        <w:rPr>
          <w:rFonts w:hint="eastAsia" w:ascii="宋体" w:hAnsi="宋体" w:eastAsia="宋体" w:cs="宋体"/>
          <w:color w:val="auto"/>
          <w:spacing w:val="-12"/>
          <w:kern w:val="30"/>
          <w:highlight w:val="none"/>
          <w:lang w:bidi="ar"/>
        </w:rPr>
        <w:t xml:space="preserve"> </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 xml:space="preserve">(六) 乙方按照法律法规和《理财产品说明书》的约定诚实信用、谨慎勤勉地实施投资管理行为，以专业技能管理理财产品资产，依法维护理财产品全体投资者的利益。 </w:t>
      </w:r>
    </w:p>
    <w:p>
      <w:pPr>
        <w:pStyle w:val="15"/>
        <w:widowControl/>
        <w:autoSpaceDE/>
        <w:autoSpaceDN/>
        <w:adjustRightInd/>
        <w:spacing w:line="620" w:lineRule="exact"/>
        <w:ind w:firstLine="432"/>
        <w:rPr>
          <w:rFonts w:ascii="宋体" w:hAnsi="宋体" w:eastAsia="宋体" w:cs="宋体"/>
          <w:b/>
          <w:bCs/>
          <w:color w:val="auto"/>
          <w:spacing w:val="-12"/>
          <w:kern w:val="30"/>
          <w:highlight w:val="none"/>
        </w:rPr>
      </w:pPr>
      <w:r>
        <w:rPr>
          <w:rFonts w:hint="eastAsia" w:ascii="宋体" w:hAnsi="宋体" w:eastAsia="宋体" w:cs="宋体"/>
          <w:color w:val="auto"/>
          <w:spacing w:val="-12"/>
          <w:kern w:val="30"/>
          <w:highlight w:val="none"/>
          <w:lang w:bidi="ar"/>
        </w:rPr>
        <w:t>(七) 乙方有权向甲方收取理财产品的相关费用，具体收费项目、条件、标准和方式，在《理财产品说明书》中载明。乙方亦有权根据服务项目或服务内容，对服务价格、优惠措施及其生效和终止日期、与价格相关的例外条款和限制性条款、咨询（投诉）的联系方式等信息通过销售机构网点、网站等渠道或乙方在《理财产品说明书》指定的信息披露渠道向甲方进行信息披露。</w:t>
      </w:r>
      <w:r>
        <w:rPr>
          <w:rFonts w:hint="eastAsia" w:ascii="宋体" w:hAnsi="宋体" w:eastAsia="宋体" w:cs="宋体"/>
          <w:b/>
          <w:bCs/>
          <w:color w:val="auto"/>
          <w:spacing w:val="-12"/>
          <w:kern w:val="30"/>
          <w:highlight w:val="none"/>
          <w:lang w:bidi="ar"/>
        </w:rPr>
        <w:t>乙方信息披露内容构成本协议不可分割的一部分，与本协议具有同等效力，甲方应在充分知晓、理解有关信息披露内容后签署本协议，并在签署本协议后持续关注。</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(八) 甲方同意乙方依据相关法律法规规定、产品投资管理需要选任或委托相关投资管理机构、托管机构等理财投资合作机构；同意乙方以自身名义或理财产品名义签署合同/协议等相关文件；承诺承担乙方履行合同/协议等相关文件产生的法律后果。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(九) 为实现理财产品的投资目标及/或维护理财产品全体投资者的利益，乙方有权行使与投资相关的权利、履行相关义务，有权决定理财产品所投基础资产投资的管理、合同/文件条款变更、赎回、处置与披露等事宜，包括但不限于：有权处理基础资产抵质押、担保/增信等事宜、有权决定基础资产及其底层资产投放的先决条件是否放弃或延后、有权决定基础资产投资的相关罚息/违约金/损害赔偿金的降低或免除、利息的降低或免除、有权决定是否同意基础资产的债务人提前还款或立即还款（含全部及部分）或展期及展期条件、有权决定投后监管的执行等。</w:t>
      </w:r>
      <w:r>
        <w:rPr>
          <w:rFonts w:hint="eastAsia" w:ascii="宋体" w:hAnsi="宋体" w:eastAsia="宋体" w:cs="宋体"/>
          <w:b/>
          <w:bCs/>
          <w:color w:val="auto"/>
          <w:spacing w:val="-12"/>
          <w:kern w:val="30"/>
          <w:highlight w:val="none"/>
          <w:lang w:bidi="ar"/>
        </w:rPr>
        <w:t xml:space="preserve">当理财产品的资产安全受到侵害时或发生本理财产品基础资产项下义务人未按时足额付款等情形，乙方有权以自身名义代表理财产品全体投资者采取诉讼或其他权利救济措施。乙方采取上述行动所产生的费用（包括但不限于诉讼费、仲裁费、律师费等全部费用）和法律后果由理财产品全体投资者承担，乙方有权从追索回来的款项中优先扣除。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(十) 乙方有权代表甲方参加会议，对相关事项进行表决；乙方并有权代表甲方利益，按照法律法规和监管部门相关规定对理财产品投资产生的风险资产进行多种方式的处置，包括但不限于转让、重组、债转股、资产证券化、委外催收、抵债资产收取与处置、破产重整等。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(十一) 甲方同意乙方在《理财产品说明书》约定的投资计划（包括但不限于投资范围、投资资产种类、投资比例等内容）内，依据自身的投资决策流程和风险管理机制做出和实施相关投资管理决定。 </w:t>
      </w:r>
    </w:p>
    <w:p>
      <w:pPr>
        <w:pStyle w:val="15"/>
        <w:spacing w:line="620" w:lineRule="exact"/>
        <w:ind w:firstLine="432" w:firstLineChars="200"/>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 xml:space="preserve">(十二) 出现市场情况变化等情况时，乙方可根据需要做出调整《理财产品说明书》约定投资计划的决定，并通过《理财产品说明书》约定的途径与方式进行披露。甲方应注意及时就所认购/申购产品的信息进行查询。乙方将本着维护理财产品全体投资者利益的原则依据相关法律法规进行投资计划调整。 </w:t>
      </w:r>
    </w:p>
    <w:p>
      <w:pPr>
        <w:pStyle w:val="15"/>
        <w:spacing w:line="620" w:lineRule="exact"/>
        <w:ind w:firstLine="432"/>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（十三）乙方及/或销售机构按照《理财产品说明书》约定向甲</w:t>
      </w:r>
      <w:bookmarkStart w:id="0" w:name="_Hlk46953337"/>
      <w:r>
        <w:rPr>
          <w:rFonts w:hint="eastAsia" w:ascii="宋体" w:hAnsi="宋体" w:eastAsia="宋体" w:cs="宋体"/>
          <w:color w:val="auto"/>
          <w:spacing w:val="-12"/>
          <w:kern w:val="30"/>
          <w:highlight w:val="none"/>
          <w:lang w:bidi="ar"/>
        </w:rPr>
        <w:t>方进行理财产品份额的收益分配和资金清算分配并将</w:t>
      </w:r>
      <w:bookmarkEnd w:id="0"/>
      <w:r>
        <w:rPr>
          <w:rFonts w:hint="eastAsia" w:ascii="宋体" w:hAnsi="宋体" w:eastAsia="宋体" w:cs="宋体"/>
          <w:color w:val="auto"/>
          <w:spacing w:val="-12"/>
          <w:kern w:val="30"/>
          <w:highlight w:val="none"/>
          <w:lang w:bidi="ar"/>
        </w:rPr>
        <w:t>对应资金划入甲方理财产品指定账户后，即视为乙方已向甲方完成收益分配和资金的清算分配。因甲方理财产品指定账户冻结、挂失、换卡、销户、长期不动户等原因造成账户变更或异常，甲方应及时到销售机构办理变更手续。如因甲方未及时办理变更手续而造成乙方及/或销售机构无法向甲方进行正常收益分配和资金清算分配，由此导致甲方损失的由甲方自行承担，乙方不承担责任。</w:t>
      </w:r>
    </w:p>
    <w:p>
      <w:pPr>
        <w:pStyle w:val="15"/>
        <w:widowControl/>
        <w:autoSpaceDE/>
        <w:autoSpaceDN/>
        <w:adjustRightInd/>
        <w:spacing w:line="620" w:lineRule="exact"/>
        <w:ind w:firstLine="432"/>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十四）如因司法机关或行政机关依法对甲方采取强制措施或因第三方行使相关权利（包括但不限于质权）导致甲方本次认购或申购理财产品项下权益、理财资金或理财产品兑付回款账户被冻结、扣划，则乙方有权根据实际情况全额终止理财交易，并停止向甲方支付投资本金及收益。由于提前终止交易而产生的一切损失及费用将由甲方承担，乙方有权将此损失及费用从甲方的理财本金以及收益中扣除。</w:t>
      </w:r>
    </w:p>
    <w:p>
      <w:pPr>
        <w:pStyle w:val="15"/>
        <w:widowControl/>
        <w:autoSpaceDE/>
        <w:autoSpaceDN/>
        <w:adjustRightInd/>
        <w:spacing w:line="620" w:lineRule="exact"/>
        <w:ind w:firstLine="432"/>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五、免责条款</w:t>
      </w:r>
    </w:p>
    <w:p>
      <w:pPr>
        <w:pStyle w:val="15"/>
        <w:widowControl/>
        <w:autoSpaceDE/>
        <w:autoSpaceDN/>
        <w:adjustRightInd/>
        <w:spacing w:line="620" w:lineRule="exact"/>
        <w:ind w:firstLine="432"/>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（一）非乙方原因（包括但不限于甲方未按时足额缴纳本金、甲方遗失本协议、甲方协议被盗用、本协议交易账户被司法机关等有权部门冻结、扣划等原因）造成的损失，乙方不承担责任。</w:t>
      </w:r>
    </w:p>
    <w:p>
      <w:pPr>
        <w:pStyle w:val="15"/>
        <w:widowControl/>
        <w:autoSpaceDE/>
        <w:autoSpaceDN/>
        <w:adjustRightInd/>
        <w:spacing w:line="620" w:lineRule="exact"/>
        <w:ind w:firstLine="432"/>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二）由于不可抗力事件或意外事件的出现，或乙方无过错且无法防止的外因，而导致的交易中断、延误等风险及损失，乙方不承担责任，但应在条件允许的情况下采取必要的且合理的补救措施，以减少损失。不可抗力事件包括但不限于：火灾、地震、洪水等自然灾害，战争、军事行动、罢工、流行病等不能预见、不能避免、不能克服的事件等，意外事件包括但不限于：系统故障、通讯故障、电力系统故障、金融危机、投资市场或投资品无法正常交易等。</w:t>
      </w:r>
    </w:p>
    <w:p>
      <w:pPr>
        <w:pStyle w:val="15"/>
        <w:widowControl/>
        <w:autoSpaceDE/>
        <w:autoSpaceDN/>
        <w:adjustRightInd/>
        <w:spacing w:line="620" w:lineRule="exact"/>
        <w:ind w:firstLine="432"/>
        <w:rPr>
          <w:rFonts w:ascii="宋体" w:hAnsi="宋体" w:eastAsia="宋体" w:cs="宋体"/>
          <w:b/>
          <w:bCs/>
          <w:color w:val="auto"/>
          <w:spacing w:val="-12"/>
          <w:kern w:val="30"/>
          <w:highlight w:val="none"/>
          <w:lang w:bidi="ar"/>
        </w:rPr>
      </w:pPr>
      <w:r>
        <w:rPr>
          <w:rFonts w:hint="eastAsia" w:ascii="宋体" w:hAnsi="宋体" w:eastAsia="宋体" w:cs="宋体"/>
          <w:b/>
          <w:bCs/>
          <w:color w:val="auto"/>
          <w:spacing w:val="-12"/>
          <w:kern w:val="30"/>
          <w:highlight w:val="none"/>
          <w:lang w:bidi="ar"/>
        </w:rPr>
        <w:t>（三）由于国家有关法律、法规、规章、政策的改变、紧急措施的出台而导致甲方蒙受损失或协议终止的，乙方不承担责任。</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六、 争议处理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(一) 甲乙双方因履行本协议而产生的一切争议，应首先本着诚实信用原则通过友好协商解决；</w:t>
      </w:r>
      <w:r>
        <w:rPr>
          <w:rFonts w:hint="eastAsia" w:ascii="宋体" w:hAnsi="宋体" w:eastAsia="宋体" w:cs="宋体"/>
          <w:b/>
          <w:bCs/>
          <w:color w:val="auto"/>
          <w:spacing w:val="-12"/>
          <w:kern w:val="30"/>
          <w:highlight w:val="none"/>
          <w:lang w:bidi="ar"/>
        </w:rPr>
        <w:t>不能协商解决的，任何一方有权向乙方住所地的人民法院提起诉讼。</w:t>
      </w:r>
      <w:r>
        <w:rPr>
          <w:rFonts w:hint="eastAsia" w:ascii="宋体" w:hAnsi="宋体" w:eastAsia="宋体" w:cs="宋体"/>
          <w:color w:val="auto"/>
          <w:spacing w:val="-12"/>
          <w:kern w:val="30"/>
          <w:highlight w:val="none"/>
          <w:lang w:bidi="ar"/>
        </w:rPr>
        <w:t xml:space="preserve">本协议适用中华人民共和国法律（为本协议之目的，不包括香港、澳门、台湾地区的法律）。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(二) 在诉讼期间，本协议不涉及争议部分的条款仍须履行。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七、 协议的生效和终止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(一) 甲方通过代理销售方网点柜面渠道购买理财产品的，本协议自甲方签署所购买产品对应的理财业务专用凭证、认缴认购或申购资金并经乙方登记系统确认份额后生效。甲方在代理销售方的网上银行、手机银行等电子渠道购买理财产品的，本协议自甲方点击同意确认该协议并购买后生效。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(二) 甲方认购理财产品失败、乙方或甲方提前终止以及理财产品到期并结清后，本协议自动终止。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 xml:space="preserve">(三) 除按《理财产品说明书》约定甲方或乙方享有的提前终止权外，甲方有违约行为或交易资金被国家有权机关采取保全措施时，乙方有权提前终止本协议。 </w:t>
      </w:r>
    </w:p>
    <w:p>
      <w:pPr>
        <w:pStyle w:val="15"/>
        <w:spacing w:line="620" w:lineRule="exact"/>
        <w:ind w:firstLine="432" w:firstLineChars="200"/>
        <w:rPr>
          <w:rFonts w:ascii="宋体" w:hAnsi="宋体" w:eastAsia="宋体" w:cs="宋体"/>
          <w:color w:val="auto"/>
          <w:spacing w:val="-12"/>
          <w:kern w:val="30"/>
          <w:highlight w:val="none"/>
        </w:rPr>
      </w:pPr>
      <w:r>
        <w:rPr>
          <w:rFonts w:hint="eastAsia" w:ascii="宋体" w:hAnsi="宋体" w:eastAsia="宋体" w:cs="宋体"/>
          <w:color w:val="auto"/>
          <w:spacing w:val="-12"/>
          <w:kern w:val="30"/>
          <w:highlight w:val="none"/>
          <w:lang w:bidi="ar"/>
        </w:rPr>
        <w:t>特别提示：如甲方对乙方产品或服务有任何疑问、意见或建议，可通过拨打</w:t>
      </w:r>
      <w:r>
        <w:rPr>
          <w:rFonts w:hint="eastAsia" w:ascii="宋体" w:hAnsi="宋体" w:eastAsia="宋体" w:cs="宋体"/>
          <w:color w:val="auto"/>
          <w:spacing w:val="-17"/>
          <w:kern w:val="30"/>
          <w:highlight w:val="none"/>
        </w:rPr>
        <w:t>广州银行</w:t>
      </w:r>
      <w:r>
        <w:rPr>
          <w:rFonts w:hint="eastAsia" w:ascii="宋体" w:hAnsi="宋体" w:eastAsia="宋体" w:cs="宋体"/>
          <w:color w:val="auto"/>
          <w:spacing w:val="-12"/>
          <w:kern w:val="30"/>
          <w:highlight w:val="none"/>
          <w:lang w:bidi="ar"/>
        </w:rPr>
        <w:t>客户服务与投诉热线</w:t>
      </w:r>
      <w:r>
        <w:rPr>
          <w:rFonts w:hint="eastAsia" w:ascii="宋体" w:hAnsi="宋体" w:eastAsia="宋体" w:cs="宋体"/>
          <w:color w:val="auto"/>
          <w:spacing w:val="-17"/>
          <w:kern w:val="30"/>
          <w:highlight w:val="none"/>
        </w:rPr>
        <w:t>96699（广东）、4008396699（全国）</w:t>
      </w:r>
      <w:r>
        <w:rPr>
          <w:rFonts w:hint="eastAsia" w:ascii="宋体" w:hAnsi="宋体" w:eastAsia="宋体" w:cs="宋体"/>
          <w:color w:val="auto"/>
          <w:spacing w:val="-12"/>
          <w:kern w:val="30"/>
          <w:highlight w:val="none"/>
          <w:lang w:bidi="ar"/>
        </w:rPr>
        <w:t xml:space="preserve">咨询与反映。 </w:t>
      </w:r>
    </w:p>
    <w:p>
      <w:pPr>
        <w:pStyle w:val="15"/>
        <w:spacing w:line="620" w:lineRule="exact"/>
        <w:ind w:firstLine="432" w:firstLineChars="200"/>
        <w:rPr>
          <w:rFonts w:ascii="宋体" w:hAnsi="宋体" w:eastAsia="宋体" w:cs="宋体"/>
          <w:color w:val="auto"/>
          <w:spacing w:val="-12"/>
          <w:kern w:val="30"/>
          <w:highlight w:val="none"/>
          <w:lang w:bidi="ar"/>
        </w:rPr>
      </w:pPr>
    </w:p>
    <w:p>
      <w:pPr>
        <w:pStyle w:val="15"/>
        <w:spacing w:line="620" w:lineRule="exact"/>
        <w:ind w:firstLine="432" w:firstLineChars="200"/>
        <w:rPr>
          <w:rFonts w:ascii="宋体" w:hAnsi="宋体" w:eastAsia="宋体" w:cs="宋体"/>
          <w:color w:val="auto"/>
          <w:spacing w:val="-12"/>
          <w:kern w:val="30"/>
          <w:highlight w:val="none"/>
          <w:lang w:bidi="ar"/>
        </w:rPr>
      </w:pPr>
    </w:p>
    <w:p>
      <w:pPr>
        <w:pStyle w:val="15"/>
        <w:spacing w:line="620" w:lineRule="exact"/>
        <w:ind w:firstLine="432" w:firstLineChars="200"/>
        <w:rPr>
          <w:rFonts w:ascii="宋体" w:hAnsi="宋体" w:eastAsia="宋体" w:cs="宋体"/>
          <w:color w:val="auto"/>
          <w:spacing w:val="-12"/>
          <w:kern w:val="30"/>
          <w:highlight w:val="none"/>
          <w:lang w:bidi="ar"/>
        </w:rPr>
      </w:pPr>
    </w:p>
    <w:p>
      <w:pPr>
        <w:spacing w:line="276" w:lineRule="auto"/>
        <w:ind w:left="7440" w:hanging="7440"/>
        <w:rPr>
          <w:rFonts w:ascii="宋体" w:hAnsi="宋体" w:cs="宋体"/>
          <w:spacing w:val="-12"/>
          <w:kern w:val="30"/>
          <w:sz w:val="24"/>
          <w:szCs w:val="24"/>
          <w:highlight w:val="none"/>
          <w:lang w:bidi="ar"/>
        </w:rPr>
      </w:pPr>
      <w:r>
        <w:rPr>
          <w:rFonts w:hint="eastAsia" w:ascii="宋体" w:hAnsi="宋体" w:cs="宋体"/>
          <w:b/>
          <w:bCs/>
          <w:spacing w:val="-12"/>
          <w:kern w:val="30"/>
          <w:sz w:val="24"/>
          <w:szCs w:val="24"/>
          <w:highlight w:val="none"/>
          <w:lang w:bidi="ar"/>
        </w:rPr>
        <w:t>甲方：</w:t>
      </w:r>
      <w:r>
        <w:rPr>
          <w:rFonts w:hint="eastAsia" w:ascii="宋体" w:hAnsi="宋体" w:cs="宋体"/>
          <w:spacing w:val="-12"/>
          <w:kern w:val="30"/>
          <w:sz w:val="24"/>
          <w:szCs w:val="24"/>
          <w:highlight w:val="none"/>
          <w:lang w:bidi="ar"/>
        </w:rPr>
        <w:t xml:space="preserve">                                           </w:t>
      </w:r>
    </w:p>
    <w:p>
      <w:pPr>
        <w:spacing w:line="276" w:lineRule="auto"/>
        <w:ind w:left="7440" w:hanging="7440"/>
        <w:rPr>
          <w:rFonts w:ascii="宋体" w:hAnsi="宋体" w:cs="宋体"/>
          <w:spacing w:val="-12"/>
          <w:kern w:val="30"/>
          <w:sz w:val="24"/>
          <w:szCs w:val="24"/>
          <w:highlight w:val="none"/>
          <w:lang w:bidi="ar"/>
        </w:rPr>
      </w:pPr>
    </w:p>
    <w:p>
      <w:pPr>
        <w:spacing w:line="276" w:lineRule="auto"/>
        <w:ind w:left="7440" w:hanging="7440"/>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个人投资者签字：     </w:t>
      </w:r>
    </w:p>
    <w:p>
      <w:pPr>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                           </w:t>
      </w:r>
    </w:p>
    <w:p>
      <w:pPr>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机构投资者（盖章）：                           </w:t>
      </w:r>
    </w:p>
    <w:p>
      <w:pPr>
        <w:spacing w:line="276" w:lineRule="auto"/>
        <w:rPr>
          <w:rFonts w:ascii="宋体" w:hAnsi="宋体" w:cs="宋体"/>
          <w:spacing w:val="-12"/>
          <w:kern w:val="30"/>
          <w:sz w:val="24"/>
          <w:szCs w:val="24"/>
          <w:highlight w:val="none"/>
          <w:lang w:bidi="ar"/>
        </w:rPr>
      </w:pPr>
    </w:p>
    <w:p>
      <w:pPr>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机构投资者法定代表人或授权代表（签字或盖章）:</w:t>
      </w:r>
    </w:p>
    <w:p>
      <w:pPr>
        <w:spacing w:line="276" w:lineRule="auto"/>
        <w:rPr>
          <w:rFonts w:ascii="宋体" w:hAnsi="宋体" w:cs="宋体"/>
          <w:spacing w:val="-12"/>
          <w:kern w:val="30"/>
          <w:sz w:val="24"/>
          <w:szCs w:val="24"/>
          <w:highlight w:val="none"/>
          <w:lang w:bidi="ar"/>
        </w:rPr>
      </w:pPr>
    </w:p>
    <w:p>
      <w:pPr>
        <w:adjustRightInd w:val="0"/>
        <w:snapToGrid w:val="0"/>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签约时间：  　　年    月    日              </w:t>
      </w:r>
    </w:p>
    <w:p>
      <w:pPr>
        <w:spacing w:line="276" w:lineRule="auto"/>
        <w:ind w:left="7440" w:hanging="7440"/>
        <w:rPr>
          <w:rFonts w:ascii="宋体" w:hAnsi="宋体" w:cs="宋体"/>
          <w:spacing w:val="-12"/>
          <w:kern w:val="30"/>
          <w:sz w:val="24"/>
          <w:szCs w:val="24"/>
          <w:highlight w:val="none"/>
          <w:lang w:bidi="ar"/>
        </w:rPr>
      </w:pPr>
    </w:p>
    <w:p>
      <w:pPr>
        <w:spacing w:line="276" w:lineRule="auto"/>
        <w:ind w:left="7440" w:hanging="7440"/>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 xml:space="preserve"> </w:t>
      </w:r>
    </w:p>
    <w:p>
      <w:pPr>
        <w:spacing w:line="276" w:lineRule="auto"/>
        <w:ind w:left="7440" w:hanging="7440"/>
        <w:rPr>
          <w:rFonts w:ascii="宋体" w:hAnsi="宋体" w:cs="宋体"/>
          <w:b/>
          <w:bCs/>
          <w:spacing w:val="-12"/>
          <w:kern w:val="30"/>
          <w:sz w:val="24"/>
          <w:szCs w:val="24"/>
          <w:highlight w:val="none"/>
          <w:lang w:bidi="ar"/>
        </w:rPr>
      </w:pPr>
      <w:r>
        <w:rPr>
          <w:rFonts w:hint="eastAsia" w:ascii="宋体" w:hAnsi="宋体" w:cs="宋体"/>
          <w:b/>
          <w:bCs/>
          <w:spacing w:val="-12"/>
          <w:kern w:val="30"/>
          <w:sz w:val="24"/>
          <w:szCs w:val="24"/>
          <w:highlight w:val="none"/>
          <w:lang w:bidi="ar"/>
        </w:rPr>
        <w:t>乙方：</w:t>
      </w:r>
    </w:p>
    <w:p>
      <w:pPr>
        <w:pStyle w:val="15"/>
        <w:spacing w:line="620" w:lineRule="exact"/>
        <w:rPr>
          <w:rFonts w:ascii="宋体" w:hAnsi="宋体" w:eastAsia="宋体" w:cs="宋体"/>
          <w:color w:val="auto"/>
          <w:spacing w:val="-12"/>
          <w:kern w:val="30"/>
          <w:highlight w:val="none"/>
          <w:lang w:bidi="ar"/>
        </w:rPr>
      </w:pPr>
    </w:p>
    <w:p>
      <w:pPr>
        <w:pStyle w:val="15"/>
        <w:spacing w:line="620" w:lineRule="exact"/>
        <w:rPr>
          <w:rFonts w:ascii="宋体" w:hAnsi="宋体" w:eastAsia="宋体" w:cs="宋体"/>
          <w:color w:val="auto"/>
          <w:spacing w:val="-12"/>
          <w:kern w:val="30"/>
          <w:highlight w:val="none"/>
          <w:lang w:bidi="ar"/>
        </w:rPr>
      </w:pPr>
      <w:r>
        <w:rPr>
          <w:rFonts w:hint="eastAsia" w:ascii="宋体" w:hAnsi="宋体" w:eastAsia="宋体" w:cs="宋体"/>
          <w:color w:val="auto"/>
          <w:spacing w:val="-12"/>
          <w:kern w:val="30"/>
          <w:highlight w:val="none"/>
          <w:lang w:bidi="ar"/>
        </w:rPr>
        <w:t>广州银行股份有限公司</w:t>
      </w:r>
    </w:p>
    <w:p>
      <w:pPr>
        <w:pStyle w:val="15"/>
        <w:spacing w:line="620" w:lineRule="exact"/>
        <w:rPr>
          <w:rFonts w:ascii="宋体" w:hAnsi="宋体" w:eastAsia="宋体" w:cs="宋体"/>
          <w:color w:val="auto"/>
          <w:spacing w:val="-12"/>
          <w:kern w:val="30"/>
          <w:highlight w:val="none"/>
          <w:lang w:bidi="ar"/>
        </w:rPr>
      </w:pPr>
    </w:p>
    <w:p>
      <w:pPr>
        <w:adjustRightInd w:val="0"/>
        <w:snapToGrid w:val="0"/>
        <w:spacing w:line="276" w:lineRule="auto"/>
        <w:rPr>
          <w:rFonts w:ascii="宋体" w:hAnsi="宋体" w:cs="宋体"/>
          <w:spacing w:val="-12"/>
          <w:kern w:val="30"/>
          <w:sz w:val="24"/>
          <w:szCs w:val="24"/>
          <w:highlight w:val="none"/>
          <w:lang w:bidi="ar"/>
        </w:rPr>
      </w:pPr>
      <w:r>
        <w:rPr>
          <w:rFonts w:hint="eastAsia" w:ascii="宋体" w:hAnsi="宋体" w:cs="宋体"/>
          <w:spacing w:val="-12"/>
          <w:kern w:val="30"/>
          <w:sz w:val="24"/>
          <w:szCs w:val="24"/>
          <w:highlight w:val="none"/>
          <w:lang w:bidi="ar"/>
        </w:rPr>
        <w:t>签约时间：  　　年    月    日</w:t>
      </w:r>
    </w:p>
    <w:p>
      <w:pPr>
        <w:pStyle w:val="15"/>
        <w:widowControl/>
        <w:spacing w:line="600" w:lineRule="exact"/>
        <w:rPr>
          <w:rFonts w:ascii="宋体" w:hAnsi="宋体" w:eastAsia="宋体" w:cs="宋体"/>
          <w:color w:val="auto"/>
          <w:spacing w:val="-12"/>
          <w:kern w:val="30"/>
          <w:highlight w:val="none"/>
        </w:rPr>
      </w:pPr>
    </w:p>
    <w:sectPr>
      <w:headerReference r:id="rId5" w:type="first"/>
      <w:footerReference r:id="rId7" w:type="first"/>
      <w:headerReference r:id="rId4" w:type="default"/>
      <w:footerReference r:id="rId6"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矩形 14"/>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32</w:t>
                          </w:r>
                          <w:r>
                            <w:rPr>
                              <w:rFonts w:hint="eastAsia"/>
                              <w:sz w:val="18"/>
                            </w:rPr>
                            <w:fldChar w:fldCharType="end"/>
                          </w:r>
                          <w:r>
                            <w:rPr>
                              <w:rFonts w:hint="eastAsia"/>
                              <w:sz w:val="18"/>
                            </w:rPr>
                            <w:t xml:space="preserve"> 页</w:t>
                          </w:r>
                        </w:p>
                      </w:txbxContent>
                    </wps:txbx>
                    <wps:bodyPr wrap="none" lIns="0" tIns="0" rIns="0" bIns="0">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Ll1uVLQAAAABQEAAA8AAAAAAAAAAQAgAAAAIgAAAGRycy9kb3ducmV2LnhtbFBLAQIU&#10;ABQAAAAIAIdO4kAbOWcawgEAAIsDAAAOAAAAAAAAAAEAIAAAAB8BAABkcnMvZTJvRG9jLnhtbFBL&#10;BQYAAAAABgAGAFkBAABTBQAAAAA=&#10;">
              <v:fill on="f" focussize="0,0"/>
              <v:stroke on="f"/>
              <v:imagedata o:title=""/>
              <o:lock v:ext="edit" aspectratio="f"/>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rFonts w:hint="eastAsia"/>
                        <w:sz w:val="18"/>
                      </w:rPr>
                      <w:t>32</w:t>
                    </w:r>
                    <w:r>
                      <w:rPr>
                        <w:rFonts w:hint="eastAsia"/>
                        <w:sz w:val="18"/>
                      </w:rPr>
                      <w:fldChar w:fldCharType="end"/>
                    </w:r>
                    <w:r>
                      <w:rPr>
                        <w:rFonts w:hint="eastAsia"/>
                        <w:sz w:val="18"/>
                      </w:rPr>
                      <w:t xml:space="preserve"> 页</w:t>
                    </w:r>
                  </w:p>
                </w:txbxContent>
              </v:textbox>
            </v:rect>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pStyle w:val="7"/>
      </w:pPr>
      <w:r>
        <w:rPr>
          <w:rStyle w:val="14"/>
        </w:rPr>
        <w:footnoteRef/>
      </w:r>
      <w:r>
        <w:t xml:space="preserve"> </w:t>
      </w:r>
      <w:r>
        <w:rPr>
          <w:rFonts w:hint="eastAsia"/>
        </w:rPr>
        <w:t>注：本理财产品销售文件包括《理财产品投资协议书》、《风险揭示书》、《理财产品说明书》、《投资者权益须知》等文件。</w:t>
      </w:r>
    </w:p>
  </w:footnote>
  <w:footnote w:id="1">
    <w:p>
      <w:pPr>
        <w:pStyle w:val="7"/>
      </w:pPr>
      <w:r>
        <w:rPr>
          <w:rStyle w:val="14"/>
        </w:rPr>
        <w:footnoteRef/>
      </w:r>
      <w:r>
        <w:rPr>
          <w:rFonts w:hint="eastAsia"/>
        </w:rPr>
        <w:t>《理财产品销售协议书》的名称、内容以代理销售机构实际使用为准。</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1715" w:firstLineChars="953"/>
      <w:rPr>
        <w:rFonts w:ascii="Arial" w:hAnsi="Arial" w:cs="Arial"/>
        <w:color w:val="000000"/>
      </w:rPr>
    </w:pPr>
  </w:p>
  <w:p>
    <w:pPr>
      <w:pStyle w:val="6"/>
      <w:ind w:firstLine="1715" w:firstLineChars="953"/>
      <w:rPr>
        <w:rFonts w:ascii="Arial" w:hAnsi="Arial" w:cs="Arial"/>
        <w:color w:val="000000"/>
      </w:rPr>
    </w:pPr>
  </w:p>
  <w:p>
    <w:pPr>
      <w:pStyle w:val="6"/>
      <w:ind w:firstLine="1913" w:firstLineChars="953"/>
      <w:rPr>
        <w:rFonts w:eastAsia="黑体"/>
        <w:b/>
        <w:bCs/>
        <w:sz w:val="24"/>
        <w:szCs w:val="24"/>
      </w:rPr>
    </w:pPr>
    <w:r>
      <w:rPr>
        <w:rFonts w:ascii="Arial" w:hAnsi="Arial" w:cs="Arial"/>
        <w:b/>
        <w:bCs/>
        <w:color w:val="000000"/>
        <w:sz w:val="20"/>
      </w:rPr>
      <w:drawing>
        <wp:anchor distT="0" distB="0" distL="114300" distR="114300" simplePos="0" relativeHeight="251660288" behindDoc="0" locked="0" layoutInCell="1" allowOverlap="1">
          <wp:simplePos x="0" y="0"/>
          <wp:positionH relativeFrom="column">
            <wp:posOffset>-114300</wp:posOffset>
          </wp:positionH>
          <wp:positionV relativeFrom="paragraph">
            <wp:posOffset>-220345</wp:posOffset>
          </wp:positionV>
          <wp:extent cx="1257300" cy="495300"/>
          <wp:effectExtent l="0" t="0" r="0" b="0"/>
          <wp:wrapNone/>
          <wp:docPr id="1" name="Picture 1" descr="bog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ogz-logo"/>
                  <pic:cNvPicPr>
                    <a:picLocks noChangeAspect="1"/>
                  </pic:cNvPicPr>
                </pic:nvPicPr>
                <pic:blipFill>
                  <a:blip r:embed="rId1"/>
                  <a:stretch>
                    <a:fillRect/>
                  </a:stretch>
                </pic:blipFill>
                <pic:spPr>
                  <a:xfrm>
                    <a:off x="0" y="0"/>
                    <a:ext cx="1257300" cy="495300"/>
                  </a:xfrm>
                  <a:prstGeom prst="rect">
                    <a:avLst/>
                  </a:prstGeom>
                  <a:noFill/>
                  <a:ln>
                    <a:noFill/>
                  </a:ln>
                </pic:spPr>
              </pic:pic>
            </a:graphicData>
          </a:graphic>
        </wp:anchor>
      </w:drawing>
    </w:r>
    <w:r>
      <w:rPr>
        <w:rFonts w:hint="eastAsia" w:ascii="Arial" w:hAnsi="Arial" w:cs="Arial"/>
        <w:color w:val="000000"/>
      </w:rPr>
      <w:t xml:space="preserve"> </w:t>
    </w:r>
    <w:r>
      <w:rPr>
        <w:rFonts w:hint="eastAsia" w:eastAsia="黑体"/>
        <w:b/>
        <w:bCs/>
        <w:sz w:val="32"/>
      </w:rPr>
      <w:t xml:space="preserve">                              </w:t>
    </w:r>
    <w:r>
      <w:rPr>
        <w:rFonts w:hint="eastAsia" w:eastAsia="黑体"/>
        <w:b/>
        <w:bCs/>
        <w:sz w:val="24"/>
        <w:szCs w:val="24"/>
      </w:rPr>
      <w:t>红棉理财</w:t>
    </w:r>
  </w:p>
  <w:p>
    <w:pPr>
      <w:pStyle w:val="6"/>
      <w:pBdr>
        <w:bottom w:val="single" w:color="auto" w:sz="4"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1913" w:firstLineChars="953"/>
      <w:rPr>
        <w:rFonts w:eastAsia="黑体"/>
        <w:b/>
        <w:bCs/>
        <w:sz w:val="24"/>
        <w:szCs w:val="24"/>
      </w:rPr>
    </w:pPr>
    <w:r>
      <w:rPr>
        <w:rFonts w:ascii="Arial" w:hAnsi="Arial" w:cs="Arial"/>
        <w:b/>
        <w:bCs/>
        <w:color w:val="000000"/>
        <w:sz w:val="20"/>
      </w:rPr>
      <w:drawing>
        <wp:anchor distT="0" distB="0" distL="114300" distR="114300" simplePos="0" relativeHeight="251661312" behindDoc="0" locked="0" layoutInCell="1" allowOverlap="1">
          <wp:simplePos x="0" y="0"/>
          <wp:positionH relativeFrom="column">
            <wp:posOffset>-114300</wp:posOffset>
          </wp:positionH>
          <wp:positionV relativeFrom="paragraph">
            <wp:posOffset>-220345</wp:posOffset>
          </wp:positionV>
          <wp:extent cx="1257300" cy="495300"/>
          <wp:effectExtent l="0" t="0" r="0" b="0"/>
          <wp:wrapNone/>
          <wp:docPr id="3" name="Picture 1" descr="bog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bogz-logo"/>
                  <pic:cNvPicPr>
                    <a:picLocks noChangeAspect="1"/>
                  </pic:cNvPicPr>
                </pic:nvPicPr>
                <pic:blipFill>
                  <a:blip r:embed="rId1"/>
                  <a:stretch>
                    <a:fillRect/>
                  </a:stretch>
                </pic:blipFill>
                <pic:spPr>
                  <a:xfrm>
                    <a:off x="0" y="0"/>
                    <a:ext cx="1257300" cy="495300"/>
                  </a:xfrm>
                  <a:prstGeom prst="rect">
                    <a:avLst/>
                  </a:prstGeom>
                  <a:noFill/>
                  <a:ln>
                    <a:noFill/>
                  </a:ln>
                </pic:spPr>
              </pic:pic>
            </a:graphicData>
          </a:graphic>
        </wp:anchor>
      </w:drawing>
    </w:r>
    <w:r>
      <w:rPr>
        <w:rFonts w:hint="eastAsia" w:ascii="Arial" w:hAnsi="Arial" w:cs="Arial"/>
        <w:color w:val="000000"/>
      </w:rPr>
      <w:t xml:space="preserve"> </w:t>
    </w:r>
    <w:r>
      <w:rPr>
        <w:rFonts w:hint="eastAsia" w:eastAsia="黑体"/>
        <w:b/>
        <w:bCs/>
        <w:sz w:val="32"/>
      </w:rPr>
      <w:t xml:space="preserve">                              </w:t>
    </w:r>
    <w:r>
      <w:rPr>
        <w:rFonts w:hint="eastAsia" w:eastAsia="黑体"/>
        <w:b/>
        <w:bCs/>
        <w:sz w:val="24"/>
        <w:szCs w:val="24"/>
      </w:rPr>
      <w:t>红棉理财</w:t>
    </w:r>
  </w:p>
  <w:p>
    <w:pPr>
      <w:pStyle w:val="6"/>
      <w:pBdr>
        <w:bottom w:val="single" w:color="auto" w:sz="4"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8C8D92"/>
    <w:multiLevelType w:val="singleLevel"/>
    <w:tmpl w:val="DC8C8D92"/>
    <w:lvl w:ilvl="0" w:tentative="0">
      <w:start w:val="3"/>
      <w:numFmt w:val="chineseCounting"/>
      <w:suff w:val="nothing"/>
      <w:lvlText w:val="（%1）"/>
      <w:lvlJc w:val="left"/>
      <w:rPr>
        <w:rFonts w:hint="eastAsia"/>
      </w:rPr>
    </w:lvl>
  </w:abstractNum>
  <w:abstractNum w:abstractNumId="1">
    <w:nsid w:val="FE450BCF"/>
    <w:multiLevelType w:val="singleLevel"/>
    <w:tmpl w:val="FE450BCF"/>
    <w:lvl w:ilvl="0" w:tentative="0">
      <w:start w:val="2"/>
      <w:numFmt w:val="chineseCounting"/>
      <w:suff w:val="nothing"/>
      <w:lvlText w:val="%1、"/>
      <w:lvlJc w:val="left"/>
      <w:rPr>
        <w:rFonts w:hint="eastAsia"/>
      </w:rPr>
    </w:lvl>
  </w:abstractNum>
  <w:abstractNum w:abstractNumId="2">
    <w:nsid w:val="7089144D"/>
    <w:multiLevelType w:val="singleLevel"/>
    <w:tmpl w:val="7089144D"/>
    <w:lvl w:ilvl="0" w:tentative="0">
      <w:start w:val="1"/>
      <w:numFmt w:val="decimal"/>
      <w:suff w:val="nothing"/>
      <w:lvlText w:val="%1．"/>
      <w:lvlJc w:val="left"/>
      <w:pPr>
        <w:ind w:left="0" w:firstLine="400"/>
      </w:pPr>
      <w:rPr>
        <w:rFonts w:hint="default" w:ascii="宋体" w:hAnsi="宋体" w:eastAsia="宋体" w:cs="宋体"/>
        <w:sz w:val="24"/>
        <w:szCs w:val="24"/>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dit="readOnly" w:enforcement="0"/>
  <w:defaultTabStop w:val="420"/>
  <w:drawingGridVerticalSpacing w:val="156"/>
  <w:noPunctuationKerning w:val="1"/>
  <w:characterSpacingControl w:val="compressPunctuation"/>
  <w:footnotePr>
    <w:footnote w:id="4"/>
    <w:footnote w:id="5"/>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1YjY3MjQxNTUzMTVjYTA0MzBiNDA5OWE5YzFiZjYifQ=="/>
  </w:docVars>
  <w:rsids>
    <w:rsidRoot w:val="00172A27"/>
    <w:rsid w:val="000068DD"/>
    <w:rsid w:val="00022C11"/>
    <w:rsid w:val="00144789"/>
    <w:rsid w:val="00172A27"/>
    <w:rsid w:val="00226A34"/>
    <w:rsid w:val="002E4D7F"/>
    <w:rsid w:val="004202E4"/>
    <w:rsid w:val="00710A07"/>
    <w:rsid w:val="008C3CB8"/>
    <w:rsid w:val="008E4CA4"/>
    <w:rsid w:val="00A83C9F"/>
    <w:rsid w:val="00CC19A6"/>
    <w:rsid w:val="00D7786B"/>
    <w:rsid w:val="00E554EF"/>
    <w:rsid w:val="00E8282C"/>
    <w:rsid w:val="011D017E"/>
    <w:rsid w:val="01212595"/>
    <w:rsid w:val="01856668"/>
    <w:rsid w:val="01B879F4"/>
    <w:rsid w:val="01F41597"/>
    <w:rsid w:val="02003210"/>
    <w:rsid w:val="02254D66"/>
    <w:rsid w:val="02750B55"/>
    <w:rsid w:val="027C36CF"/>
    <w:rsid w:val="028A5FCB"/>
    <w:rsid w:val="029C6873"/>
    <w:rsid w:val="02CD7996"/>
    <w:rsid w:val="032C6277"/>
    <w:rsid w:val="04667E7D"/>
    <w:rsid w:val="04B72DA3"/>
    <w:rsid w:val="05203EC4"/>
    <w:rsid w:val="05370537"/>
    <w:rsid w:val="05CF2FA8"/>
    <w:rsid w:val="05D139AF"/>
    <w:rsid w:val="05E21338"/>
    <w:rsid w:val="061F34E5"/>
    <w:rsid w:val="062A7D1B"/>
    <w:rsid w:val="0669443E"/>
    <w:rsid w:val="08055DEC"/>
    <w:rsid w:val="08A47272"/>
    <w:rsid w:val="0A3E36F7"/>
    <w:rsid w:val="0A6261C8"/>
    <w:rsid w:val="0A9946BF"/>
    <w:rsid w:val="0B1B66A5"/>
    <w:rsid w:val="0BD024F8"/>
    <w:rsid w:val="0BF60A2B"/>
    <w:rsid w:val="0C077D38"/>
    <w:rsid w:val="0C6F5E17"/>
    <w:rsid w:val="0CC07519"/>
    <w:rsid w:val="0D630980"/>
    <w:rsid w:val="0D7C179D"/>
    <w:rsid w:val="0D8443CA"/>
    <w:rsid w:val="0DA41AC3"/>
    <w:rsid w:val="0DE20113"/>
    <w:rsid w:val="0EA57FB6"/>
    <w:rsid w:val="0EC64C14"/>
    <w:rsid w:val="0EEB7B1C"/>
    <w:rsid w:val="0EFA2C16"/>
    <w:rsid w:val="0F7055DE"/>
    <w:rsid w:val="0F7D73EF"/>
    <w:rsid w:val="0FD54020"/>
    <w:rsid w:val="10ED552F"/>
    <w:rsid w:val="114F6397"/>
    <w:rsid w:val="11B63BF7"/>
    <w:rsid w:val="1233078C"/>
    <w:rsid w:val="128850CF"/>
    <w:rsid w:val="133B1F98"/>
    <w:rsid w:val="134F604F"/>
    <w:rsid w:val="13AF70FB"/>
    <w:rsid w:val="13F94340"/>
    <w:rsid w:val="15085D7E"/>
    <w:rsid w:val="156600EE"/>
    <w:rsid w:val="157E3A57"/>
    <w:rsid w:val="164854EF"/>
    <w:rsid w:val="164E0F00"/>
    <w:rsid w:val="166131CF"/>
    <w:rsid w:val="1682155A"/>
    <w:rsid w:val="16BC6031"/>
    <w:rsid w:val="17FD7705"/>
    <w:rsid w:val="1955361B"/>
    <w:rsid w:val="19B43B48"/>
    <w:rsid w:val="19DA173B"/>
    <w:rsid w:val="19E86445"/>
    <w:rsid w:val="1A4F7974"/>
    <w:rsid w:val="1AD31BA8"/>
    <w:rsid w:val="1BC673A0"/>
    <w:rsid w:val="1BFF039B"/>
    <w:rsid w:val="1C5F1ED7"/>
    <w:rsid w:val="1D4079B3"/>
    <w:rsid w:val="1D4F1A4B"/>
    <w:rsid w:val="1DAD49C3"/>
    <w:rsid w:val="1E143BE4"/>
    <w:rsid w:val="1F0B5857"/>
    <w:rsid w:val="1F82734E"/>
    <w:rsid w:val="20051071"/>
    <w:rsid w:val="201903A8"/>
    <w:rsid w:val="20386A4D"/>
    <w:rsid w:val="206B7057"/>
    <w:rsid w:val="21414FA6"/>
    <w:rsid w:val="21483260"/>
    <w:rsid w:val="21E604A4"/>
    <w:rsid w:val="22205F32"/>
    <w:rsid w:val="229D1156"/>
    <w:rsid w:val="231D2C0B"/>
    <w:rsid w:val="23B165F8"/>
    <w:rsid w:val="240D5B5E"/>
    <w:rsid w:val="258078C6"/>
    <w:rsid w:val="25EF39EF"/>
    <w:rsid w:val="26103F06"/>
    <w:rsid w:val="27526697"/>
    <w:rsid w:val="290C04E5"/>
    <w:rsid w:val="29BF1DA3"/>
    <w:rsid w:val="29D137E8"/>
    <w:rsid w:val="2A2D0332"/>
    <w:rsid w:val="2A2E247A"/>
    <w:rsid w:val="2D872EED"/>
    <w:rsid w:val="2E19587E"/>
    <w:rsid w:val="2E3260F1"/>
    <w:rsid w:val="2E607070"/>
    <w:rsid w:val="2F0A4A1A"/>
    <w:rsid w:val="31377811"/>
    <w:rsid w:val="317A273F"/>
    <w:rsid w:val="31846327"/>
    <w:rsid w:val="31C42401"/>
    <w:rsid w:val="32E62748"/>
    <w:rsid w:val="33D66C44"/>
    <w:rsid w:val="33FE2E70"/>
    <w:rsid w:val="34351477"/>
    <w:rsid w:val="353A633C"/>
    <w:rsid w:val="356873AB"/>
    <w:rsid w:val="35961FDF"/>
    <w:rsid w:val="36067724"/>
    <w:rsid w:val="36D4595D"/>
    <w:rsid w:val="36E616BA"/>
    <w:rsid w:val="36E80B7E"/>
    <w:rsid w:val="37777EA5"/>
    <w:rsid w:val="391A32E1"/>
    <w:rsid w:val="3C814BF9"/>
    <w:rsid w:val="3CBB5555"/>
    <w:rsid w:val="3DAD6AAD"/>
    <w:rsid w:val="3DDF0D19"/>
    <w:rsid w:val="3DF07942"/>
    <w:rsid w:val="3E1D0952"/>
    <w:rsid w:val="3E5532EC"/>
    <w:rsid w:val="3F01239F"/>
    <w:rsid w:val="3FB939D5"/>
    <w:rsid w:val="3FBE4286"/>
    <w:rsid w:val="40E8798D"/>
    <w:rsid w:val="40EB3CE9"/>
    <w:rsid w:val="41E45FA3"/>
    <w:rsid w:val="426E12CA"/>
    <w:rsid w:val="42AE782D"/>
    <w:rsid w:val="4326138D"/>
    <w:rsid w:val="4364501E"/>
    <w:rsid w:val="43923B90"/>
    <w:rsid w:val="444924A1"/>
    <w:rsid w:val="45E964EC"/>
    <w:rsid w:val="47195E95"/>
    <w:rsid w:val="47300B0C"/>
    <w:rsid w:val="479555AD"/>
    <w:rsid w:val="47B73F8A"/>
    <w:rsid w:val="47BE7425"/>
    <w:rsid w:val="48070804"/>
    <w:rsid w:val="48D45F7E"/>
    <w:rsid w:val="48E16E12"/>
    <w:rsid w:val="49075C8A"/>
    <w:rsid w:val="49102BDD"/>
    <w:rsid w:val="49671D23"/>
    <w:rsid w:val="4A2A3DBA"/>
    <w:rsid w:val="4A45237E"/>
    <w:rsid w:val="4B012DC1"/>
    <w:rsid w:val="4B980FF3"/>
    <w:rsid w:val="4B992704"/>
    <w:rsid w:val="4BA51475"/>
    <w:rsid w:val="4BF8198B"/>
    <w:rsid w:val="4C6928D7"/>
    <w:rsid w:val="4C7F3ED6"/>
    <w:rsid w:val="4CEC0AE7"/>
    <w:rsid w:val="4D0C3471"/>
    <w:rsid w:val="4DBF689E"/>
    <w:rsid w:val="4DE449A3"/>
    <w:rsid w:val="4E2704BE"/>
    <w:rsid w:val="4E440104"/>
    <w:rsid w:val="4E5C1FD7"/>
    <w:rsid w:val="4F635BEA"/>
    <w:rsid w:val="4FD32219"/>
    <w:rsid w:val="4FE03CBF"/>
    <w:rsid w:val="4FF260E2"/>
    <w:rsid w:val="503420D1"/>
    <w:rsid w:val="50892A9F"/>
    <w:rsid w:val="50E70BD6"/>
    <w:rsid w:val="510F6355"/>
    <w:rsid w:val="511E4733"/>
    <w:rsid w:val="514D76D1"/>
    <w:rsid w:val="51E97071"/>
    <w:rsid w:val="5208721D"/>
    <w:rsid w:val="525E5B59"/>
    <w:rsid w:val="52A45330"/>
    <w:rsid w:val="52BC4891"/>
    <w:rsid w:val="531B17DF"/>
    <w:rsid w:val="534F44DA"/>
    <w:rsid w:val="536659F9"/>
    <w:rsid w:val="53B675FE"/>
    <w:rsid w:val="53BA6EB5"/>
    <w:rsid w:val="53D6695D"/>
    <w:rsid w:val="54001AC2"/>
    <w:rsid w:val="547A6F0A"/>
    <w:rsid w:val="548A5AA7"/>
    <w:rsid w:val="54D06742"/>
    <w:rsid w:val="550D0DC4"/>
    <w:rsid w:val="555D7507"/>
    <w:rsid w:val="55861B78"/>
    <w:rsid w:val="572A684B"/>
    <w:rsid w:val="57DF0F63"/>
    <w:rsid w:val="58707DAA"/>
    <w:rsid w:val="588D6085"/>
    <w:rsid w:val="59801B1F"/>
    <w:rsid w:val="5AF03D12"/>
    <w:rsid w:val="5B0B3CEC"/>
    <w:rsid w:val="5BB57082"/>
    <w:rsid w:val="5C02673D"/>
    <w:rsid w:val="5C083CDB"/>
    <w:rsid w:val="5D242371"/>
    <w:rsid w:val="5DE82A49"/>
    <w:rsid w:val="5DF35FE0"/>
    <w:rsid w:val="5E4E6936"/>
    <w:rsid w:val="5F8D0258"/>
    <w:rsid w:val="608508AD"/>
    <w:rsid w:val="60B47D5B"/>
    <w:rsid w:val="615E5B6F"/>
    <w:rsid w:val="620B5350"/>
    <w:rsid w:val="62211136"/>
    <w:rsid w:val="62995D10"/>
    <w:rsid w:val="62BE1FD5"/>
    <w:rsid w:val="63107028"/>
    <w:rsid w:val="639C2767"/>
    <w:rsid w:val="65804A46"/>
    <w:rsid w:val="65E4194A"/>
    <w:rsid w:val="65EE5F97"/>
    <w:rsid w:val="66012F5D"/>
    <w:rsid w:val="66552800"/>
    <w:rsid w:val="66584521"/>
    <w:rsid w:val="670267B3"/>
    <w:rsid w:val="67683123"/>
    <w:rsid w:val="67F2352B"/>
    <w:rsid w:val="67F962AE"/>
    <w:rsid w:val="686D7968"/>
    <w:rsid w:val="688D3100"/>
    <w:rsid w:val="68E21261"/>
    <w:rsid w:val="69666293"/>
    <w:rsid w:val="69E04674"/>
    <w:rsid w:val="69F2722A"/>
    <w:rsid w:val="6A133968"/>
    <w:rsid w:val="6AA86803"/>
    <w:rsid w:val="6AB77261"/>
    <w:rsid w:val="6AE87227"/>
    <w:rsid w:val="6B8A06B8"/>
    <w:rsid w:val="6C3B62C3"/>
    <w:rsid w:val="6C7D7D0B"/>
    <w:rsid w:val="6C881FE6"/>
    <w:rsid w:val="6D255409"/>
    <w:rsid w:val="6D3B4246"/>
    <w:rsid w:val="6E475F07"/>
    <w:rsid w:val="6E847D47"/>
    <w:rsid w:val="6E9D3265"/>
    <w:rsid w:val="6F1F09D6"/>
    <w:rsid w:val="6FDA751C"/>
    <w:rsid w:val="701F3299"/>
    <w:rsid w:val="71671F34"/>
    <w:rsid w:val="71800D80"/>
    <w:rsid w:val="71EF432F"/>
    <w:rsid w:val="722364A6"/>
    <w:rsid w:val="72693112"/>
    <w:rsid w:val="727C6AC6"/>
    <w:rsid w:val="72C9747D"/>
    <w:rsid w:val="72DD0F3F"/>
    <w:rsid w:val="72F32C5C"/>
    <w:rsid w:val="73AD1F5E"/>
    <w:rsid w:val="73B531E7"/>
    <w:rsid w:val="73D6662B"/>
    <w:rsid w:val="73ED1CEE"/>
    <w:rsid w:val="74664A35"/>
    <w:rsid w:val="74C67A0E"/>
    <w:rsid w:val="751C1A3C"/>
    <w:rsid w:val="755945D7"/>
    <w:rsid w:val="75E47BB8"/>
    <w:rsid w:val="75E8731F"/>
    <w:rsid w:val="76576B7D"/>
    <w:rsid w:val="76D000CB"/>
    <w:rsid w:val="776A57A7"/>
    <w:rsid w:val="77901A29"/>
    <w:rsid w:val="77E45E81"/>
    <w:rsid w:val="795866DB"/>
    <w:rsid w:val="79957CFC"/>
    <w:rsid w:val="7999622F"/>
    <w:rsid w:val="79E03237"/>
    <w:rsid w:val="7A860F9E"/>
    <w:rsid w:val="7A8B2004"/>
    <w:rsid w:val="7A955356"/>
    <w:rsid w:val="7AEE18B9"/>
    <w:rsid w:val="7B60638F"/>
    <w:rsid w:val="7BC011C9"/>
    <w:rsid w:val="7BCB6B73"/>
    <w:rsid w:val="7D311E6E"/>
    <w:rsid w:val="7D5B554F"/>
    <w:rsid w:val="7D61021E"/>
    <w:rsid w:val="7DAD571A"/>
    <w:rsid w:val="7E0D16FC"/>
    <w:rsid w:val="7E3477C9"/>
    <w:rsid w:val="7E3A2AA5"/>
    <w:rsid w:val="7E7D36B4"/>
    <w:rsid w:val="7F32779D"/>
    <w:rsid w:val="7F8873D6"/>
    <w:rsid w:val="7FBA6632"/>
    <w:rsid w:val="7FD74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rPr>
      <w:rFonts w:ascii="Times New Roman" w:hAnsi="Times New Roman"/>
      <w:szCs w:val="24"/>
      <w:lang w:val="zh-CN"/>
    </w:rPr>
  </w:style>
  <w:style w:type="paragraph" w:styleId="4">
    <w:name w:val="annotation text"/>
    <w:basedOn w:val="1"/>
    <w:link w:val="17"/>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7">
    <w:name w:val="footnote text"/>
    <w:basedOn w:val="1"/>
    <w:qFormat/>
    <w:uiPriority w:val="0"/>
    <w:pPr>
      <w:snapToGrid w:val="0"/>
      <w:jc w:val="left"/>
    </w:pPr>
    <w:rPr>
      <w:sz w:val="18"/>
    </w:rPr>
  </w:style>
  <w:style w:type="paragraph" w:styleId="8">
    <w:name w:val="Normal (Web)"/>
    <w:basedOn w:val="1"/>
    <w:qFormat/>
    <w:uiPriority w:val="0"/>
    <w:pPr>
      <w:spacing w:before="100" w:beforeAutospacing="1" w:after="100" w:afterAutospacing="1"/>
      <w:jc w:val="left"/>
    </w:pPr>
    <w:rPr>
      <w:kern w:val="0"/>
      <w:sz w:val="24"/>
    </w:rPr>
  </w:style>
  <w:style w:type="paragraph" w:styleId="9">
    <w:name w:val="annotation subject"/>
    <w:basedOn w:val="4"/>
    <w:next w:val="4"/>
    <w:link w:val="18"/>
    <w:qFormat/>
    <w:uiPriority w:val="0"/>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annotation reference"/>
    <w:basedOn w:val="12"/>
    <w:qFormat/>
    <w:uiPriority w:val="0"/>
    <w:rPr>
      <w:sz w:val="21"/>
      <w:szCs w:val="21"/>
    </w:rPr>
  </w:style>
  <w:style w:type="character" w:styleId="14">
    <w:name w:val="footnote reference"/>
    <w:basedOn w:val="12"/>
    <w:qFormat/>
    <w:uiPriority w:val="0"/>
    <w:rPr>
      <w:vertAlign w:val="superscript"/>
    </w:rPr>
  </w:style>
  <w:style w:type="paragraph" w:customStyle="1" w:styleId="15">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6">
    <w:name w:val="Revision"/>
    <w:hidden/>
    <w:semiHidden/>
    <w:qFormat/>
    <w:uiPriority w:val="99"/>
    <w:rPr>
      <w:rFonts w:ascii="Calibri" w:hAnsi="Calibri" w:eastAsia="宋体" w:cs="Times New Roman"/>
      <w:kern w:val="2"/>
      <w:sz w:val="21"/>
      <w:lang w:val="en-US" w:eastAsia="zh-CN" w:bidi="ar-SA"/>
    </w:rPr>
  </w:style>
  <w:style w:type="character" w:customStyle="1" w:styleId="17">
    <w:name w:val="批注文字 字符"/>
    <w:basedOn w:val="12"/>
    <w:link w:val="4"/>
    <w:qFormat/>
    <w:uiPriority w:val="0"/>
    <w:rPr>
      <w:rFonts w:ascii="Calibri" w:hAnsi="Calibri"/>
      <w:kern w:val="2"/>
      <w:sz w:val="21"/>
    </w:rPr>
  </w:style>
  <w:style w:type="character" w:customStyle="1" w:styleId="18">
    <w:name w:val="批注主题 字符"/>
    <w:basedOn w:val="17"/>
    <w:link w:val="9"/>
    <w:qFormat/>
    <w:uiPriority w:val="0"/>
    <w:rPr>
      <w:rFonts w:ascii="Calibri" w:hAnsi="Calibri"/>
      <w:b/>
      <w:bCs/>
      <w:kern w:val="2"/>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23510</Words>
  <Characters>24399</Characters>
  <Lines>178</Lines>
  <Paragraphs>50</Paragraphs>
  <TotalTime>1</TotalTime>
  <ScaleCrop>false</ScaleCrop>
  <LinksUpToDate>false</LinksUpToDate>
  <CharactersWithSpaces>25010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gcb</dc:creator>
  <cp:lastModifiedBy>ZQ</cp:lastModifiedBy>
  <cp:lastPrinted>2020-08-19T03:48:00Z</cp:lastPrinted>
  <dcterms:modified xsi:type="dcterms:W3CDTF">2022-10-20T11:13:52Z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4D6BCD7FFE894D77855942050BC4147D</vt:lpwstr>
  </property>
</Properties>
</file>