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sz w:val="28"/>
          <w:szCs w:val="28"/>
        </w:rPr>
      </w:pPr>
    </w:p>
    <w:p>
      <w:pPr>
        <w:jc w:val="center"/>
        <w:rPr>
          <w:rFonts w:ascii="仿宋" w:hAnsi="仿宋" w:eastAsia="仿宋" w:cs="仿宋"/>
          <w:sz w:val="28"/>
          <w:szCs w:val="28"/>
        </w:rPr>
      </w:pPr>
    </w:p>
    <w:p>
      <w:pPr>
        <w:jc w:val="center"/>
        <w:rPr>
          <w:rFonts w:ascii="仿宋" w:hAnsi="仿宋" w:eastAsia="仿宋" w:cs="仿宋"/>
          <w:sz w:val="28"/>
          <w:szCs w:val="28"/>
        </w:rPr>
      </w:pPr>
      <w:r>
        <w:rPr>
          <w:rFonts w:hint="eastAsia" w:ascii="仿宋" w:hAnsi="仿宋" w:eastAsia="仿宋" w:cs="仿宋"/>
          <w:sz w:val="28"/>
          <w:szCs w:val="28"/>
        </w:rPr>
        <w:drawing>
          <wp:inline distT="0" distB="0" distL="114300" distR="114300">
            <wp:extent cx="2908935" cy="857885"/>
            <wp:effectExtent l="0" t="0" r="5715" b="18415"/>
            <wp:docPr id="3" name="图片 3" descr="16087097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08709771(1)"/>
                    <pic:cNvPicPr>
                      <a:picLocks noChangeAspect="1"/>
                    </pic:cNvPicPr>
                  </pic:nvPicPr>
                  <pic:blipFill>
                    <a:blip r:embed="rId8"/>
                    <a:stretch>
                      <a:fillRect/>
                    </a:stretch>
                  </pic:blipFill>
                  <pic:spPr>
                    <a:xfrm>
                      <a:off x="0" y="0"/>
                      <a:ext cx="2908935" cy="857885"/>
                    </a:xfrm>
                    <a:prstGeom prst="rect">
                      <a:avLst/>
                    </a:prstGeom>
                  </pic:spPr>
                </pic:pic>
              </a:graphicData>
            </a:graphic>
          </wp:inline>
        </w:drawing>
      </w:r>
    </w:p>
    <w:p>
      <w:pPr>
        <w:jc w:val="center"/>
        <w:rPr>
          <w:rFonts w:ascii="仿宋" w:hAnsi="仿宋" w:eastAsia="仿宋" w:cs="仿宋"/>
          <w:sz w:val="28"/>
          <w:szCs w:val="28"/>
        </w:rPr>
      </w:pPr>
    </w:p>
    <w:p>
      <w:pPr>
        <w:jc w:val="center"/>
        <w:rPr>
          <w:rFonts w:ascii="仿宋" w:hAnsi="仿宋" w:eastAsia="仿宋" w:cs="仿宋"/>
          <w:sz w:val="28"/>
          <w:szCs w:val="28"/>
        </w:rPr>
      </w:pPr>
    </w:p>
    <w:p>
      <w:pPr>
        <w:pStyle w:val="3"/>
        <w:jc w:val="center"/>
        <w:rPr>
          <w:rFonts w:ascii="黑体" w:hAnsi="黑体" w:eastAsia="黑体" w:cs="黑体"/>
          <w:szCs w:val="44"/>
        </w:rPr>
      </w:pPr>
      <w:r>
        <w:rPr>
          <w:rFonts w:hint="eastAsia" w:ascii="黑体" w:hAnsi="黑体" w:eastAsia="黑体" w:cs="黑体"/>
          <w:szCs w:val="44"/>
        </w:rPr>
        <w:t>厦门银行股份有限公司</w:t>
      </w:r>
    </w:p>
    <w:p>
      <w:pPr>
        <w:pStyle w:val="3"/>
        <w:jc w:val="center"/>
        <w:rPr>
          <w:rFonts w:ascii="黑体" w:hAnsi="黑体" w:eastAsia="黑体" w:cs="黑体"/>
          <w:szCs w:val="44"/>
        </w:rPr>
      </w:pPr>
      <w:r>
        <w:rPr>
          <w:rFonts w:hint="eastAsia" w:ascii="黑体" w:hAnsi="黑体" w:eastAsia="黑体" w:cs="黑体"/>
          <w:szCs w:val="44"/>
          <w:lang w:eastAsia="zh-CN"/>
        </w:rPr>
        <w:t>2021年度股东大会</w:t>
      </w:r>
      <w:r>
        <w:rPr>
          <w:rFonts w:hint="eastAsia" w:ascii="黑体" w:hAnsi="黑体" w:eastAsia="黑体" w:cs="黑体"/>
          <w:szCs w:val="44"/>
        </w:rPr>
        <w:t>会议材料</w:t>
      </w:r>
    </w:p>
    <w:p>
      <w:pPr>
        <w:jc w:val="center"/>
        <w:rPr>
          <w:rFonts w:ascii="黑体" w:hAnsi="黑体" w:eastAsia="黑体" w:cs="黑体"/>
          <w:sz w:val="28"/>
          <w:szCs w:val="28"/>
        </w:rPr>
      </w:pPr>
      <w:r>
        <w:rPr>
          <w:rFonts w:hint="eastAsia" w:ascii="黑体" w:hAnsi="黑体" w:eastAsia="黑体" w:cs="黑体"/>
          <w:sz w:val="28"/>
          <w:szCs w:val="28"/>
        </w:rPr>
        <w:t>（股票代码：601187）</w:t>
      </w:r>
    </w:p>
    <w:p>
      <w:pPr>
        <w:jc w:val="center"/>
        <w:rPr>
          <w:rFonts w:ascii="黑体" w:hAnsi="黑体" w:eastAsia="黑体" w:cs="黑体"/>
          <w:sz w:val="28"/>
          <w:szCs w:val="28"/>
        </w:rPr>
      </w:pPr>
    </w:p>
    <w:p>
      <w:pPr>
        <w:jc w:val="center"/>
        <w:rPr>
          <w:rFonts w:ascii="黑体" w:hAnsi="黑体" w:eastAsia="黑体" w:cs="黑体"/>
          <w:sz w:val="28"/>
          <w:szCs w:val="28"/>
        </w:rPr>
      </w:pPr>
    </w:p>
    <w:p>
      <w:pPr>
        <w:jc w:val="center"/>
        <w:rPr>
          <w:rFonts w:ascii="黑体" w:hAnsi="黑体" w:eastAsia="黑体" w:cs="黑体"/>
          <w:sz w:val="28"/>
          <w:szCs w:val="28"/>
        </w:rPr>
      </w:pPr>
    </w:p>
    <w:p>
      <w:pPr>
        <w:jc w:val="center"/>
        <w:rPr>
          <w:rFonts w:ascii="黑体" w:hAnsi="黑体" w:eastAsia="黑体" w:cs="黑体"/>
          <w:sz w:val="28"/>
          <w:szCs w:val="28"/>
        </w:rPr>
      </w:pPr>
    </w:p>
    <w:p>
      <w:pPr>
        <w:jc w:val="center"/>
        <w:rPr>
          <w:rFonts w:ascii="黑体" w:hAnsi="黑体" w:eastAsia="黑体" w:cs="黑体"/>
          <w:sz w:val="28"/>
          <w:szCs w:val="28"/>
        </w:rPr>
      </w:pPr>
      <w:r>
        <w:rPr>
          <w:rFonts w:hint="eastAsia" w:ascii="黑体" w:hAnsi="黑体" w:eastAsia="黑体" w:cs="黑体"/>
          <w:sz w:val="28"/>
          <w:szCs w:val="28"/>
        </w:rPr>
        <w:t>中国·厦门</w:t>
      </w:r>
    </w:p>
    <w:p>
      <w:pPr>
        <w:jc w:val="center"/>
        <w:rPr>
          <w:rFonts w:ascii="黑体" w:hAnsi="黑体" w:eastAsia="黑体" w:cs="黑体"/>
          <w:sz w:val="28"/>
          <w:szCs w:val="28"/>
        </w:rPr>
      </w:pPr>
    </w:p>
    <w:p>
      <w:pPr>
        <w:jc w:val="center"/>
        <w:rPr>
          <w:rFonts w:ascii="黑体" w:hAnsi="黑体" w:eastAsia="黑体" w:cs="黑体"/>
          <w:sz w:val="28"/>
          <w:szCs w:val="28"/>
        </w:rPr>
      </w:pPr>
    </w:p>
    <w:p>
      <w:pPr>
        <w:jc w:val="center"/>
        <w:rPr>
          <w:rFonts w:ascii="黑体" w:hAnsi="黑体" w:eastAsia="黑体" w:cs="黑体"/>
          <w:sz w:val="28"/>
          <w:szCs w:val="28"/>
        </w:rPr>
      </w:pPr>
      <w:r>
        <w:rPr>
          <w:rFonts w:hint="eastAsia" w:ascii="黑体" w:hAnsi="黑体" w:eastAsia="黑体" w:cs="黑体"/>
          <w:sz w:val="28"/>
          <w:szCs w:val="28"/>
        </w:rPr>
        <w:t>202</w:t>
      </w:r>
      <w:r>
        <w:rPr>
          <w:rFonts w:hint="eastAsia" w:ascii="黑体" w:hAnsi="黑体" w:eastAsia="黑体" w:cs="黑体"/>
          <w:sz w:val="28"/>
          <w:szCs w:val="28"/>
          <w:lang w:val="en-US" w:eastAsia="zh-CN"/>
        </w:rPr>
        <w:t>2</w:t>
      </w:r>
      <w:r>
        <w:rPr>
          <w:rFonts w:hint="eastAsia" w:ascii="黑体" w:hAnsi="黑体" w:eastAsia="黑体" w:cs="黑体"/>
          <w:sz w:val="28"/>
          <w:szCs w:val="28"/>
        </w:rPr>
        <w:t>年</w:t>
      </w:r>
      <w:r>
        <w:rPr>
          <w:rFonts w:hint="eastAsia" w:ascii="黑体" w:hAnsi="黑体" w:eastAsia="黑体" w:cs="黑体"/>
          <w:sz w:val="28"/>
          <w:szCs w:val="28"/>
          <w:lang w:val="en-US" w:eastAsia="zh-CN"/>
        </w:rPr>
        <w:t>6</w:t>
      </w:r>
      <w:r>
        <w:rPr>
          <w:rFonts w:hint="eastAsia" w:ascii="黑体" w:hAnsi="黑体" w:eastAsia="黑体" w:cs="黑体"/>
          <w:sz w:val="28"/>
          <w:szCs w:val="28"/>
        </w:rPr>
        <w:t>月</w:t>
      </w:r>
      <w:r>
        <w:rPr>
          <w:rFonts w:hint="eastAsia" w:ascii="黑体" w:hAnsi="黑体" w:eastAsia="黑体" w:cs="黑体"/>
          <w:sz w:val="28"/>
          <w:szCs w:val="28"/>
          <w:lang w:val="en-US" w:eastAsia="zh-CN"/>
        </w:rPr>
        <w:t>2</w:t>
      </w:r>
      <w:r>
        <w:rPr>
          <w:rFonts w:hint="eastAsia" w:ascii="黑体" w:hAnsi="黑体" w:eastAsia="黑体" w:cs="黑体"/>
          <w:sz w:val="28"/>
          <w:szCs w:val="28"/>
        </w:rPr>
        <w:t>日</w:t>
      </w:r>
    </w:p>
    <w:p>
      <w:r>
        <w:rPr>
          <w:rFonts w:hint="eastAsia"/>
        </w:rPr>
        <w:br w:type="page"/>
      </w:r>
    </w:p>
    <w:p>
      <w:pPr>
        <w:jc w:val="center"/>
        <w:rPr>
          <w:rFonts w:ascii="仿宋" w:hAnsi="仿宋" w:eastAsia="仿宋" w:cs="仿宋"/>
          <w:b/>
          <w:bCs/>
          <w:sz w:val="30"/>
          <w:szCs w:val="30"/>
        </w:rPr>
      </w:pPr>
      <w:bookmarkStart w:id="0" w:name="_Toc18955_WPSOffice_Type1"/>
      <w:r>
        <w:rPr>
          <w:rFonts w:hint="eastAsia" w:ascii="仿宋" w:hAnsi="仿宋" w:eastAsia="仿宋" w:cs="仿宋"/>
          <w:b/>
          <w:bCs/>
          <w:sz w:val="30"/>
          <w:szCs w:val="30"/>
        </w:rPr>
        <w:t>文件目录</w:t>
      </w:r>
    </w:p>
    <w:p>
      <w:pPr>
        <w:pStyle w:val="22"/>
        <w:tabs>
          <w:tab w:val="right" w:leader="dot" w:pos="8306"/>
        </w:tabs>
        <w:rPr>
          <w:rFonts w:ascii="仿宋" w:hAnsi="仿宋" w:eastAsia="仿宋" w:cs="仿宋"/>
          <w:sz w:val="30"/>
          <w:szCs w:val="30"/>
        </w:rPr>
      </w:pPr>
      <w:r>
        <w:fldChar w:fldCharType="begin"/>
      </w:r>
      <w:r>
        <w:instrText xml:space="preserve"> HYPERLINK \l "_Toc12240_WPSOffice_Level1" </w:instrText>
      </w:r>
      <w:r>
        <w:fldChar w:fldCharType="separate"/>
      </w:r>
      <w:sdt>
        <w:sdtPr>
          <w:rPr>
            <w:rFonts w:hint="eastAsia" w:ascii="仿宋" w:hAnsi="仿宋" w:eastAsia="仿宋" w:cs="仿宋"/>
            <w:b/>
            <w:bCs/>
            <w:kern w:val="2"/>
            <w:sz w:val="30"/>
            <w:szCs w:val="30"/>
          </w:rPr>
          <w:id w:val="147476657"/>
          <w:placeholder>
            <w:docPart w:val="{428cafbf-0c45-44b5-9482-a0c71a6f12fd}"/>
          </w:placeholder>
        </w:sdtPr>
        <w:sdtEndPr>
          <w:rPr>
            <w:rFonts w:hint="eastAsia" w:ascii="仿宋" w:hAnsi="仿宋" w:eastAsia="仿宋" w:cs="仿宋"/>
            <w:b/>
            <w:bCs/>
            <w:kern w:val="2"/>
            <w:sz w:val="30"/>
            <w:szCs w:val="30"/>
          </w:rPr>
        </w:sdtEndPr>
        <w:sdtContent>
          <w:r>
            <w:rPr>
              <w:rFonts w:hint="eastAsia" w:ascii="仿宋" w:hAnsi="仿宋" w:eastAsia="仿宋" w:cs="仿宋"/>
              <w:b/>
              <w:bCs/>
              <w:sz w:val="30"/>
              <w:szCs w:val="30"/>
            </w:rPr>
            <w:t>会议议程</w:t>
          </w:r>
        </w:sdtContent>
      </w:sdt>
      <w:r>
        <w:rPr>
          <w:rFonts w:hint="eastAsia" w:ascii="仿宋" w:hAnsi="仿宋" w:eastAsia="仿宋" w:cs="仿宋"/>
          <w:sz w:val="30"/>
          <w:szCs w:val="30"/>
        </w:rPr>
        <w:tab/>
      </w:r>
      <w:r>
        <w:rPr>
          <w:rFonts w:hint="eastAsia" w:ascii="仿宋" w:hAnsi="仿宋" w:eastAsia="仿宋" w:cs="仿宋"/>
          <w:sz w:val="30"/>
          <w:szCs w:val="30"/>
        </w:rPr>
        <w:t>3</w:t>
      </w:r>
      <w:r>
        <w:rPr>
          <w:rFonts w:hint="eastAsia" w:ascii="仿宋" w:hAnsi="仿宋" w:eastAsia="仿宋" w:cs="仿宋"/>
          <w:sz w:val="30"/>
          <w:szCs w:val="30"/>
        </w:rPr>
        <w:fldChar w:fldCharType="end"/>
      </w:r>
    </w:p>
    <w:p>
      <w:pPr>
        <w:pStyle w:val="22"/>
        <w:tabs>
          <w:tab w:val="right" w:leader="dot" w:pos="8306"/>
        </w:tabs>
        <w:rPr>
          <w:rFonts w:ascii="仿宋" w:hAnsi="仿宋" w:eastAsia="仿宋" w:cs="仿宋"/>
          <w:sz w:val="30"/>
          <w:szCs w:val="30"/>
        </w:rPr>
      </w:pPr>
      <w:r>
        <w:fldChar w:fldCharType="begin"/>
      </w:r>
      <w:r>
        <w:instrText xml:space="preserve"> HYPERLINK \l "_Toc18955_WPSOffice_Level1" </w:instrText>
      </w:r>
      <w:r>
        <w:fldChar w:fldCharType="separate"/>
      </w:r>
      <w:sdt>
        <w:sdtPr>
          <w:rPr>
            <w:rFonts w:hint="eastAsia" w:ascii="仿宋" w:hAnsi="仿宋" w:eastAsia="仿宋" w:cs="仿宋"/>
            <w:b/>
            <w:bCs/>
            <w:kern w:val="2"/>
            <w:sz w:val="30"/>
            <w:szCs w:val="30"/>
          </w:rPr>
          <w:id w:val="-451082672"/>
          <w:placeholder>
            <w:docPart w:val="{3390bca2-9f08-4b9e-b0f7-e9dea686b0f4}"/>
          </w:placeholder>
        </w:sdtPr>
        <w:sdtEndPr>
          <w:rPr>
            <w:rFonts w:hint="eastAsia" w:ascii="仿宋" w:hAnsi="仿宋" w:eastAsia="仿宋" w:cs="仿宋"/>
            <w:b/>
            <w:bCs/>
            <w:kern w:val="2"/>
            <w:sz w:val="30"/>
            <w:szCs w:val="30"/>
          </w:rPr>
        </w:sdtEndPr>
        <w:sdtContent>
          <w:r>
            <w:rPr>
              <w:rFonts w:hint="eastAsia" w:ascii="仿宋" w:hAnsi="仿宋" w:eastAsia="仿宋" w:cs="仿宋"/>
              <w:b/>
              <w:bCs/>
              <w:sz w:val="30"/>
              <w:szCs w:val="30"/>
            </w:rPr>
            <w:t>会议须知</w:t>
          </w:r>
        </w:sdtContent>
      </w:sdt>
      <w:r>
        <w:rPr>
          <w:rFonts w:hint="eastAsia" w:ascii="仿宋" w:hAnsi="仿宋" w:eastAsia="仿宋" w:cs="仿宋"/>
          <w:sz w:val="30"/>
          <w:szCs w:val="30"/>
        </w:rPr>
        <w:tab/>
      </w:r>
      <w:r>
        <w:rPr>
          <w:rFonts w:hint="eastAsia" w:ascii="仿宋" w:hAnsi="仿宋" w:eastAsia="仿宋" w:cs="仿宋"/>
          <w:sz w:val="30"/>
          <w:szCs w:val="30"/>
        </w:rPr>
        <w:t>4</w:t>
      </w:r>
      <w:r>
        <w:rPr>
          <w:rFonts w:hint="eastAsia" w:ascii="仿宋" w:hAnsi="仿宋" w:eastAsia="仿宋" w:cs="仿宋"/>
          <w:sz w:val="30"/>
          <w:szCs w:val="30"/>
        </w:rPr>
        <w:fldChar w:fldCharType="end"/>
      </w:r>
    </w:p>
    <w:p>
      <w:pPr>
        <w:pStyle w:val="22"/>
        <w:tabs>
          <w:tab w:val="right" w:leader="dot" w:pos="8306"/>
        </w:tabs>
        <w:rPr>
          <w:rFonts w:hint="eastAsia" w:ascii="仿宋" w:hAnsi="仿宋" w:eastAsia="仿宋" w:cs="仿宋"/>
          <w:sz w:val="30"/>
          <w:szCs w:val="30"/>
          <w:lang w:eastAsia="zh-CN"/>
        </w:rPr>
      </w:pPr>
      <w:r>
        <w:fldChar w:fldCharType="begin"/>
      </w:r>
      <w:r>
        <w:instrText xml:space="preserve"> HYPERLINK \l "_Toc22893_WPSOffice_Level1" </w:instrText>
      </w:r>
      <w:r>
        <w:fldChar w:fldCharType="separate"/>
      </w:r>
      <w:sdt>
        <w:sdtPr>
          <w:rPr>
            <w:rFonts w:hint="eastAsia" w:ascii="仿宋" w:hAnsi="仿宋" w:eastAsia="仿宋" w:cs="仿宋"/>
            <w:b/>
            <w:bCs/>
            <w:kern w:val="2"/>
            <w:sz w:val="30"/>
            <w:szCs w:val="30"/>
          </w:rPr>
          <w:id w:val="-2071637978"/>
          <w:placeholder>
            <w:docPart w:val="{9649a124-272f-4fa2-8e5e-7b16b071e390}"/>
          </w:placeholder>
        </w:sdtPr>
        <w:sdtEndPr>
          <w:rPr>
            <w:rFonts w:hint="eastAsia" w:ascii="仿宋" w:hAnsi="仿宋" w:eastAsia="仿宋" w:cs="仿宋"/>
            <w:b/>
            <w:bCs/>
            <w:kern w:val="2"/>
            <w:sz w:val="30"/>
            <w:szCs w:val="30"/>
          </w:rPr>
        </w:sdtEndPr>
        <w:sdtContent>
          <w:r>
            <w:rPr>
              <w:rFonts w:hint="eastAsia" w:ascii="仿宋" w:hAnsi="仿宋" w:eastAsia="仿宋" w:cs="仿宋"/>
              <w:b/>
              <w:bCs/>
              <w:kern w:val="2"/>
              <w:sz w:val="30"/>
              <w:szCs w:val="30"/>
            </w:rPr>
            <w:t>议案1</w:t>
          </w:r>
          <w:r>
            <w:rPr>
              <w:rFonts w:hint="eastAsia" w:ascii="仿宋" w:hAnsi="仿宋" w:eastAsia="仿宋" w:cs="仿宋"/>
              <w:kern w:val="2"/>
              <w:sz w:val="30"/>
              <w:szCs w:val="30"/>
            </w:rPr>
            <w:t xml:space="preserve"> </w:t>
          </w:r>
          <w:r>
            <w:rPr>
              <w:rFonts w:hint="eastAsia" w:ascii="仿宋" w:hAnsi="仿宋" w:eastAsia="仿宋" w:cs="仿宋"/>
              <w:sz w:val="30"/>
              <w:szCs w:val="30"/>
            </w:rPr>
            <w:t>厦门银行股份有限公司关于2021年度财务决算报告的议案</w:t>
          </w:r>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7</w:t>
      </w:r>
    </w:p>
    <w:p>
      <w:pPr>
        <w:pStyle w:val="22"/>
        <w:tabs>
          <w:tab w:val="right" w:leader="dot" w:pos="8306"/>
        </w:tabs>
        <w:rPr>
          <w:rFonts w:hint="eastAsia" w:ascii="仿宋" w:hAnsi="仿宋" w:eastAsia="仿宋" w:cs="仿宋"/>
          <w:sz w:val="30"/>
          <w:szCs w:val="30"/>
          <w:lang w:val="en-US" w:eastAsia="zh-CN"/>
        </w:rPr>
      </w:pPr>
      <w:r>
        <w:fldChar w:fldCharType="begin"/>
      </w:r>
      <w:r>
        <w:instrText xml:space="preserve"> HYPERLINK \l "_Toc24086_WPSOffice_Level1" </w:instrText>
      </w:r>
      <w:r>
        <w:fldChar w:fldCharType="separate"/>
      </w:r>
      <w:sdt>
        <w:sdtPr>
          <w:rPr>
            <w:rFonts w:hint="eastAsia" w:ascii="仿宋" w:hAnsi="仿宋" w:eastAsia="仿宋" w:cs="仿宋"/>
            <w:kern w:val="2"/>
            <w:sz w:val="30"/>
            <w:szCs w:val="30"/>
          </w:rPr>
          <w:id w:val="337052657"/>
          <w:placeholder>
            <w:docPart w:val="{3103aea9-14b4-441b-ad48-d2ce8aadb0ac}"/>
          </w:placeholder>
        </w:sdtPr>
        <w:sdtEndPr>
          <w:rPr>
            <w:rFonts w:hint="eastAsia" w:ascii="仿宋" w:hAnsi="仿宋" w:eastAsia="仿宋" w:cs="仿宋"/>
            <w:kern w:val="2"/>
            <w:sz w:val="30"/>
            <w:szCs w:val="30"/>
          </w:rPr>
        </w:sdtEndPr>
        <w:sdtContent>
          <w:r>
            <w:rPr>
              <w:rFonts w:hint="eastAsia" w:ascii="仿宋" w:hAnsi="仿宋" w:eastAsia="仿宋" w:cs="仿宋"/>
              <w:b/>
              <w:bCs/>
              <w:kern w:val="2"/>
              <w:sz w:val="30"/>
              <w:szCs w:val="30"/>
            </w:rPr>
            <w:t>议案2</w:t>
          </w:r>
          <w:r>
            <w:rPr>
              <w:rFonts w:hint="eastAsia" w:ascii="仿宋" w:hAnsi="仿宋" w:eastAsia="仿宋" w:cs="仿宋"/>
              <w:kern w:val="2"/>
              <w:sz w:val="30"/>
              <w:szCs w:val="30"/>
            </w:rPr>
            <w:t xml:space="preserve"> </w:t>
          </w:r>
          <w:r>
            <w:rPr>
              <w:rFonts w:hint="eastAsia" w:ascii="仿宋" w:hAnsi="仿宋" w:eastAsia="仿宋" w:cs="仿宋"/>
              <w:sz w:val="30"/>
              <w:szCs w:val="30"/>
            </w:rPr>
            <w:t>厦门银行股份有限公司关于2021年度利润分配方案的议案</w:t>
          </w:r>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10</w:t>
      </w:r>
    </w:p>
    <w:p>
      <w:pPr>
        <w:pStyle w:val="22"/>
        <w:tabs>
          <w:tab w:val="right" w:leader="dot" w:pos="8306"/>
        </w:tabs>
        <w:rPr>
          <w:rFonts w:hint="default" w:ascii="仿宋" w:hAnsi="仿宋" w:eastAsia="仿宋" w:cs="仿宋"/>
          <w:sz w:val="30"/>
          <w:szCs w:val="30"/>
          <w:lang w:val="en-US" w:eastAsia="zh-CN"/>
        </w:rPr>
      </w:pPr>
      <w:r>
        <w:fldChar w:fldCharType="begin"/>
      </w:r>
      <w:r>
        <w:instrText xml:space="preserve"> HYPERLINK \l "_Toc28231_WPSOffice_Level1" </w:instrText>
      </w:r>
      <w:r>
        <w:fldChar w:fldCharType="separate"/>
      </w:r>
      <w:sdt>
        <w:sdtPr>
          <w:rPr>
            <w:rFonts w:hint="eastAsia" w:ascii="仿宋" w:hAnsi="仿宋" w:eastAsia="仿宋" w:cs="仿宋"/>
            <w:b/>
            <w:bCs/>
            <w:kern w:val="2"/>
            <w:sz w:val="30"/>
            <w:szCs w:val="30"/>
          </w:rPr>
          <w:id w:val="1986892254"/>
          <w:placeholder>
            <w:docPart w:val="{8628c024-a370-4ff2-a2c8-c02efeb9c6dd}"/>
          </w:placeholder>
        </w:sdtPr>
        <w:sdtEndPr>
          <w:rPr>
            <w:rFonts w:hint="eastAsia" w:ascii="仿宋" w:hAnsi="仿宋" w:eastAsia="仿宋" w:cs="仿宋"/>
            <w:b/>
            <w:bCs/>
            <w:kern w:val="2"/>
            <w:sz w:val="30"/>
            <w:szCs w:val="30"/>
          </w:rPr>
        </w:sdtEndPr>
        <w:sdtContent>
          <w:sdt>
            <w:sdtPr>
              <w:rPr>
                <w:rFonts w:hint="eastAsia" w:ascii="仿宋" w:hAnsi="仿宋" w:eastAsia="仿宋" w:cs="仿宋"/>
                <w:b/>
                <w:bCs/>
                <w:kern w:val="2"/>
                <w:sz w:val="30"/>
                <w:szCs w:val="30"/>
              </w:rPr>
              <w:id w:val="-1950309573"/>
              <w:placeholder>
                <w:docPart w:val="{d80bb59c-4ca3-44dd-ac11-77ca711d4dbb}"/>
              </w:placeholder>
            </w:sdtPr>
            <w:sdtEndPr>
              <w:rPr>
                <w:rFonts w:hint="eastAsia" w:ascii="仿宋" w:hAnsi="仿宋" w:eastAsia="仿宋" w:cs="仿宋"/>
                <w:b/>
                <w:bCs/>
                <w:kern w:val="2"/>
                <w:sz w:val="30"/>
                <w:szCs w:val="30"/>
              </w:rPr>
            </w:sdtEndPr>
            <w:sdtContent>
              <w:r>
                <w:rPr>
                  <w:rFonts w:hint="eastAsia" w:ascii="仿宋" w:hAnsi="仿宋" w:eastAsia="仿宋" w:cs="仿宋"/>
                  <w:b/>
                  <w:bCs/>
                  <w:kern w:val="2"/>
                  <w:sz w:val="30"/>
                  <w:szCs w:val="30"/>
                </w:rPr>
                <w:t>议案3</w:t>
              </w:r>
              <w:r>
                <w:rPr>
                  <w:rFonts w:hint="eastAsia" w:ascii="仿宋" w:hAnsi="仿宋" w:eastAsia="仿宋" w:cs="仿宋"/>
                  <w:kern w:val="2"/>
                  <w:sz w:val="30"/>
                  <w:szCs w:val="30"/>
                </w:rPr>
                <w:t xml:space="preserve"> </w:t>
              </w:r>
              <w:r>
                <w:rPr>
                  <w:rFonts w:hint="eastAsia" w:ascii="仿宋" w:hAnsi="仿宋" w:eastAsia="仿宋" w:cs="仿宋"/>
                  <w:sz w:val="30"/>
                  <w:szCs w:val="30"/>
                </w:rPr>
                <w:t>厦门银行股份有限公司关于2021年度董事会工作报告的议案</w:t>
              </w:r>
            </w:sdtContent>
          </w:sdt>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11</w:t>
      </w:r>
    </w:p>
    <w:p>
      <w:pPr>
        <w:pStyle w:val="22"/>
        <w:tabs>
          <w:tab w:val="right" w:leader="dot" w:pos="8306"/>
        </w:tabs>
        <w:rPr>
          <w:rFonts w:hint="eastAsia" w:ascii="仿宋" w:hAnsi="仿宋" w:eastAsia="仿宋" w:cs="仿宋"/>
          <w:sz w:val="30"/>
          <w:szCs w:val="30"/>
          <w:lang w:val="en-US" w:eastAsia="zh-CN"/>
        </w:rPr>
      </w:pPr>
      <w:r>
        <w:fldChar w:fldCharType="begin"/>
      </w:r>
      <w:r>
        <w:instrText xml:space="preserve"> HYPERLINK \l "_Toc25166_WPSOffice_Level1" </w:instrText>
      </w:r>
      <w:r>
        <w:fldChar w:fldCharType="separate"/>
      </w:r>
      <w:sdt>
        <w:sdtPr>
          <w:rPr>
            <w:rFonts w:hint="eastAsia" w:ascii="仿宋" w:hAnsi="仿宋" w:eastAsia="仿宋" w:cs="仿宋"/>
            <w:kern w:val="2"/>
            <w:sz w:val="30"/>
            <w:szCs w:val="30"/>
          </w:rPr>
          <w:id w:val="1314526572"/>
          <w:placeholder>
            <w:docPart w:val="{0321a32d-d2fb-4311-844d-a736ca41f652}"/>
          </w:placeholder>
        </w:sdtPr>
        <w:sdtEndPr>
          <w:rPr>
            <w:rFonts w:hint="eastAsia" w:ascii="仿宋" w:hAnsi="仿宋" w:eastAsia="仿宋" w:cs="仿宋"/>
            <w:kern w:val="2"/>
            <w:sz w:val="30"/>
            <w:szCs w:val="30"/>
          </w:rPr>
        </w:sdtEndPr>
        <w:sdtContent>
          <w:r>
            <w:rPr>
              <w:rFonts w:hint="eastAsia" w:ascii="仿宋" w:hAnsi="仿宋" w:eastAsia="仿宋" w:cs="仿宋"/>
              <w:b/>
              <w:bCs/>
              <w:kern w:val="2"/>
              <w:sz w:val="30"/>
              <w:szCs w:val="30"/>
            </w:rPr>
            <w:t>议案4</w:t>
          </w:r>
          <w:r>
            <w:rPr>
              <w:rFonts w:hint="eastAsia" w:ascii="仿宋" w:hAnsi="仿宋" w:eastAsia="仿宋" w:cs="仿宋"/>
              <w:kern w:val="2"/>
              <w:sz w:val="30"/>
              <w:szCs w:val="30"/>
            </w:rPr>
            <w:t xml:space="preserve"> </w:t>
          </w:r>
          <w:r>
            <w:rPr>
              <w:rFonts w:hint="eastAsia" w:ascii="仿宋" w:hAnsi="仿宋" w:eastAsia="仿宋" w:cs="仿宋"/>
              <w:sz w:val="30"/>
              <w:szCs w:val="30"/>
            </w:rPr>
            <w:t>厦门银行股份有限公司关于2021年度监事会工作报告的议案</w:t>
          </w:r>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19</w:t>
      </w:r>
    </w:p>
    <w:bookmarkEnd w:id="0"/>
    <w:p>
      <w:pPr>
        <w:pStyle w:val="22"/>
        <w:tabs>
          <w:tab w:val="right" w:leader="dot" w:pos="8306"/>
        </w:tabs>
        <w:rPr>
          <w:rFonts w:hint="eastAsia" w:ascii="仿宋" w:hAnsi="仿宋" w:eastAsia="仿宋" w:cs="仿宋"/>
          <w:sz w:val="30"/>
          <w:szCs w:val="30"/>
          <w:lang w:val="en-US" w:eastAsia="zh-CN"/>
        </w:rPr>
      </w:pPr>
      <w:r>
        <w:fldChar w:fldCharType="begin"/>
      </w:r>
      <w:r>
        <w:instrText xml:space="preserve"> HYPERLINK \l "_Toc22893_WPSOffice_Level1" </w:instrText>
      </w:r>
      <w:r>
        <w:fldChar w:fldCharType="separate"/>
      </w:r>
      <w:sdt>
        <w:sdtPr>
          <w:rPr>
            <w:rFonts w:hint="eastAsia" w:ascii="仿宋" w:hAnsi="仿宋" w:eastAsia="仿宋" w:cs="仿宋"/>
            <w:b/>
            <w:bCs/>
            <w:kern w:val="2"/>
            <w:sz w:val="30"/>
            <w:szCs w:val="30"/>
          </w:rPr>
          <w:id w:val="-2071637978"/>
          <w:placeholder>
            <w:docPart w:val="{6f4d0943-4f0e-488c-ac86-b98137e677b0}"/>
          </w:placeholder>
        </w:sdtPr>
        <w:sdtEndPr>
          <w:rPr>
            <w:rFonts w:hint="eastAsia" w:ascii="仿宋" w:hAnsi="仿宋" w:eastAsia="仿宋" w:cs="仿宋"/>
            <w:b/>
            <w:bCs/>
            <w:kern w:val="2"/>
            <w:sz w:val="30"/>
            <w:szCs w:val="30"/>
          </w:rPr>
        </w:sdtEndPr>
        <w:sdtContent>
          <w:r>
            <w:rPr>
              <w:rFonts w:hint="eastAsia" w:ascii="仿宋" w:hAnsi="仿宋" w:eastAsia="仿宋" w:cs="仿宋"/>
              <w:b/>
              <w:bCs/>
              <w:kern w:val="2"/>
              <w:sz w:val="30"/>
              <w:szCs w:val="30"/>
            </w:rPr>
            <w:t>议案</w:t>
          </w:r>
          <w:r>
            <w:rPr>
              <w:rFonts w:hint="eastAsia" w:ascii="仿宋" w:hAnsi="仿宋" w:eastAsia="仿宋" w:cs="仿宋"/>
              <w:b/>
              <w:bCs/>
              <w:kern w:val="2"/>
              <w:sz w:val="30"/>
              <w:szCs w:val="30"/>
              <w:lang w:val="en-US" w:eastAsia="zh-CN"/>
            </w:rPr>
            <w:t>5</w:t>
          </w:r>
          <w:r>
            <w:rPr>
              <w:rFonts w:hint="eastAsia" w:ascii="仿宋" w:hAnsi="仿宋" w:eastAsia="仿宋" w:cs="仿宋"/>
              <w:kern w:val="2"/>
              <w:sz w:val="30"/>
              <w:szCs w:val="30"/>
            </w:rPr>
            <w:t xml:space="preserve"> </w:t>
          </w:r>
          <w:r>
            <w:rPr>
              <w:rFonts w:hint="eastAsia" w:ascii="仿宋" w:hAnsi="仿宋" w:eastAsia="仿宋" w:cs="仿宋"/>
              <w:sz w:val="30"/>
              <w:szCs w:val="30"/>
            </w:rPr>
            <w:t>厦门银行股份有限公司关于2022年度财务预算方案的议案</w:t>
          </w:r>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26</w:t>
      </w:r>
    </w:p>
    <w:p>
      <w:pPr>
        <w:pStyle w:val="22"/>
        <w:tabs>
          <w:tab w:val="right" w:leader="dot" w:pos="8306"/>
        </w:tabs>
        <w:rPr>
          <w:rFonts w:hint="eastAsia" w:ascii="仿宋" w:hAnsi="仿宋" w:eastAsia="仿宋" w:cs="仿宋"/>
          <w:sz w:val="30"/>
          <w:szCs w:val="30"/>
          <w:lang w:val="en-US" w:eastAsia="zh-CN"/>
        </w:rPr>
      </w:pPr>
      <w:r>
        <w:fldChar w:fldCharType="begin"/>
      </w:r>
      <w:r>
        <w:instrText xml:space="preserve"> HYPERLINK \l "_Toc24086_WPSOffice_Level1" </w:instrText>
      </w:r>
      <w:r>
        <w:fldChar w:fldCharType="separate"/>
      </w:r>
      <w:sdt>
        <w:sdtPr>
          <w:rPr>
            <w:rFonts w:hint="eastAsia" w:ascii="仿宋" w:hAnsi="仿宋" w:eastAsia="仿宋" w:cs="仿宋"/>
            <w:kern w:val="2"/>
            <w:sz w:val="30"/>
            <w:szCs w:val="30"/>
          </w:rPr>
          <w:id w:val="337052657"/>
          <w:placeholder>
            <w:docPart w:val="{5223d8cb-fe5e-442e-a733-c428eea4f83b}"/>
          </w:placeholder>
        </w:sdtPr>
        <w:sdtEndPr>
          <w:rPr>
            <w:rFonts w:hint="eastAsia" w:ascii="仿宋" w:hAnsi="仿宋" w:eastAsia="仿宋" w:cs="仿宋"/>
            <w:kern w:val="2"/>
            <w:sz w:val="30"/>
            <w:szCs w:val="30"/>
          </w:rPr>
        </w:sdtEndPr>
        <w:sdtContent>
          <w:r>
            <w:rPr>
              <w:rFonts w:hint="eastAsia" w:ascii="仿宋" w:hAnsi="仿宋" w:eastAsia="仿宋" w:cs="仿宋"/>
              <w:b/>
              <w:bCs/>
              <w:kern w:val="2"/>
              <w:sz w:val="30"/>
              <w:szCs w:val="30"/>
            </w:rPr>
            <w:t>议案</w:t>
          </w:r>
          <w:r>
            <w:rPr>
              <w:rFonts w:hint="eastAsia" w:ascii="仿宋" w:hAnsi="仿宋" w:eastAsia="仿宋" w:cs="仿宋"/>
              <w:b/>
              <w:bCs/>
              <w:kern w:val="2"/>
              <w:sz w:val="30"/>
              <w:szCs w:val="30"/>
              <w:lang w:val="en-US" w:eastAsia="zh-CN"/>
            </w:rPr>
            <w:t>6</w:t>
          </w:r>
          <w:r>
            <w:rPr>
              <w:rFonts w:hint="eastAsia" w:ascii="仿宋" w:hAnsi="仿宋" w:eastAsia="仿宋" w:cs="仿宋"/>
              <w:kern w:val="2"/>
              <w:sz w:val="30"/>
              <w:szCs w:val="30"/>
            </w:rPr>
            <w:t xml:space="preserve"> </w:t>
          </w:r>
          <w:r>
            <w:rPr>
              <w:rFonts w:hint="eastAsia" w:ascii="仿宋" w:hAnsi="仿宋" w:eastAsia="仿宋" w:cs="仿宋"/>
              <w:sz w:val="30"/>
              <w:szCs w:val="30"/>
            </w:rPr>
            <w:t>厦门银行股份有限公司关于2022年度日常关联交易预计额度的议案</w:t>
          </w:r>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28</w:t>
      </w:r>
    </w:p>
    <w:p>
      <w:pPr>
        <w:pStyle w:val="22"/>
        <w:tabs>
          <w:tab w:val="right" w:leader="dot" w:pos="8306"/>
        </w:tabs>
        <w:rPr>
          <w:rFonts w:hint="default" w:ascii="仿宋" w:hAnsi="仿宋" w:eastAsia="仿宋" w:cs="仿宋"/>
          <w:sz w:val="30"/>
          <w:szCs w:val="30"/>
          <w:lang w:val="en-US" w:eastAsia="zh-CN"/>
        </w:rPr>
      </w:pPr>
      <w:r>
        <w:fldChar w:fldCharType="begin"/>
      </w:r>
      <w:r>
        <w:instrText xml:space="preserve"> HYPERLINK \l "_Toc28231_WPSOffice_Level1" </w:instrText>
      </w:r>
      <w:r>
        <w:fldChar w:fldCharType="separate"/>
      </w:r>
      <w:sdt>
        <w:sdtPr>
          <w:rPr>
            <w:rFonts w:hint="eastAsia" w:ascii="仿宋" w:hAnsi="仿宋" w:eastAsia="仿宋" w:cs="仿宋"/>
            <w:b/>
            <w:bCs/>
            <w:kern w:val="2"/>
            <w:sz w:val="30"/>
            <w:szCs w:val="30"/>
          </w:rPr>
          <w:id w:val="1986892254"/>
          <w:placeholder>
            <w:docPart w:val="{65487b67-2785-4dd5-b42a-9cfb19a25ceb}"/>
          </w:placeholder>
        </w:sdtPr>
        <w:sdtEndPr>
          <w:rPr>
            <w:rFonts w:hint="eastAsia" w:ascii="仿宋" w:hAnsi="仿宋" w:eastAsia="仿宋" w:cs="仿宋"/>
            <w:b/>
            <w:bCs/>
            <w:kern w:val="2"/>
            <w:sz w:val="30"/>
            <w:szCs w:val="30"/>
          </w:rPr>
        </w:sdtEndPr>
        <w:sdtContent>
          <w:sdt>
            <w:sdtPr>
              <w:rPr>
                <w:rFonts w:hint="eastAsia" w:ascii="仿宋" w:hAnsi="仿宋" w:eastAsia="仿宋" w:cs="仿宋"/>
                <w:b/>
                <w:bCs/>
                <w:kern w:val="2"/>
                <w:sz w:val="30"/>
                <w:szCs w:val="30"/>
              </w:rPr>
              <w:id w:val="-1950309573"/>
              <w:placeholder>
                <w:docPart w:val="{594b564b-b7c3-4e20-a303-4ce95a95a6eb}"/>
              </w:placeholder>
            </w:sdtPr>
            <w:sdtEndPr>
              <w:rPr>
                <w:rFonts w:hint="eastAsia" w:ascii="仿宋" w:hAnsi="仿宋" w:eastAsia="仿宋" w:cs="仿宋"/>
                <w:b/>
                <w:bCs/>
                <w:kern w:val="2"/>
                <w:sz w:val="30"/>
                <w:szCs w:val="30"/>
              </w:rPr>
            </w:sdtEndPr>
            <w:sdtContent>
              <w:r>
                <w:rPr>
                  <w:rFonts w:hint="eastAsia" w:ascii="仿宋" w:hAnsi="仿宋" w:eastAsia="仿宋" w:cs="仿宋"/>
                  <w:b/>
                  <w:bCs/>
                  <w:kern w:val="2"/>
                  <w:sz w:val="30"/>
                  <w:szCs w:val="30"/>
                </w:rPr>
                <w:t>议案</w:t>
              </w:r>
              <w:r>
                <w:rPr>
                  <w:rFonts w:hint="eastAsia" w:ascii="仿宋" w:hAnsi="仿宋" w:eastAsia="仿宋" w:cs="仿宋"/>
                  <w:b/>
                  <w:bCs/>
                  <w:kern w:val="2"/>
                  <w:sz w:val="30"/>
                  <w:szCs w:val="30"/>
                  <w:lang w:val="en-US" w:eastAsia="zh-CN"/>
                </w:rPr>
                <w:t>7</w:t>
              </w:r>
              <w:r>
                <w:rPr>
                  <w:rFonts w:hint="eastAsia" w:ascii="仿宋" w:hAnsi="仿宋" w:eastAsia="仿宋" w:cs="仿宋"/>
                  <w:kern w:val="2"/>
                  <w:sz w:val="30"/>
                  <w:szCs w:val="30"/>
                </w:rPr>
                <w:t xml:space="preserve"> </w:t>
              </w:r>
              <w:r>
                <w:rPr>
                  <w:rFonts w:hint="eastAsia" w:ascii="仿宋" w:hAnsi="仿宋" w:eastAsia="仿宋" w:cs="仿宋"/>
                  <w:sz w:val="30"/>
                  <w:szCs w:val="30"/>
                </w:rPr>
                <w:t>厦门银行股份有限公司关于聘请2022年度会计师事务所的议案</w:t>
              </w:r>
            </w:sdtContent>
          </w:sdt>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42</w:t>
      </w:r>
    </w:p>
    <w:p>
      <w:pPr>
        <w:pStyle w:val="22"/>
        <w:tabs>
          <w:tab w:val="right" w:leader="dot" w:pos="8306"/>
        </w:tabs>
        <w:rPr>
          <w:rFonts w:hint="eastAsia" w:ascii="仿宋" w:hAnsi="仿宋" w:eastAsia="仿宋" w:cs="仿宋"/>
          <w:sz w:val="30"/>
          <w:szCs w:val="30"/>
          <w:lang w:val="en-US" w:eastAsia="zh-CN"/>
        </w:rPr>
      </w:pPr>
      <w:r>
        <w:fldChar w:fldCharType="begin"/>
      </w:r>
      <w:r>
        <w:instrText xml:space="preserve"> HYPERLINK \l "_Toc25166_WPSOffice_Level1" </w:instrText>
      </w:r>
      <w:r>
        <w:fldChar w:fldCharType="separate"/>
      </w:r>
      <w:sdt>
        <w:sdtPr>
          <w:rPr>
            <w:rFonts w:hint="eastAsia" w:ascii="仿宋" w:hAnsi="仿宋" w:eastAsia="仿宋" w:cs="仿宋"/>
            <w:kern w:val="2"/>
            <w:sz w:val="30"/>
            <w:szCs w:val="30"/>
          </w:rPr>
          <w:id w:val="1314526572"/>
          <w:placeholder>
            <w:docPart w:val="{f6a801d0-86f1-4f59-9681-d05a497c3767}"/>
          </w:placeholder>
        </w:sdtPr>
        <w:sdtEndPr>
          <w:rPr>
            <w:rFonts w:hint="eastAsia" w:ascii="仿宋" w:hAnsi="仿宋" w:eastAsia="仿宋" w:cs="仿宋"/>
            <w:kern w:val="2"/>
            <w:sz w:val="30"/>
            <w:szCs w:val="30"/>
          </w:rPr>
        </w:sdtEndPr>
        <w:sdtContent>
          <w:r>
            <w:rPr>
              <w:rFonts w:hint="eastAsia" w:ascii="仿宋" w:hAnsi="仿宋" w:eastAsia="仿宋" w:cs="仿宋"/>
              <w:b/>
              <w:bCs/>
              <w:kern w:val="2"/>
              <w:sz w:val="30"/>
              <w:szCs w:val="30"/>
            </w:rPr>
            <w:t>议案</w:t>
          </w:r>
          <w:r>
            <w:rPr>
              <w:rFonts w:hint="eastAsia" w:ascii="仿宋" w:hAnsi="仿宋" w:eastAsia="仿宋" w:cs="仿宋"/>
              <w:b/>
              <w:bCs/>
              <w:kern w:val="2"/>
              <w:sz w:val="30"/>
              <w:szCs w:val="30"/>
              <w:lang w:val="en-US" w:eastAsia="zh-CN"/>
            </w:rPr>
            <w:t>8</w:t>
          </w:r>
          <w:r>
            <w:rPr>
              <w:rFonts w:hint="eastAsia" w:ascii="仿宋" w:hAnsi="仿宋" w:eastAsia="仿宋" w:cs="仿宋"/>
              <w:kern w:val="2"/>
              <w:sz w:val="30"/>
              <w:szCs w:val="30"/>
            </w:rPr>
            <w:t xml:space="preserve"> </w:t>
          </w:r>
          <w:r>
            <w:rPr>
              <w:rFonts w:hint="eastAsia" w:ascii="仿宋" w:hAnsi="仿宋" w:eastAsia="仿宋" w:cs="仿宋"/>
              <w:sz w:val="30"/>
              <w:szCs w:val="30"/>
            </w:rPr>
            <w:t>厦门银行股份有限公司关于符合公开发行A股可转换公司债券条件的议案</w:t>
          </w:r>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43</w:t>
      </w:r>
    </w:p>
    <w:p>
      <w:pPr>
        <w:pStyle w:val="22"/>
        <w:tabs>
          <w:tab w:val="right" w:leader="dot" w:pos="8306"/>
        </w:tabs>
        <w:rPr>
          <w:rFonts w:hint="eastAsia" w:ascii="仿宋" w:hAnsi="仿宋" w:eastAsia="仿宋" w:cs="仿宋"/>
          <w:sz w:val="30"/>
          <w:szCs w:val="30"/>
          <w:lang w:val="en-US" w:eastAsia="zh-CN"/>
        </w:rPr>
      </w:pPr>
      <w:r>
        <w:fldChar w:fldCharType="begin"/>
      </w:r>
      <w:r>
        <w:instrText xml:space="preserve"> HYPERLINK \l "_Toc22893_WPSOffice_Level1" </w:instrText>
      </w:r>
      <w:r>
        <w:fldChar w:fldCharType="separate"/>
      </w:r>
      <w:sdt>
        <w:sdtPr>
          <w:rPr>
            <w:rFonts w:hint="eastAsia" w:ascii="仿宋" w:hAnsi="仿宋" w:eastAsia="仿宋" w:cs="仿宋"/>
            <w:b/>
            <w:bCs/>
            <w:kern w:val="2"/>
            <w:sz w:val="30"/>
            <w:szCs w:val="30"/>
          </w:rPr>
          <w:id w:val="-2071637978"/>
          <w:placeholder>
            <w:docPart w:val="{93c40507-3085-4bf3-9e02-34cd1fc10667}"/>
          </w:placeholder>
        </w:sdtPr>
        <w:sdtEndPr>
          <w:rPr>
            <w:rFonts w:hint="eastAsia" w:ascii="仿宋" w:hAnsi="仿宋" w:eastAsia="仿宋" w:cs="仿宋"/>
            <w:b/>
            <w:bCs/>
            <w:kern w:val="2"/>
            <w:sz w:val="30"/>
            <w:szCs w:val="30"/>
          </w:rPr>
        </w:sdtEndPr>
        <w:sdtContent>
          <w:r>
            <w:rPr>
              <w:rFonts w:hint="eastAsia" w:ascii="仿宋" w:hAnsi="仿宋" w:eastAsia="仿宋" w:cs="仿宋"/>
              <w:b/>
              <w:bCs/>
              <w:kern w:val="2"/>
              <w:sz w:val="30"/>
              <w:szCs w:val="30"/>
            </w:rPr>
            <w:t>议案</w:t>
          </w:r>
          <w:r>
            <w:rPr>
              <w:rFonts w:hint="eastAsia" w:ascii="仿宋" w:hAnsi="仿宋" w:eastAsia="仿宋" w:cs="仿宋"/>
              <w:b/>
              <w:bCs/>
              <w:kern w:val="2"/>
              <w:sz w:val="30"/>
              <w:szCs w:val="30"/>
              <w:lang w:val="en-US" w:eastAsia="zh-CN"/>
            </w:rPr>
            <w:t>9</w:t>
          </w:r>
          <w:r>
            <w:rPr>
              <w:rFonts w:hint="eastAsia" w:ascii="仿宋" w:hAnsi="仿宋" w:eastAsia="仿宋" w:cs="仿宋"/>
              <w:kern w:val="2"/>
              <w:sz w:val="30"/>
              <w:szCs w:val="30"/>
            </w:rPr>
            <w:t xml:space="preserve"> </w:t>
          </w:r>
          <w:r>
            <w:rPr>
              <w:rFonts w:hint="eastAsia" w:ascii="仿宋" w:hAnsi="仿宋" w:eastAsia="仿宋" w:cs="仿宋"/>
              <w:sz w:val="30"/>
              <w:szCs w:val="30"/>
            </w:rPr>
            <w:t>厦门银行股份有限公司关于公开发行A股可转换公司债券并上市方案的议案</w:t>
          </w:r>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51</w:t>
      </w:r>
    </w:p>
    <w:p>
      <w:pPr>
        <w:pStyle w:val="22"/>
        <w:tabs>
          <w:tab w:val="right" w:leader="dot" w:pos="8306"/>
        </w:tabs>
        <w:rPr>
          <w:rFonts w:hint="eastAsia" w:ascii="仿宋" w:hAnsi="仿宋" w:eastAsia="仿宋" w:cs="仿宋"/>
          <w:sz w:val="30"/>
          <w:szCs w:val="30"/>
          <w:lang w:val="en-US" w:eastAsia="zh-CN"/>
        </w:rPr>
      </w:pPr>
      <w:r>
        <w:fldChar w:fldCharType="begin"/>
      </w:r>
      <w:r>
        <w:instrText xml:space="preserve"> HYPERLINK \l "_Toc24086_WPSOffice_Level1" </w:instrText>
      </w:r>
      <w:r>
        <w:fldChar w:fldCharType="separate"/>
      </w:r>
      <w:sdt>
        <w:sdtPr>
          <w:rPr>
            <w:rFonts w:hint="eastAsia" w:ascii="仿宋" w:hAnsi="仿宋" w:eastAsia="仿宋" w:cs="仿宋"/>
            <w:kern w:val="2"/>
            <w:sz w:val="30"/>
            <w:szCs w:val="30"/>
          </w:rPr>
          <w:id w:val="337052657"/>
          <w:placeholder>
            <w:docPart w:val="{4a817a9d-1413-46cc-9df2-24d7e4b07a6b}"/>
          </w:placeholder>
        </w:sdtPr>
        <w:sdtEndPr>
          <w:rPr>
            <w:rFonts w:hint="eastAsia" w:ascii="仿宋" w:hAnsi="仿宋" w:eastAsia="仿宋" w:cs="仿宋"/>
            <w:kern w:val="2"/>
            <w:sz w:val="30"/>
            <w:szCs w:val="30"/>
          </w:rPr>
        </w:sdtEndPr>
        <w:sdtContent>
          <w:r>
            <w:rPr>
              <w:rFonts w:hint="eastAsia" w:ascii="仿宋" w:hAnsi="仿宋" w:eastAsia="仿宋" w:cs="仿宋"/>
              <w:b/>
              <w:bCs/>
              <w:kern w:val="2"/>
              <w:sz w:val="30"/>
              <w:szCs w:val="30"/>
            </w:rPr>
            <w:t>议案</w:t>
          </w:r>
          <w:r>
            <w:rPr>
              <w:rFonts w:hint="eastAsia" w:ascii="仿宋" w:hAnsi="仿宋" w:eastAsia="仿宋" w:cs="仿宋"/>
              <w:b/>
              <w:bCs/>
              <w:kern w:val="2"/>
              <w:sz w:val="30"/>
              <w:szCs w:val="30"/>
              <w:lang w:val="en-US" w:eastAsia="zh-CN"/>
            </w:rPr>
            <w:t>10</w:t>
          </w:r>
          <w:r>
            <w:rPr>
              <w:rFonts w:hint="eastAsia" w:ascii="仿宋" w:hAnsi="仿宋" w:eastAsia="仿宋" w:cs="仿宋"/>
              <w:kern w:val="2"/>
              <w:sz w:val="30"/>
              <w:szCs w:val="30"/>
            </w:rPr>
            <w:t xml:space="preserve"> </w:t>
          </w:r>
          <w:r>
            <w:rPr>
              <w:rFonts w:hint="eastAsia" w:ascii="仿宋" w:hAnsi="仿宋" w:eastAsia="仿宋" w:cs="仿宋"/>
              <w:sz w:val="30"/>
              <w:szCs w:val="30"/>
            </w:rPr>
            <w:t>厦门银行股份有限公司关于公开发行A股可转换公司债券募集资金使用可行性报告的议案</w:t>
          </w:r>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61</w:t>
      </w:r>
    </w:p>
    <w:p>
      <w:pPr>
        <w:pStyle w:val="22"/>
        <w:tabs>
          <w:tab w:val="right" w:leader="dot" w:pos="8306"/>
        </w:tabs>
        <w:rPr>
          <w:rFonts w:hint="default" w:ascii="仿宋" w:hAnsi="仿宋" w:eastAsia="仿宋" w:cs="仿宋"/>
          <w:sz w:val="30"/>
          <w:szCs w:val="30"/>
          <w:lang w:val="en-US" w:eastAsia="zh-CN"/>
        </w:rPr>
      </w:pPr>
      <w:r>
        <w:fldChar w:fldCharType="begin"/>
      </w:r>
      <w:r>
        <w:instrText xml:space="preserve"> HYPERLINK \l "_Toc28231_WPSOffice_Level1" </w:instrText>
      </w:r>
      <w:r>
        <w:fldChar w:fldCharType="separate"/>
      </w:r>
      <w:sdt>
        <w:sdtPr>
          <w:rPr>
            <w:rFonts w:hint="eastAsia" w:ascii="仿宋" w:hAnsi="仿宋" w:eastAsia="仿宋" w:cs="仿宋"/>
            <w:b/>
            <w:bCs/>
            <w:kern w:val="2"/>
            <w:sz w:val="30"/>
            <w:szCs w:val="30"/>
          </w:rPr>
          <w:id w:val="1986892254"/>
          <w:placeholder>
            <w:docPart w:val="{caf9b42d-c145-418f-a922-b322f8153caf}"/>
          </w:placeholder>
        </w:sdtPr>
        <w:sdtEndPr>
          <w:rPr>
            <w:rFonts w:hint="eastAsia" w:ascii="仿宋" w:hAnsi="仿宋" w:eastAsia="仿宋" w:cs="仿宋"/>
            <w:b/>
            <w:bCs/>
            <w:kern w:val="2"/>
            <w:sz w:val="30"/>
            <w:szCs w:val="30"/>
          </w:rPr>
        </w:sdtEndPr>
        <w:sdtContent>
          <w:sdt>
            <w:sdtPr>
              <w:rPr>
                <w:rFonts w:hint="eastAsia" w:ascii="仿宋" w:hAnsi="仿宋" w:eastAsia="仿宋" w:cs="仿宋"/>
                <w:b/>
                <w:bCs/>
                <w:kern w:val="2"/>
                <w:sz w:val="30"/>
                <w:szCs w:val="30"/>
              </w:rPr>
              <w:id w:val="-1950309573"/>
              <w:placeholder>
                <w:docPart w:val="{af0dbb34-ecc5-4340-b21f-585266cb5570}"/>
              </w:placeholder>
            </w:sdtPr>
            <w:sdtEndPr>
              <w:rPr>
                <w:rFonts w:hint="eastAsia" w:ascii="仿宋" w:hAnsi="仿宋" w:eastAsia="仿宋" w:cs="仿宋"/>
                <w:b/>
                <w:bCs/>
                <w:kern w:val="2"/>
                <w:sz w:val="30"/>
                <w:szCs w:val="30"/>
              </w:rPr>
            </w:sdtEndPr>
            <w:sdtContent>
              <w:r>
                <w:rPr>
                  <w:rFonts w:hint="eastAsia" w:ascii="仿宋" w:hAnsi="仿宋" w:eastAsia="仿宋" w:cs="仿宋"/>
                  <w:b/>
                  <w:bCs/>
                  <w:kern w:val="2"/>
                  <w:sz w:val="30"/>
                  <w:szCs w:val="30"/>
                </w:rPr>
                <w:t>议案</w:t>
              </w:r>
              <w:r>
                <w:rPr>
                  <w:rFonts w:hint="eastAsia" w:ascii="仿宋" w:hAnsi="仿宋" w:eastAsia="仿宋" w:cs="仿宋"/>
                  <w:b/>
                  <w:bCs/>
                  <w:kern w:val="2"/>
                  <w:sz w:val="30"/>
                  <w:szCs w:val="30"/>
                  <w:lang w:val="en-US" w:eastAsia="zh-CN"/>
                </w:rPr>
                <w:t>11</w:t>
              </w:r>
              <w:r>
                <w:rPr>
                  <w:rFonts w:hint="eastAsia" w:ascii="仿宋" w:hAnsi="仿宋" w:eastAsia="仿宋" w:cs="仿宋"/>
                  <w:kern w:val="2"/>
                  <w:sz w:val="30"/>
                  <w:szCs w:val="30"/>
                </w:rPr>
                <w:t xml:space="preserve"> </w:t>
              </w:r>
              <w:r>
                <w:rPr>
                  <w:rFonts w:hint="eastAsia" w:ascii="仿宋" w:hAnsi="仿宋" w:eastAsia="仿宋" w:cs="仿宋"/>
                  <w:sz w:val="30"/>
                  <w:szCs w:val="30"/>
                </w:rPr>
                <w:t>厦门银行股份有限公司关于公开发行A股可转换公司债券摊薄即期回报及填补措施的议案</w:t>
              </w:r>
            </w:sdtContent>
          </w:sdt>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66</w:t>
      </w:r>
    </w:p>
    <w:p>
      <w:pPr>
        <w:pStyle w:val="22"/>
        <w:tabs>
          <w:tab w:val="right" w:leader="dot" w:pos="8306"/>
        </w:tabs>
        <w:rPr>
          <w:rFonts w:hint="eastAsia" w:ascii="仿宋" w:hAnsi="仿宋" w:eastAsia="仿宋" w:cs="仿宋"/>
          <w:sz w:val="30"/>
          <w:szCs w:val="30"/>
          <w:lang w:val="en-US" w:eastAsia="zh-CN"/>
        </w:rPr>
      </w:pPr>
      <w:r>
        <w:fldChar w:fldCharType="begin"/>
      </w:r>
      <w:r>
        <w:instrText xml:space="preserve"> HYPERLINK \l "_Toc25166_WPSOffice_Level1" </w:instrText>
      </w:r>
      <w:r>
        <w:fldChar w:fldCharType="separate"/>
      </w:r>
      <w:sdt>
        <w:sdtPr>
          <w:rPr>
            <w:rFonts w:hint="eastAsia" w:ascii="仿宋" w:hAnsi="仿宋" w:eastAsia="仿宋" w:cs="仿宋"/>
            <w:kern w:val="2"/>
            <w:sz w:val="30"/>
            <w:szCs w:val="30"/>
          </w:rPr>
          <w:id w:val="1314526572"/>
          <w:placeholder>
            <w:docPart w:val="{4893c6b3-f4fe-4dbf-ad24-27303777d4c7}"/>
          </w:placeholder>
        </w:sdtPr>
        <w:sdtEndPr>
          <w:rPr>
            <w:rFonts w:hint="eastAsia" w:ascii="仿宋" w:hAnsi="仿宋" w:eastAsia="仿宋" w:cs="仿宋"/>
            <w:kern w:val="2"/>
            <w:sz w:val="30"/>
            <w:szCs w:val="30"/>
          </w:rPr>
        </w:sdtEndPr>
        <w:sdtContent>
          <w:r>
            <w:rPr>
              <w:rFonts w:hint="eastAsia" w:ascii="仿宋" w:hAnsi="仿宋" w:eastAsia="仿宋" w:cs="仿宋"/>
              <w:b/>
              <w:bCs/>
              <w:kern w:val="2"/>
              <w:sz w:val="30"/>
              <w:szCs w:val="30"/>
            </w:rPr>
            <w:t>议案</w:t>
          </w:r>
          <w:r>
            <w:rPr>
              <w:rFonts w:hint="eastAsia" w:ascii="仿宋" w:hAnsi="仿宋" w:eastAsia="仿宋" w:cs="仿宋"/>
              <w:b/>
              <w:bCs/>
              <w:kern w:val="2"/>
              <w:sz w:val="30"/>
              <w:szCs w:val="30"/>
              <w:lang w:val="en-US" w:eastAsia="zh-CN"/>
            </w:rPr>
            <w:t>12</w:t>
          </w:r>
          <w:r>
            <w:rPr>
              <w:rFonts w:hint="eastAsia" w:ascii="仿宋" w:hAnsi="仿宋" w:eastAsia="仿宋" w:cs="仿宋"/>
              <w:kern w:val="2"/>
              <w:sz w:val="30"/>
              <w:szCs w:val="30"/>
            </w:rPr>
            <w:t xml:space="preserve"> </w:t>
          </w:r>
          <w:r>
            <w:rPr>
              <w:rFonts w:hint="eastAsia" w:ascii="仿宋" w:hAnsi="仿宋" w:eastAsia="仿宋" w:cs="仿宋"/>
              <w:sz w:val="30"/>
              <w:szCs w:val="30"/>
            </w:rPr>
            <w:t>厦门银行股份有限公司关于提请股东大会授权办理本次公开发行A股可转换公司债券并上市相关事宜的议案</w:t>
          </w:r>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78</w:t>
      </w:r>
    </w:p>
    <w:p>
      <w:pPr>
        <w:pStyle w:val="22"/>
        <w:tabs>
          <w:tab w:val="right" w:leader="dot" w:pos="8306"/>
        </w:tabs>
        <w:rPr>
          <w:rFonts w:hint="eastAsia" w:ascii="仿宋" w:hAnsi="仿宋" w:eastAsia="仿宋" w:cs="仿宋"/>
          <w:sz w:val="30"/>
          <w:szCs w:val="30"/>
          <w:lang w:val="en-US" w:eastAsia="zh-CN"/>
        </w:rPr>
      </w:pPr>
      <w:r>
        <w:fldChar w:fldCharType="begin"/>
      </w:r>
      <w:r>
        <w:instrText xml:space="preserve"> HYPERLINK \l "_Toc22893_WPSOffice_Level1" </w:instrText>
      </w:r>
      <w:r>
        <w:fldChar w:fldCharType="separate"/>
      </w:r>
      <w:sdt>
        <w:sdtPr>
          <w:rPr>
            <w:rFonts w:hint="eastAsia" w:ascii="仿宋" w:hAnsi="仿宋" w:eastAsia="仿宋" w:cs="仿宋"/>
            <w:b/>
            <w:bCs/>
            <w:kern w:val="2"/>
            <w:sz w:val="30"/>
            <w:szCs w:val="30"/>
          </w:rPr>
          <w:id w:val="-2071637978"/>
          <w:placeholder>
            <w:docPart w:val="{56ed13b4-39cf-49d8-a5af-d9f1454a30a0}"/>
          </w:placeholder>
        </w:sdtPr>
        <w:sdtEndPr>
          <w:rPr>
            <w:rFonts w:hint="eastAsia" w:ascii="仿宋" w:hAnsi="仿宋" w:eastAsia="仿宋" w:cs="仿宋"/>
            <w:b/>
            <w:bCs/>
            <w:kern w:val="2"/>
            <w:sz w:val="30"/>
            <w:szCs w:val="30"/>
          </w:rPr>
        </w:sdtEndPr>
        <w:sdtContent>
          <w:r>
            <w:rPr>
              <w:rFonts w:hint="eastAsia" w:ascii="仿宋" w:hAnsi="仿宋" w:eastAsia="仿宋" w:cs="仿宋"/>
              <w:b/>
              <w:bCs/>
              <w:kern w:val="2"/>
              <w:sz w:val="30"/>
              <w:szCs w:val="30"/>
            </w:rPr>
            <w:t>议案</w:t>
          </w:r>
          <w:r>
            <w:rPr>
              <w:rFonts w:hint="eastAsia" w:ascii="仿宋" w:hAnsi="仿宋" w:eastAsia="仿宋" w:cs="仿宋"/>
              <w:b/>
              <w:bCs/>
              <w:kern w:val="2"/>
              <w:sz w:val="30"/>
              <w:szCs w:val="30"/>
              <w:lang w:val="en-US" w:eastAsia="zh-CN"/>
            </w:rPr>
            <w:t>13</w:t>
          </w:r>
          <w:r>
            <w:rPr>
              <w:rFonts w:hint="eastAsia" w:ascii="仿宋" w:hAnsi="仿宋" w:eastAsia="仿宋" w:cs="仿宋"/>
              <w:kern w:val="2"/>
              <w:sz w:val="30"/>
              <w:szCs w:val="30"/>
            </w:rPr>
            <w:t xml:space="preserve"> </w:t>
          </w:r>
          <w:r>
            <w:rPr>
              <w:rFonts w:hint="eastAsia" w:ascii="仿宋" w:hAnsi="仿宋" w:eastAsia="仿宋" w:cs="仿宋"/>
              <w:sz w:val="30"/>
              <w:szCs w:val="30"/>
            </w:rPr>
            <w:t>厦门银行股份有限公司关于前次募集资金使用情况报告的议案</w:t>
          </w:r>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81</w:t>
      </w:r>
    </w:p>
    <w:p>
      <w:pPr>
        <w:pStyle w:val="22"/>
        <w:tabs>
          <w:tab w:val="right" w:leader="dot" w:pos="8306"/>
        </w:tabs>
        <w:rPr>
          <w:rFonts w:hint="default" w:ascii="仿宋" w:hAnsi="仿宋" w:eastAsia="仿宋" w:cs="仿宋"/>
          <w:sz w:val="30"/>
          <w:szCs w:val="30"/>
          <w:lang w:val="en-US" w:eastAsia="zh-CN"/>
        </w:rPr>
      </w:pPr>
      <w:r>
        <w:fldChar w:fldCharType="begin"/>
      </w:r>
      <w:r>
        <w:instrText xml:space="preserve"> HYPERLINK \l "_Toc24086_WPSOffice_Level1" </w:instrText>
      </w:r>
      <w:r>
        <w:fldChar w:fldCharType="separate"/>
      </w:r>
      <w:sdt>
        <w:sdtPr>
          <w:rPr>
            <w:rFonts w:hint="eastAsia" w:ascii="仿宋" w:hAnsi="仿宋" w:eastAsia="仿宋" w:cs="仿宋"/>
            <w:kern w:val="2"/>
            <w:sz w:val="30"/>
            <w:szCs w:val="30"/>
          </w:rPr>
          <w:id w:val="337052657"/>
          <w:placeholder>
            <w:docPart w:val="{a60223c0-a46a-4ddf-bf0c-70b1ecf7ab03}"/>
          </w:placeholder>
        </w:sdtPr>
        <w:sdtEndPr>
          <w:rPr>
            <w:rFonts w:hint="eastAsia" w:ascii="仿宋" w:hAnsi="仿宋" w:eastAsia="仿宋" w:cs="仿宋"/>
            <w:kern w:val="2"/>
            <w:sz w:val="30"/>
            <w:szCs w:val="30"/>
          </w:rPr>
        </w:sdtEndPr>
        <w:sdtContent>
          <w:r>
            <w:rPr>
              <w:rFonts w:hint="eastAsia" w:ascii="仿宋" w:hAnsi="仿宋" w:eastAsia="仿宋" w:cs="仿宋"/>
              <w:b/>
              <w:bCs/>
              <w:kern w:val="2"/>
              <w:sz w:val="30"/>
              <w:szCs w:val="30"/>
            </w:rPr>
            <w:t>议案</w:t>
          </w:r>
          <w:r>
            <w:rPr>
              <w:rFonts w:hint="eastAsia" w:ascii="仿宋" w:hAnsi="仿宋" w:eastAsia="仿宋" w:cs="仿宋"/>
              <w:b/>
              <w:bCs/>
              <w:kern w:val="2"/>
              <w:sz w:val="30"/>
              <w:szCs w:val="30"/>
              <w:lang w:val="en-US" w:eastAsia="zh-CN"/>
            </w:rPr>
            <w:t>14</w:t>
          </w:r>
          <w:r>
            <w:rPr>
              <w:rFonts w:hint="eastAsia" w:ascii="仿宋" w:hAnsi="仿宋" w:eastAsia="仿宋" w:cs="仿宋"/>
              <w:kern w:val="2"/>
              <w:sz w:val="30"/>
              <w:szCs w:val="30"/>
            </w:rPr>
            <w:t xml:space="preserve"> </w:t>
          </w:r>
          <w:r>
            <w:rPr>
              <w:rFonts w:hint="eastAsia" w:ascii="仿宋" w:hAnsi="仿宋" w:eastAsia="仿宋" w:cs="仿宋"/>
              <w:sz w:val="30"/>
              <w:szCs w:val="30"/>
            </w:rPr>
            <w:t>厦门银行股份有限公司关于申请发行债券的议案</w:t>
          </w:r>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89</w:t>
      </w:r>
    </w:p>
    <w:p>
      <w:pPr>
        <w:pStyle w:val="22"/>
        <w:tabs>
          <w:tab w:val="right" w:leader="dot" w:pos="8306"/>
        </w:tabs>
        <w:rPr>
          <w:rFonts w:hint="default" w:ascii="仿宋" w:hAnsi="仿宋" w:eastAsia="仿宋" w:cs="仿宋"/>
          <w:sz w:val="30"/>
          <w:szCs w:val="30"/>
          <w:lang w:val="en-US" w:eastAsia="zh-CN"/>
        </w:rPr>
      </w:pPr>
      <w:r>
        <w:fldChar w:fldCharType="begin"/>
      </w:r>
      <w:r>
        <w:instrText xml:space="preserve"> HYPERLINK \l "_Toc28231_WPSOffice_Level1" </w:instrText>
      </w:r>
      <w:r>
        <w:fldChar w:fldCharType="separate"/>
      </w:r>
      <w:sdt>
        <w:sdtPr>
          <w:rPr>
            <w:rFonts w:hint="eastAsia" w:ascii="仿宋" w:hAnsi="仿宋" w:eastAsia="仿宋" w:cs="仿宋"/>
            <w:b/>
            <w:bCs/>
            <w:kern w:val="2"/>
            <w:sz w:val="30"/>
            <w:szCs w:val="30"/>
          </w:rPr>
          <w:id w:val="1986892254"/>
          <w:placeholder>
            <w:docPart w:val="{10208644-039e-4b36-b471-c87098feb14a}"/>
          </w:placeholder>
        </w:sdtPr>
        <w:sdtEndPr>
          <w:rPr>
            <w:rFonts w:hint="eastAsia" w:ascii="仿宋" w:hAnsi="仿宋" w:eastAsia="仿宋" w:cs="仿宋"/>
            <w:b/>
            <w:bCs/>
            <w:kern w:val="2"/>
            <w:sz w:val="30"/>
            <w:szCs w:val="30"/>
          </w:rPr>
        </w:sdtEndPr>
        <w:sdtContent>
          <w:sdt>
            <w:sdtPr>
              <w:rPr>
                <w:rFonts w:hint="eastAsia" w:ascii="仿宋" w:hAnsi="仿宋" w:eastAsia="仿宋" w:cs="仿宋"/>
                <w:b/>
                <w:bCs/>
                <w:kern w:val="2"/>
                <w:sz w:val="30"/>
                <w:szCs w:val="30"/>
              </w:rPr>
              <w:id w:val="-1950309573"/>
              <w:placeholder>
                <w:docPart w:val="{343bf1f6-7a0d-4649-9d57-6acd77ff7111}"/>
              </w:placeholder>
            </w:sdtPr>
            <w:sdtEndPr>
              <w:rPr>
                <w:rFonts w:hint="eastAsia" w:ascii="仿宋" w:hAnsi="仿宋" w:eastAsia="仿宋" w:cs="仿宋"/>
                <w:b/>
                <w:bCs/>
                <w:kern w:val="2"/>
                <w:sz w:val="30"/>
                <w:szCs w:val="30"/>
              </w:rPr>
            </w:sdtEndPr>
            <w:sdtContent>
              <w:r>
                <w:rPr>
                  <w:rFonts w:hint="eastAsia" w:ascii="仿宋" w:hAnsi="仿宋" w:eastAsia="仿宋" w:cs="仿宋"/>
                  <w:b/>
                  <w:bCs/>
                  <w:kern w:val="2"/>
                  <w:sz w:val="30"/>
                  <w:szCs w:val="30"/>
                </w:rPr>
                <w:t>议案</w:t>
              </w:r>
              <w:r>
                <w:rPr>
                  <w:rFonts w:hint="eastAsia" w:ascii="仿宋" w:hAnsi="仿宋" w:eastAsia="仿宋" w:cs="仿宋"/>
                  <w:b/>
                  <w:bCs/>
                  <w:kern w:val="2"/>
                  <w:sz w:val="30"/>
                  <w:szCs w:val="30"/>
                  <w:lang w:val="en-US" w:eastAsia="zh-CN"/>
                </w:rPr>
                <w:t>15</w:t>
              </w:r>
              <w:r>
                <w:rPr>
                  <w:rFonts w:hint="eastAsia" w:ascii="仿宋" w:hAnsi="仿宋" w:eastAsia="仿宋" w:cs="仿宋"/>
                  <w:kern w:val="2"/>
                  <w:sz w:val="30"/>
                  <w:szCs w:val="30"/>
                </w:rPr>
                <w:t xml:space="preserve"> </w:t>
              </w:r>
              <w:r>
                <w:rPr>
                  <w:rFonts w:hint="eastAsia" w:ascii="仿宋" w:hAnsi="仿宋" w:eastAsia="仿宋" w:cs="仿宋"/>
                  <w:sz w:val="30"/>
                  <w:szCs w:val="30"/>
                </w:rPr>
                <w:t>关于制定《厦门银行股份有限公司董事薪酬管理办法》的议案</w:t>
              </w:r>
            </w:sdtContent>
          </w:sdt>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93</w:t>
      </w:r>
    </w:p>
    <w:p>
      <w:pPr>
        <w:pStyle w:val="22"/>
        <w:tabs>
          <w:tab w:val="right" w:leader="dot" w:pos="8306"/>
        </w:tabs>
        <w:rPr>
          <w:rFonts w:hint="eastAsia" w:ascii="仿宋" w:hAnsi="仿宋" w:eastAsia="仿宋" w:cs="仿宋"/>
          <w:sz w:val="30"/>
          <w:szCs w:val="30"/>
          <w:lang w:val="en-US" w:eastAsia="zh-CN"/>
        </w:rPr>
      </w:pPr>
      <w:r>
        <w:fldChar w:fldCharType="begin"/>
      </w:r>
      <w:r>
        <w:instrText xml:space="preserve"> HYPERLINK \l "_Toc25166_WPSOffice_Level1" </w:instrText>
      </w:r>
      <w:r>
        <w:fldChar w:fldCharType="separate"/>
      </w:r>
      <w:sdt>
        <w:sdtPr>
          <w:rPr>
            <w:rFonts w:hint="eastAsia" w:ascii="仿宋" w:hAnsi="仿宋" w:eastAsia="仿宋" w:cs="仿宋"/>
            <w:kern w:val="2"/>
            <w:sz w:val="30"/>
            <w:szCs w:val="30"/>
          </w:rPr>
          <w:id w:val="1314526572"/>
          <w:placeholder>
            <w:docPart w:val="{e7a44e16-1c0b-424f-bf2a-2081f5c66a9e}"/>
          </w:placeholder>
        </w:sdtPr>
        <w:sdtEndPr>
          <w:rPr>
            <w:rFonts w:hint="eastAsia" w:ascii="仿宋" w:hAnsi="仿宋" w:eastAsia="仿宋" w:cs="仿宋"/>
            <w:kern w:val="2"/>
            <w:sz w:val="30"/>
            <w:szCs w:val="30"/>
          </w:rPr>
        </w:sdtEndPr>
        <w:sdtContent>
          <w:r>
            <w:rPr>
              <w:rFonts w:hint="eastAsia" w:ascii="仿宋" w:hAnsi="仿宋" w:eastAsia="仿宋" w:cs="仿宋"/>
              <w:b/>
              <w:bCs/>
              <w:kern w:val="2"/>
              <w:sz w:val="30"/>
              <w:szCs w:val="30"/>
            </w:rPr>
            <w:t>议案</w:t>
          </w:r>
          <w:r>
            <w:rPr>
              <w:rFonts w:hint="eastAsia" w:ascii="仿宋" w:hAnsi="仿宋" w:eastAsia="仿宋" w:cs="仿宋"/>
              <w:b/>
              <w:bCs/>
              <w:kern w:val="2"/>
              <w:sz w:val="30"/>
              <w:szCs w:val="30"/>
              <w:lang w:val="en-US" w:eastAsia="zh-CN"/>
            </w:rPr>
            <w:t>16</w:t>
          </w:r>
          <w:r>
            <w:rPr>
              <w:rFonts w:hint="eastAsia" w:ascii="仿宋" w:hAnsi="仿宋" w:eastAsia="仿宋" w:cs="仿宋"/>
              <w:kern w:val="2"/>
              <w:sz w:val="30"/>
              <w:szCs w:val="30"/>
            </w:rPr>
            <w:t xml:space="preserve"> </w:t>
          </w:r>
          <w:r>
            <w:rPr>
              <w:rFonts w:hint="eastAsia" w:ascii="仿宋" w:hAnsi="仿宋" w:eastAsia="仿宋" w:cs="仿宋"/>
              <w:sz w:val="30"/>
              <w:szCs w:val="30"/>
            </w:rPr>
            <w:t>关于制定《厦门银行股份有限公司监事薪酬管理办法》的议案</w:t>
          </w:r>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96</w:t>
      </w:r>
    </w:p>
    <w:p>
      <w:pPr>
        <w:pStyle w:val="22"/>
        <w:tabs>
          <w:tab w:val="right" w:leader="dot" w:pos="8306"/>
        </w:tabs>
        <w:rPr>
          <w:rFonts w:hint="default" w:ascii="仿宋" w:hAnsi="仿宋" w:eastAsia="仿宋" w:cs="仿宋"/>
          <w:sz w:val="30"/>
          <w:szCs w:val="30"/>
          <w:lang w:val="en-US" w:eastAsia="zh-CN"/>
        </w:rPr>
      </w:pPr>
      <w:r>
        <w:fldChar w:fldCharType="begin"/>
      </w:r>
      <w:r>
        <w:instrText xml:space="preserve"> HYPERLINK \l "_Toc22893_WPSOffice_Level1" </w:instrText>
      </w:r>
      <w:r>
        <w:fldChar w:fldCharType="separate"/>
      </w:r>
      <w:sdt>
        <w:sdtPr>
          <w:rPr>
            <w:rFonts w:hint="eastAsia" w:ascii="仿宋" w:hAnsi="仿宋" w:eastAsia="仿宋" w:cs="仿宋"/>
            <w:b/>
            <w:bCs/>
            <w:kern w:val="2"/>
            <w:sz w:val="30"/>
            <w:szCs w:val="30"/>
          </w:rPr>
          <w:id w:val="-2071637978"/>
          <w:placeholder>
            <w:docPart w:val="{e3b6d268-2da3-4d18-84f0-7d3d81739ad6}"/>
          </w:placeholder>
        </w:sdtPr>
        <w:sdtEndPr>
          <w:rPr>
            <w:rFonts w:hint="eastAsia" w:ascii="仿宋" w:hAnsi="仿宋" w:eastAsia="仿宋" w:cs="仿宋"/>
            <w:b/>
            <w:bCs/>
            <w:kern w:val="2"/>
            <w:sz w:val="30"/>
            <w:szCs w:val="30"/>
          </w:rPr>
        </w:sdtEndPr>
        <w:sdtContent>
          <w:r>
            <w:rPr>
              <w:rFonts w:hint="eastAsia" w:ascii="仿宋" w:hAnsi="仿宋" w:eastAsia="仿宋" w:cs="仿宋"/>
              <w:sz w:val="30"/>
              <w:szCs w:val="30"/>
            </w:rPr>
            <w:t>厦门银行股份有限公司2021年度关联交易管理情况报告</w:t>
          </w:r>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99</w:t>
      </w:r>
    </w:p>
    <w:p>
      <w:pPr>
        <w:pStyle w:val="22"/>
        <w:tabs>
          <w:tab w:val="right" w:leader="dot" w:pos="8306"/>
        </w:tabs>
        <w:rPr>
          <w:rFonts w:hint="eastAsia" w:ascii="仿宋" w:hAnsi="仿宋" w:eastAsia="仿宋" w:cs="仿宋"/>
          <w:sz w:val="30"/>
          <w:szCs w:val="30"/>
          <w:lang w:val="en-US" w:eastAsia="zh-CN"/>
        </w:rPr>
      </w:pPr>
      <w:r>
        <w:fldChar w:fldCharType="begin"/>
      </w:r>
      <w:r>
        <w:instrText xml:space="preserve"> HYPERLINK \l "_Toc24086_WPSOffice_Level1" </w:instrText>
      </w:r>
      <w:r>
        <w:fldChar w:fldCharType="separate"/>
      </w:r>
      <w:sdt>
        <w:sdtPr>
          <w:rPr>
            <w:rFonts w:hint="eastAsia" w:ascii="仿宋" w:hAnsi="仿宋" w:eastAsia="仿宋" w:cs="仿宋"/>
            <w:kern w:val="2"/>
            <w:sz w:val="30"/>
            <w:szCs w:val="30"/>
          </w:rPr>
          <w:id w:val="337052657"/>
          <w:placeholder>
            <w:docPart w:val="{cc642b85-89c1-48f5-8667-3b9f1d5c4bc1}"/>
          </w:placeholder>
        </w:sdtPr>
        <w:sdtEndPr>
          <w:rPr>
            <w:rFonts w:hint="eastAsia" w:ascii="仿宋" w:hAnsi="仿宋" w:eastAsia="仿宋" w:cs="仿宋"/>
            <w:kern w:val="2"/>
            <w:sz w:val="30"/>
            <w:szCs w:val="30"/>
          </w:rPr>
        </w:sdtEndPr>
        <w:sdtContent>
          <w:r>
            <w:rPr>
              <w:rFonts w:hint="eastAsia" w:ascii="仿宋" w:hAnsi="仿宋" w:eastAsia="仿宋" w:cs="仿宋"/>
              <w:sz w:val="30"/>
              <w:szCs w:val="30"/>
            </w:rPr>
            <w:t>厦门银行股份有限公司2021年度独立董事述职报告</w:t>
          </w:r>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103</w:t>
      </w:r>
    </w:p>
    <w:p>
      <w:pPr>
        <w:pStyle w:val="22"/>
        <w:tabs>
          <w:tab w:val="right" w:leader="dot" w:pos="8306"/>
        </w:tabs>
        <w:rPr>
          <w:rFonts w:hint="default" w:ascii="仿宋" w:hAnsi="仿宋" w:eastAsia="仿宋" w:cs="仿宋"/>
          <w:sz w:val="30"/>
          <w:szCs w:val="30"/>
          <w:lang w:val="en-US" w:eastAsia="zh-CN"/>
        </w:rPr>
      </w:pPr>
      <w:r>
        <w:fldChar w:fldCharType="begin"/>
      </w:r>
      <w:r>
        <w:instrText xml:space="preserve"> HYPERLINK \l "_Toc28231_WPSOffice_Level1" </w:instrText>
      </w:r>
      <w:r>
        <w:fldChar w:fldCharType="separate"/>
      </w:r>
      <w:sdt>
        <w:sdtPr>
          <w:rPr>
            <w:rFonts w:hint="eastAsia" w:ascii="仿宋" w:hAnsi="仿宋" w:eastAsia="仿宋" w:cs="仿宋"/>
            <w:b/>
            <w:bCs/>
            <w:kern w:val="2"/>
            <w:sz w:val="30"/>
            <w:szCs w:val="30"/>
          </w:rPr>
          <w:id w:val="1986892254"/>
          <w:placeholder>
            <w:docPart w:val="{6f0f6fa0-520c-4ced-9723-a0f9c2b4f472}"/>
          </w:placeholder>
        </w:sdtPr>
        <w:sdtEndPr>
          <w:rPr>
            <w:rFonts w:hint="eastAsia" w:ascii="仿宋" w:hAnsi="仿宋" w:eastAsia="仿宋" w:cs="仿宋"/>
            <w:b/>
            <w:bCs/>
            <w:kern w:val="2"/>
            <w:sz w:val="30"/>
            <w:szCs w:val="30"/>
          </w:rPr>
        </w:sdtEndPr>
        <w:sdtContent>
          <w:sdt>
            <w:sdtPr>
              <w:rPr>
                <w:rFonts w:hint="eastAsia" w:ascii="仿宋" w:hAnsi="仿宋" w:eastAsia="仿宋" w:cs="仿宋"/>
                <w:b/>
                <w:bCs/>
                <w:kern w:val="2"/>
                <w:sz w:val="30"/>
                <w:szCs w:val="30"/>
              </w:rPr>
              <w:id w:val="-1950309573"/>
              <w:placeholder>
                <w:docPart w:val="{59895dd0-c02c-4025-8331-23b02cbbbd62}"/>
              </w:placeholder>
            </w:sdtPr>
            <w:sdtEndPr>
              <w:rPr>
                <w:rFonts w:hint="eastAsia" w:ascii="仿宋" w:hAnsi="仿宋" w:eastAsia="仿宋" w:cs="仿宋"/>
                <w:b/>
                <w:bCs/>
                <w:kern w:val="2"/>
                <w:sz w:val="30"/>
                <w:szCs w:val="30"/>
              </w:rPr>
            </w:sdtEndPr>
            <w:sdtContent>
              <w:r>
                <w:rPr>
                  <w:rFonts w:hint="eastAsia" w:ascii="仿宋" w:hAnsi="仿宋" w:eastAsia="仿宋" w:cs="仿宋"/>
                  <w:sz w:val="30"/>
                  <w:szCs w:val="30"/>
                </w:rPr>
                <w:t>厦门银行股份有限公司2021年度董事会及董事履职评价报告</w:t>
              </w:r>
            </w:sdtContent>
          </w:sdt>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109</w:t>
      </w:r>
    </w:p>
    <w:p>
      <w:pPr>
        <w:pStyle w:val="22"/>
        <w:tabs>
          <w:tab w:val="right" w:leader="dot" w:pos="8306"/>
        </w:tabs>
        <w:rPr>
          <w:rFonts w:hint="default" w:ascii="仿宋" w:hAnsi="仿宋" w:eastAsia="仿宋" w:cs="仿宋"/>
          <w:sz w:val="30"/>
          <w:szCs w:val="30"/>
          <w:lang w:val="en-US" w:eastAsia="zh-CN"/>
        </w:rPr>
      </w:pPr>
      <w:r>
        <w:fldChar w:fldCharType="begin"/>
      </w:r>
      <w:r>
        <w:instrText xml:space="preserve"> HYPERLINK \l "_Toc25166_WPSOffice_Level1" </w:instrText>
      </w:r>
      <w:r>
        <w:fldChar w:fldCharType="separate"/>
      </w:r>
      <w:sdt>
        <w:sdtPr>
          <w:rPr>
            <w:rFonts w:hint="eastAsia" w:ascii="仿宋" w:hAnsi="仿宋" w:eastAsia="仿宋" w:cs="仿宋"/>
            <w:kern w:val="2"/>
            <w:sz w:val="30"/>
            <w:szCs w:val="30"/>
          </w:rPr>
          <w:id w:val="1314526572"/>
          <w:placeholder>
            <w:docPart w:val="{d447b5d3-1c75-463b-9d01-fe3f1b5bd858}"/>
          </w:placeholder>
        </w:sdtPr>
        <w:sdtEndPr>
          <w:rPr>
            <w:rFonts w:hint="eastAsia" w:ascii="仿宋" w:hAnsi="仿宋" w:eastAsia="仿宋" w:cs="仿宋"/>
            <w:kern w:val="2"/>
            <w:sz w:val="30"/>
            <w:szCs w:val="30"/>
          </w:rPr>
        </w:sdtEndPr>
        <w:sdtContent>
          <w:r>
            <w:rPr>
              <w:rFonts w:hint="eastAsia" w:ascii="仿宋" w:hAnsi="仿宋" w:eastAsia="仿宋" w:cs="仿宋"/>
              <w:sz w:val="30"/>
              <w:szCs w:val="30"/>
            </w:rPr>
            <w:t>厦门银行股份有限公司2021年度高级管理层及其成员履职评价报告</w:t>
          </w:r>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113</w:t>
      </w:r>
    </w:p>
    <w:p>
      <w:pPr>
        <w:pStyle w:val="22"/>
        <w:tabs>
          <w:tab w:val="right" w:leader="dot" w:pos="8306"/>
        </w:tabs>
        <w:rPr>
          <w:rFonts w:hint="default" w:ascii="仿宋" w:hAnsi="仿宋" w:eastAsia="仿宋" w:cs="仿宋"/>
          <w:sz w:val="30"/>
          <w:szCs w:val="30"/>
          <w:lang w:val="en-US" w:eastAsia="zh-CN"/>
        </w:rPr>
      </w:pPr>
      <w:r>
        <w:fldChar w:fldCharType="begin"/>
      </w:r>
      <w:r>
        <w:instrText xml:space="preserve"> HYPERLINK \l "_Toc25166_WPSOffice_Level1" </w:instrText>
      </w:r>
      <w:r>
        <w:fldChar w:fldCharType="separate"/>
      </w:r>
      <w:sdt>
        <w:sdtPr>
          <w:rPr>
            <w:rFonts w:hint="eastAsia" w:ascii="仿宋" w:hAnsi="仿宋" w:eastAsia="仿宋" w:cs="仿宋"/>
            <w:kern w:val="2"/>
            <w:sz w:val="30"/>
            <w:szCs w:val="30"/>
          </w:rPr>
          <w:id w:val="1314526572"/>
          <w:placeholder>
            <w:docPart w:val="{c1d3e371-13e1-40b0-8c55-c9c2ee3adbcd}"/>
          </w:placeholder>
        </w:sdtPr>
        <w:sdtEndPr>
          <w:rPr>
            <w:rFonts w:hint="eastAsia" w:ascii="仿宋" w:hAnsi="仿宋" w:eastAsia="仿宋" w:cs="仿宋"/>
            <w:kern w:val="2"/>
            <w:sz w:val="30"/>
            <w:szCs w:val="30"/>
          </w:rPr>
        </w:sdtEndPr>
        <w:sdtContent>
          <w:r>
            <w:rPr>
              <w:rFonts w:hint="eastAsia" w:ascii="仿宋" w:hAnsi="仿宋" w:eastAsia="仿宋" w:cs="仿宋"/>
              <w:sz w:val="30"/>
              <w:szCs w:val="30"/>
            </w:rPr>
            <w:t>厦门银行股份有限公司2021年度监事会及监事履职评价报告</w:t>
          </w:r>
        </w:sdtContent>
      </w:sdt>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117</w:t>
      </w:r>
      <w:bookmarkStart w:id="25" w:name="_GoBack"/>
      <w:bookmarkEnd w:id="25"/>
    </w:p>
    <w:p>
      <w:pPr>
        <w:rPr>
          <w:rFonts w:asciiTheme="minorEastAsia" w:hAnsiTheme="minorEastAsia" w:cstheme="minorEastAsia"/>
          <w:b/>
          <w:bCs/>
          <w:sz w:val="28"/>
          <w:szCs w:val="28"/>
        </w:rPr>
      </w:pPr>
      <w:r>
        <w:rPr>
          <w:rFonts w:hint="eastAsia" w:asciiTheme="minorEastAsia" w:hAnsiTheme="minorEastAsia" w:cstheme="minorEastAsia"/>
          <w:b/>
          <w:bCs/>
          <w:sz w:val="28"/>
          <w:szCs w:val="28"/>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仿宋" w:hAnsi="仿宋" w:eastAsia="仿宋" w:cs="仿宋"/>
          <w:b/>
          <w:bCs/>
          <w:sz w:val="30"/>
          <w:szCs w:val="30"/>
        </w:rPr>
      </w:pPr>
      <w:bookmarkStart w:id="1" w:name="_Toc12240_WPSOffice_Level1"/>
      <w:r>
        <w:rPr>
          <w:rFonts w:hint="eastAsia" w:ascii="仿宋" w:hAnsi="仿宋" w:eastAsia="仿宋" w:cs="仿宋"/>
          <w:b/>
          <w:bCs/>
          <w:sz w:val="30"/>
          <w:szCs w:val="30"/>
        </w:rPr>
        <w:t>会议议程</w:t>
      </w:r>
      <w:bookmarkEnd w:id="1"/>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 w:hAnsi="仿宋" w:eastAsia="仿宋" w:cs="仿宋"/>
          <w:sz w:val="30"/>
          <w:szCs w:val="30"/>
        </w:rPr>
      </w:pPr>
      <w:r>
        <w:rPr>
          <w:rFonts w:hint="eastAsia" w:ascii="仿宋" w:hAnsi="仿宋" w:eastAsia="仿宋" w:cs="仿宋"/>
          <w:sz w:val="30"/>
          <w:szCs w:val="30"/>
        </w:rPr>
        <w:t>会议时间：202</w:t>
      </w:r>
      <w:r>
        <w:rPr>
          <w:rFonts w:hint="eastAsia" w:ascii="仿宋" w:hAnsi="仿宋" w:eastAsia="仿宋" w:cs="仿宋"/>
          <w:sz w:val="30"/>
          <w:szCs w:val="30"/>
          <w:lang w:val="en-US" w:eastAsia="zh-CN"/>
        </w:rPr>
        <w:t>2</w:t>
      </w:r>
      <w:r>
        <w:rPr>
          <w:rFonts w:hint="eastAsia" w:ascii="仿宋" w:hAnsi="仿宋" w:eastAsia="仿宋" w:cs="仿宋"/>
          <w:sz w:val="30"/>
          <w:szCs w:val="30"/>
        </w:rPr>
        <w:t>年</w:t>
      </w:r>
      <w:r>
        <w:rPr>
          <w:rFonts w:hint="eastAsia" w:ascii="仿宋" w:hAnsi="仿宋" w:eastAsia="仿宋" w:cs="仿宋"/>
          <w:sz w:val="30"/>
          <w:szCs w:val="30"/>
          <w:lang w:val="en-US" w:eastAsia="zh-CN"/>
        </w:rPr>
        <w:t>6</w:t>
      </w:r>
      <w:r>
        <w:rPr>
          <w:rFonts w:hint="eastAsia" w:ascii="仿宋" w:hAnsi="仿宋" w:eastAsia="仿宋" w:cs="仿宋"/>
          <w:sz w:val="30"/>
          <w:szCs w:val="30"/>
        </w:rPr>
        <w:t>月</w:t>
      </w:r>
      <w:r>
        <w:rPr>
          <w:rFonts w:hint="eastAsia" w:ascii="仿宋" w:hAnsi="仿宋" w:eastAsia="仿宋" w:cs="仿宋"/>
          <w:sz w:val="30"/>
          <w:szCs w:val="30"/>
          <w:lang w:val="en-US" w:eastAsia="zh-CN"/>
        </w:rPr>
        <w:t>2</w:t>
      </w:r>
      <w:r>
        <w:rPr>
          <w:rFonts w:hint="eastAsia" w:ascii="仿宋" w:hAnsi="仿宋" w:eastAsia="仿宋" w:cs="仿宋"/>
          <w:sz w:val="30"/>
          <w:szCs w:val="30"/>
        </w:rPr>
        <w:t>日下午14:</w:t>
      </w:r>
      <w:r>
        <w:rPr>
          <w:rFonts w:hint="eastAsia" w:ascii="仿宋" w:hAnsi="仿宋" w:eastAsia="仿宋" w:cs="仿宋"/>
          <w:sz w:val="30"/>
          <w:szCs w:val="30"/>
          <w:lang w:val="en-US" w:eastAsia="zh-CN"/>
        </w:rPr>
        <w:t>0</w:t>
      </w:r>
      <w:r>
        <w:rPr>
          <w:rFonts w:hint="eastAsia" w:ascii="仿宋" w:hAnsi="仿宋" w:eastAsia="仿宋" w:cs="仿宋"/>
          <w:sz w:val="30"/>
          <w:szCs w:val="30"/>
        </w:rPr>
        <w:t>0</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 w:hAnsi="仿宋" w:eastAsia="仿宋" w:cs="仿宋"/>
          <w:sz w:val="30"/>
          <w:szCs w:val="30"/>
        </w:rPr>
      </w:pPr>
      <w:r>
        <w:rPr>
          <w:rFonts w:hint="eastAsia" w:ascii="仿宋" w:hAnsi="仿宋" w:eastAsia="仿宋" w:cs="仿宋"/>
          <w:sz w:val="30"/>
          <w:szCs w:val="30"/>
        </w:rPr>
        <w:t>会议地点：厦门市湖滨北路101号商业银行大厦A603会议室</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 w:hAnsi="仿宋" w:eastAsia="仿宋" w:cs="仿宋"/>
          <w:sz w:val="30"/>
          <w:szCs w:val="30"/>
        </w:rPr>
      </w:pPr>
      <w:r>
        <w:rPr>
          <w:rFonts w:hint="eastAsia" w:ascii="仿宋" w:hAnsi="仿宋" w:eastAsia="仿宋" w:cs="仿宋"/>
          <w:sz w:val="30"/>
          <w:szCs w:val="30"/>
        </w:rPr>
        <w:t>召开方式：现场会议+网络投票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 w:hAnsi="仿宋" w:eastAsia="仿宋" w:cs="仿宋"/>
          <w:sz w:val="30"/>
          <w:szCs w:val="30"/>
        </w:rPr>
      </w:pPr>
      <w:r>
        <w:rPr>
          <w:rFonts w:hint="eastAsia" w:ascii="仿宋" w:hAnsi="仿宋" w:eastAsia="仿宋" w:cs="仿宋"/>
          <w:sz w:val="30"/>
          <w:szCs w:val="30"/>
        </w:rPr>
        <w:t>召 集 人：厦门银行股份有限公司（以下简称“公司”或“本行”）董事会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 w:hAnsi="仿宋" w:eastAsia="仿宋" w:cs="仿宋"/>
          <w:sz w:val="30"/>
          <w:szCs w:val="30"/>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 w:hAnsi="仿宋" w:eastAsia="仿宋" w:cs="仿宋"/>
          <w:b/>
          <w:bCs/>
          <w:sz w:val="30"/>
          <w:szCs w:val="30"/>
        </w:rPr>
      </w:pPr>
      <w:bookmarkStart w:id="2" w:name="_Toc18955_WPSOffice_Level1"/>
      <w:r>
        <w:rPr>
          <w:rFonts w:hint="eastAsia" w:ascii="仿宋" w:hAnsi="仿宋" w:eastAsia="仿宋" w:cs="仿宋"/>
          <w:b/>
          <w:bCs/>
          <w:sz w:val="30"/>
          <w:szCs w:val="30"/>
        </w:rPr>
        <w:t>议程内容</w:t>
      </w:r>
      <w:bookmarkEnd w:id="2"/>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ascii="仿宋" w:hAnsi="仿宋" w:eastAsia="仿宋" w:cs="仿宋"/>
          <w:sz w:val="30"/>
          <w:szCs w:val="30"/>
        </w:rPr>
      </w:pPr>
      <w:bookmarkStart w:id="3" w:name="_Toc3526_WPSOffice_Level1"/>
      <w:r>
        <w:rPr>
          <w:rFonts w:hint="eastAsia" w:ascii="仿宋" w:hAnsi="仿宋" w:eastAsia="仿宋" w:cs="仿宋"/>
          <w:sz w:val="30"/>
          <w:szCs w:val="30"/>
        </w:rPr>
        <w:t>宣布会议开始</w:t>
      </w:r>
      <w:bookmarkEnd w:id="3"/>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ascii="仿宋" w:hAnsi="仿宋" w:eastAsia="仿宋" w:cs="仿宋"/>
          <w:sz w:val="30"/>
          <w:szCs w:val="30"/>
        </w:rPr>
      </w:pPr>
      <w:bookmarkStart w:id="4" w:name="_Toc14836_WPSOffice_Level1"/>
      <w:r>
        <w:rPr>
          <w:rFonts w:hint="eastAsia" w:ascii="仿宋" w:hAnsi="仿宋" w:eastAsia="仿宋" w:cs="仿宋"/>
          <w:sz w:val="30"/>
          <w:szCs w:val="30"/>
        </w:rPr>
        <w:t>宣读股东大会会议须知</w:t>
      </w:r>
      <w:bookmarkEnd w:id="4"/>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ascii="仿宋" w:hAnsi="仿宋" w:eastAsia="仿宋" w:cs="仿宋"/>
          <w:sz w:val="30"/>
          <w:szCs w:val="30"/>
        </w:rPr>
      </w:pPr>
      <w:bookmarkStart w:id="5" w:name="_Toc22970_WPSOffice_Level1"/>
      <w:r>
        <w:rPr>
          <w:rFonts w:hint="eastAsia" w:ascii="仿宋" w:hAnsi="仿宋" w:eastAsia="仿宋" w:cs="仿宋"/>
          <w:sz w:val="30"/>
          <w:szCs w:val="30"/>
        </w:rPr>
        <w:t>审议各项议案</w:t>
      </w:r>
      <w:bookmarkEnd w:id="5"/>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ascii="仿宋" w:hAnsi="仿宋" w:eastAsia="仿宋" w:cs="仿宋"/>
          <w:sz w:val="30"/>
          <w:szCs w:val="30"/>
        </w:rPr>
      </w:pPr>
      <w:bookmarkStart w:id="6" w:name="_Toc11815_WPSOffice_Level1"/>
      <w:r>
        <w:rPr>
          <w:rFonts w:hint="eastAsia" w:ascii="仿宋" w:hAnsi="仿宋" w:eastAsia="仿宋" w:cs="仿宋"/>
          <w:sz w:val="30"/>
          <w:szCs w:val="30"/>
        </w:rPr>
        <w:t>提问交流</w:t>
      </w:r>
      <w:bookmarkEnd w:id="6"/>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ascii="仿宋" w:hAnsi="仿宋" w:eastAsia="仿宋" w:cs="仿宋"/>
          <w:sz w:val="30"/>
          <w:szCs w:val="30"/>
        </w:rPr>
      </w:pPr>
      <w:bookmarkStart w:id="7" w:name="_Toc29589_WPSOffice_Level1"/>
      <w:r>
        <w:rPr>
          <w:rFonts w:hint="eastAsia" w:ascii="仿宋" w:hAnsi="仿宋" w:eastAsia="仿宋" w:cs="仿宋"/>
          <w:sz w:val="30"/>
          <w:szCs w:val="30"/>
        </w:rPr>
        <w:t>宣布出席会议股东人数、代表股份数</w:t>
      </w:r>
      <w:bookmarkEnd w:id="7"/>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ascii="仿宋" w:hAnsi="仿宋" w:eastAsia="仿宋" w:cs="仿宋"/>
          <w:sz w:val="30"/>
          <w:szCs w:val="30"/>
        </w:rPr>
      </w:pPr>
      <w:bookmarkStart w:id="8" w:name="_Toc352_WPSOffice_Level1"/>
      <w:r>
        <w:rPr>
          <w:rFonts w:hint="eastAsia" w:ascii="仿宋" w:hAnsi="仿宋" w:eastAsia="仿宋" w:cs="仿宋"/>
          <w:sz w:val="30"/>
          <w:szCs w:val="30"/>
        </w:rPr>
        <w:t>推选计票人、监票人</w:t>
      </w:r>
      <w:bookmarkEnd w:id="8"/>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ascii="仿宋" w:hAnsi="仿宋" w:eastAsia="仿宋" w:cs="仿宋"/>
          <w:sz w:val="30"/>
          <w:szCs w:val="30"/>
        </w:rPr>
      </w:pPr>
      <w:bookmarkStart w:id="9" w:name="_Toc2865_WPSOffice_Level1"/>
      <w:r>
        <w:rPr>
          <w:rFonts w:hint="eastAsia" w:ascii="仿宋" w:hAnsi="仿宋" w:eastAsia="仿宋" w:cs="仿宋"/>
          <w:sz w:val="30"/>
          <w:szCs w:val="30"/>
        </w:rPr>
        <w:t>投票表决</w:t>
      </w:r>
      <w:bookmarkEnd w:id="9"/>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ascii="仿宋" w:hAnsi="仿宋" w:eastAsia="仿宋" w:cs="仿宋"/>
          <w:sz w:val="30"/>
          <w:szCs w:val="30"/>
        </w:rPr>
      </w:pPr>
      <w:bookmarkStart w:id="10" w:name="_Toc11222_WPSOffice_Level1"/>
      <w:r>
        <w:rPr>
          <w:rFonts w:hint="eastAsia" w:ascii="仿宋" w:hAnsi="仿宋" w:eastAsia="仿宋" w:cs="仿宋"/>
          <w:sz w:val="30"/>
          <w:szCs w:val="30"/>
        </w:rPr>
        <w:t>与会代表休息（工作人员统计投票结果）</w:t>
      </w:r>
      <w:bookmarkEnd w:id="10"/>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ascii="仿宋" w:hAnsi="仿宋" w:eastAsia="仿宋" w:cs="仿宋"/>
          <w:sz w:val="30"/>
          <w:szCs w:val="30"/>
        </w:rPr>
      </w:pPr>
      <w:bookmarkStart w:id="11" w:name="_Toc18570_WPSOffice_Level1"/>
      <w:r>
        <w:rPr>
          <w:rFonts w:hint="eastAsia" w:ascii="仿宋" w:hAnsi="仿宋" w:eastAsia="仿宋" w:cs="仿宋"/>
          <w:sz w:val="30"/>
          <w:szCs w:val="30"/>
        </w:rPr>
        <w:t>宣布现场表决结果</w:t>
      </w:r>
      <w:bookmarkEnd w:id="11"/>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ascii="仿宋" w:hAnsi="仿宋" w:eastAsia="仿宋" w:cs="仿宋"/>
          <w:sz w:val="30"/>
          <w:szCs w:val="30"/>
        </w:rPr>
      </w:pPr>
      <w:bookmarkStart w:id="12" w:name="_Toc2997_WPSOffice_Level1"/>
      <w:r>
        <w:rPr>
          <w:rFonts w:hint="eastAsia" w:ascii="仿宋" w:hAnsi="仿宋" w:eastAsia="仿宋" w:cs="仿宋"/>
          <w:sz w:val="30"/>
          <w:szCs w:val="30"/>
        </w:rPr>
        <w:t>见证律师宣读法律意见书</w:t>
      </w:r>
      <w:bookmarkEnd w:id="12"/>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ascii="仿宋" w:hAnsi="仿宋" w:eastAsia="仿宋" w:cs="仿宋"/>
          <w:sz w:val="30"/>
          <w:szCs w:val="30"/>
        </w:rPr>
      </w:pPr>
      <w:bookmarkStart w:id="13" w:name="_Toc30420_WPSOffice_Level1"/>
      <w:r>
        <w:rPr>
          <w:rFonts w:hint="eastAsia" w:ascii="仿宋" w:hAnsi="仿宋" w:eastAsia="仿宋" w:cs="仿宋"/>
          <w:sz w:val="30"/>
          <w:szCs w:val="30"/>
        </w:rPr>
        <w:t>宣布会议结束</w:t>
      </w:r>
      <w:bookmarkEnd w:id="13"/>
    </w:p>
    <w:p>
      <w:pPr>
        <w:rPr>
          <w:rFonts w:ascii="仿宋" w:hAnsi="仿宋" w:eastAsia="仿宋" w:cs="仿宋"/>
          <w:sz w:val="30"/>
          <w:szCs w:val="30"/>
        </w:rPr>
      </w:pPr>
    </w:p>
    <w:p>
      <w:pPr>
        <w:rPr>
          <w:rFonts w:ascii="仿宋" w:hAnsi="仿宋" w:eastAsia="仿宋" w:cs="仿宋"/>
          <w:b/>
          <w:bCs/>
          <w:sz w:val="30"/>
          <w:szCs w:val="30"/>
        </w:rPr>
      </w:pPr>
      <w:bookmarkStart w:id="14" w:name="_Toc22087_WPSOffice_Level1"/>
      <w:r>
        <w:rPr>
          <w:rFonts w:hint="eastAsia" w:ascii="仿宋" w:hAnsi="仿宋" w:eastAsia="仿宋" w:cs="仿宋"/>
          <w:b/>
          <w:bCs/>
          <w:sz w:val="30"/>
          <w:szCs w:val="30"/>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仿宋" w:hAnsi="仿宋" w:eastAsia="仿宋" w:cs="仿宋"/>
          <w:b/>
          <w:bCs/>
          <w:sz w:val="30"/>
          <w:szCs w:val="30"/>
        </w:rPr>
      </w:pPr>
      <w:r>
        <w:rPr>
          <w:rFonts w:hint="eastAsia" w:ascii="仿宋" w:hAnsi="仿宋" w:eastAsia="仿宋" w:cs="仿宋"/>
          <w:b/>
          <w:bCs/>
          <w:sz w:val="30"/>
          <w:szCs w:val="30"/>
        </w:rPr>
        <w:t>会议须知</w:t>
      </w:r>
      <w:bookmarkEnd w:id="14"/>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 w:hAnsi="仿宋" w:eastAsia="仿宋" w:cs="仿宋"/>
          <w:sz w:val="30"/>
          <w:szCs w:val="30"/>
        </w:rPr>
      </w:pPr>
      <w:r>
        <w:rPr>
          <w:rFonts w:hint="eastAsia" w:ascii="仿宋" w:hAnsi="仿宋" w:eastAsia="仿宋" w:cs="仿宋"/>
          <w:sz w:val="30"/>
          <w:szCs w:val="30"/>
        </w:rPr>
        <w:t>为维护全体股东的合法权益，确保股东大会会议秩序和议事效率，根据《中华人民共和国公司法》（以下简称“《公司法》”、《中华人民共和国证券法》（以下简称“《证券法》”）、《上市公司股东大会规则》《厦门银行股份有限公司章程》（以下简称“《公司章程》”或“本行章程”）和《厦门银行股份有限公司股东大会议事规则》等相关规定，特制定本须知。</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 w:hAnsi="仿宋" w:eastAsia="仿宋" w:cs="仿宋"/>
          <w:sz w:val="30"/>
          <w:szCs w:val="30"/>
        </w:rPr>
      </w:pPr>
      <w:r>
        <w:rPr>
          <w:rFonts w:hint="eastAsia" w:ascii="仿宋" w:hAnsi="仿宋" w:eastAsia="仿宋" w:cs="仿宋"/>
          <w:sz w:val="30"/>
          <w:szCs w:val="30"/>
        </w:rPr>
        <w:t>一、公司根据《公司法》《证券法》《上市公司股东大会规则》和《公司章程》的规定，认真做好召开股东大会的各项工作。</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 w:hAnsi="仿宋" w:eastAsia="仿宋" w:cs="仿宋"/>
          <w:sz w:val="30"/>
          <w:szCs w:val="30"/>
        </w:rPr>
      </w:pPr>
      <w:r>
        <w:rPr>
          <w:rFonts w:hint="eastAsia" w:ascii="仿宋" w:hAnsi="仿宋" w:eastAsia="仿宋" w:cs="仿宋"/>
          <w:sz w:val="30"/>
          <w:szCs w:val="30"/>
        </w:rPr>
        <w:t>二、董事会以维护股东的合法权益、确保大会正常秩序和议事效率为原则，认真履行《公司章程》中规定的职责。</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 w:hAnsi="仿宋" w:eastAsia="仿宋" w:cs="仿宋"/>
          <w:sz w:val="30"/>
          <w:szCs w:val="30"/>
        </w:rPr>
      </w:pPr>
      <w:r>
        <w:rPr>
          <w:rFonts w:hint="eastAsia" w:ascii="仿宋" w:hAnsi="仿宋" w:eastAsia="仿宋" w:cs="仿宋"/>
          <w:sz w:val="30"/>
          <w:szCs w:val="30"/>
        </w:rPr>
        <w:t>三、股东及股东代理人参与股东大会依法享有发言权、质询权、表决权等权利。根据《公司章程》规定，股权登记日（202</w:t>
      </w:r>
      <w:r>
        <w:rPr>
          <w:rFonts w:hint="eastAsia" w:ascii="仿宋" w:hAnsi="仿宋" w:eastAsia="仿宋" w:cs="仿宋"/>
          <w:sz w:val="30"/>
          <w:szCs w:val="30"/>
          <w:lang w:val="en-US" w:eastAsia="zh-CN"/>
        </w:rPr>
        <w:t>2</w:t>
      </w:r>
      <w:r>
        <w:rPr>
          <w:rFonts w:hint="eastAsia" w:ascii="仿宋" w:hAnsi="仿宋" w:eastAsia="仿宋" w:cs="仿宋"/>
          <w:sz w:val="30"/>
          <w:szCs w:val="30"/>
        </w:rPr>
        <w:t>年</w:t>
      </w:r>
      <w:r>
        <w:rPr>
          <w:rFonts w:hint="eastAsia" w:ascii="仿宋" w:hAnsi="仿宋" w:eastAsia="仿宋" w:cs="仿宋"/>
          <w:sz w:val="30"/>
          <w:szCs w:val="30"/>
          <w:lang w:val="en-US" w:eastAsia="zh-CN"/>
        </w:rPr>
        <w:t>5</w:t>
      </w:r>
      <w:r>
        <w:rPr>
          <w:rFonts w:hint="eastAsia" w:ascii="仿宋" w:hAnsi="仿宋" w:eastAsia="仿宋" w:cs="仿宋"/>
          <w:sz w:val="30"/>
          <w:szCs w:val="30"/>
        </w:rPr>
        <w:t>月</w:t>
      </w:r>
      <w:r>
        <w:rPr>
          <w:rFonts w:hint="eastAsia" w:ascii="仿宋" w:hAnsi="仿宋" w:eastAsia="仿宋" w:cs="仿宋"/>
          <w:sz w:val="30"/>
          <w:szCs w:val="30"/>
          <w:lang w:val="en-US" w:eastAsia="zh-CN"/>
        </w:rPr>
        <w:t>27</w:t>
      </w:r>
      <w:r>
        <w:rPr>
          <w:rFonts w:hint="eastAsia" w:ascii="仿宋" w:hAnsi="仿宋" w:eastAsia="仿宋" w:cs="仿宋"/>
          <w:sz w:val="30"/>
          <w:szCs w:val="30"/>
        </w:rPr>
        <w:t>日）在公司授信逾期的股东及质押公司股份数量达到或超过其持有公司股份的50%的股东，其投票表决权将被限制。</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 w:hAnsi="仿宋" w:eastAsia="仿宋" w:cs="仿宋"/>
          <w:sz w:val="30"/>
          <w:szCs w:val="30"/>
        </w:rPr>
      </w:pPr>
      <w:r>
        <w:rPr>
          <w:rFonts w:hint="eastAsia" w:ascii="仿宋" w:hAnsi="仿宋" w:eastAsia="仿宋" w:cs="仿宋"/>
          <w:sz w:val="30"/>
          <w:szCs w:val="30"/>
        </w:rPr>
        <w:t>四、股东参加股东大会，应认真履行其法定权利和义务，尊重和维护其他股东的合法权益。会议开始后应将手机铃声置于震动或静音状态，保障大会的正常秩序。</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 w:hAnsi="仿宋" w:eastAsia="仿宋" w:cs="仿宋"/>
          <w:sz w:val="30"/>
          <w:szCs w:val="30"/>
        </w:rPr>
      </w:pPr>
      <w:r>
        <w:rPr>
          <w:rFonts w:hint="eastAsia" w:ascii="仿宋" w:hAnsi="仿宋" w:eastAsia="仿宋" w:cs="仿宋"/>
          <w:sz w:val="30"/>
          <w:szCs w:val="30"/>
        </w:rPr>
        <w:t>五、在会议主持人宣布现场出席会议的股东和代理人数及其所持有表决权的股份总数之前，会议现场登记终止。</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 w:hAnsi="仿宋" w:eastAsia="仿宋" w:cs="仿宋"/>
          <w:sz w:val="30"/>
          <w:szCs w:val="30"/>
        </w:rPr>
      </w:pPr>
      <w:r>
        <w:rPr>
          <w:rFonts w:hint="eastAsia" w:ascii="仿宋" w:hAnsi="仿宋" w:eastAsia="仿宋" w:cs="仿宋"/>
          <w:sz w:val="30"/>
          <w:szCs w:val="30"/>
        </w:rPr>
        <w:t>六、股东要求在股东大会上发言的，应先经会议主持人许可。股东发言时应首先说明自己的股东身份（或所代表的股东单位）、持股数量等情况。股东发言或提问应与本次股东大会议题相关，每次发言原则上不超过2分钟。公司董事和高级管理人员应当认真负责、有针对性地集中回答股东的问题。全部提问及回答的时间控制在20分钟以内。</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 w:hAnsi="仿宋" w:eastAsia="仿宋" w:cs="仿宋"/>
          <w:sz w:val="30"/>
          <w:szCs w:val="30"/>
        </w:rPr>
      </w:pPr>
      <w:r>
        <w:rPr>
          <w:rFonts w:hint="eastAsia" w:ascii="仿宋" w:hAnsi="仿宋" w:eastAsia="仿宋" w:cs="仿宋"/>
          <w:sz w:val="30"/>
          <w:szCs w:val="30"/>
        </w:rPr>
        <w:t>七、本次股东大会采取现场投票和网络投票相结合的方式。现场投票方法：每项议案逐项表决，请股东在表决票上逐项填写表决意见，未填、错填、字迹无法辨认的，视为“弃权”；网络投票方法：股东可以在网络投票规定的时间内通过上海证券交易所</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以下简称“上交所”</w:t>
      </w:r>
      <w:r>
        <w:rPr>
          <w:rFonts w:hint="eastAsia" w:ascii="仿宋" w:hAnsi="仿宋" w:eastAsia="仿宋" w:cs="仿宋"/>
          <w:sz w:val="30"/>
          <w:szCs w:val="30"/>
          <w:lang w:eastAsia="zh-CN"/>
        </w:rPr>
        <w:t>）</w:t>
      </w:r>
      <w:r>
        <w:rPr>
          <w:rFonts w:hint="eastAsia" w:ascii="仿宋" w:hAnsi="仿宋" w:eastAsia="仿宋" w:cs="仿宋"/>
          <w:sz w:val="30"/>
          <w:szCs w:val="30"/>
        </w:rPr>
        <w:t>交易系统行使表决权。同一表决权只能通过现场或网络投票方式中的一种方式行使，如出现重复投票，以第一次投票结果为准。具体投票方法按照公司于202</w:t>
      </w:r>
      <w:r>
        <w:rPr>
          <w:rFonts w:hint="eastAsia" w:ascii="仿宋" w:hAnsi="仿宋" w:eastAsia="仿宋" w:cs="仿宋"/>
          <w:sz w:val="30"/>
          <w:szCs w:val="30"/>
          <w:lang w:val="en-US" w:eastAsia="zh-CN"/>
        </w:rPr>
        <w:t>2</w:t>
      </w:r>
      <w:r>
        <w:rPr>
          <w:rFonts w:hint="eastAsia" w:ascii="仿宋" w:hAnsi="仿宋" w:eastAsia="仿宋" w:cs="仿宋"/>
          <w:sz w:val="30"/>
          <w:szCs w:val="30"/>
        </w:rPr>
        <w:t>年</w:t>
      </w:r>
      <w:r>
        <w:rPr>
          <w:rFonts w:hint="eastAsia" w:ascii="仿宋" w:hAnsi="仿宋" w:eastAsia="仿宋" w:cs="仿宋"/>
          <w:sz w:val="30"/>
          <w:szCs w:val="30"/>
          <w:lang w:val="en-US" w:eastAsia="zh-CN"/>
        </w:rPr>
        <w:t>5</w:t>
      </w:r>
      <w:r>
        <w:rPr>
          <w:rFonts w:hint="eastAsia" w:ascii="仿宋" w:hAnsi="仿宋" w:eastAsia="仿宋" w:cs="仿宋"/>
          <w:sz w:val="30"/>
          <w:szCs w:val="30"/>
        </w:rPr>
        <w:t>月</w:t>
      </w:r>
      <w:r>
        <w:rPr>
          <w:rFonts w:hint="eastAsia" w:ascii="仿宋" w:hAnsi="仿宋" w:eastAsia="仿宋" w:cs="仿宋"/>
          <w:sz w:val="30"/>
          <w:szCs w:val="30"/>
          <w:lang w:val="en-US" w:eastAsia="zh-CN"/>
        </w:rPr>
        <w:t>12</w:t>
      </w:r>
      <w:r>
        <w:rPr>
          <w:rFonts w:hint="eastAsia" w:ascii="仿宋" w:hAnsi="仿宋" w:eastAsia="仿宋" w:cs="仿宋"/>
          <w:sz w:val="30"/>
          <w:szCs w:val="30"/>
        </w:rPr>
        <w:t>日在</w:t>
      </w:r>
      <w:r>
        <w:rPr>
          <w:rFonts w:hint="eastAsia" w:ascii="仿宋" w:hAnsi="仿宋" w:eastAsia="仿宋" w:cs="仿宋"/>
          <w:sz w:val="30"/>
          <w:szCs w:val="30"/>
          <w:lang w:val="en-US" w:eastAsia="zh-CN"/>
        </w:rPr>
        <w:t>上交所</w:t>
      </w:r>
      <w:r>
        <w:rPr>
          <w:rFonts w:hint="eastAsia" w:ascii="仿宋" w:hAnsi="仿宋" w:eastAsia="仿宋" w:cs="仿宋"/>
          <w:sz w:val="30"/>
          <w:szCs w:val="30"/>
        </w:rPr>
        <w:t>网站（www.sse.com.cn）、《中国证券报》《上海证券报》《证券时报》《证券日报》上刊登的《厦门银行股份有限公司关于召开</w:t>
      </w:r>
      <w:r>
        <w:rPr>
          <w:rFonts w:hint="eastAsia" w:ascii="仿宋" w:hAnsi="仿宋" w:eastAsia="仿宋" w:cs="仿宋"/>
          <w:sz w:val="30"/>
          <w:szCs w:val="30"/>
          <w:lang w:eastAsia="zh-CN"/>
        </w:rPr>
        <w:t>2021年度股东大会</w:t>
      </w:r>
      <w:r>
        <w:rPr>
          <w:rFonts w:hint="eastAsia" w:ascii="仿宋" w:hAnsi="仿宋" w:eastAsia="仿宋" w:cs="仿宋"/>
          <w:sz w:val="30"/>
          <w:szCs w:val="30"/>
        </w:rPr>
        <w:t>的通知》的说明进行。现场投票结果将与网络投票结果合计形成最终表决结果，并予以公告。</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 w:hAnsi="仿宋" w:eastAsia="仿宋" w:cs="仿宋"/>
          <w:sz w:val="30"/>
          <w:szCs w:val="30"/>
        </w:rPr>
      </w:pPr>
      <w:r>
        <w:rPr>
          <w:rFonts w:hint="eastAsia" w:ascii="仿宋" w:hAnsi="仿宋" w:eastAsia="仿宋" w:cs="仿宋"/>
          <w:sz w:val="30"/>
          <w:szCs w:val="30"/>
        </w:rPr>
        <w:t>八、本次股东大会议案中第8、9、10、11、12、13、14项</w:t>
      </w:r>
      <w:r>
        <w:rPr>
          <w:rFonts w:hint="eastAsia" w:ascii="仿宋" w:hAnsi="仿宋" w:eastAsia="仿宋" w:cs="仿宋"/>
          <w:sz w:val="30"/>
          <w:szCs w:val="30"/>
          <w:lang w:val="en-US" w:eastAsia="zh-CN"/>
        </w:rPr>
        <w:t>均</w:t>
      </w:r>
      <w:r>
        <w:rPr>
          <w:rFonts w:hint="eastAsia" w:ascii="仿宋" w:hAnsi="仿宋" w:eastAsia="仿宋" w:cs="仿宋"/>
          <w:sz w:val="30"/>
          <w:szCs w:val="30"/>
        </w:rPr>
        <w:t>为特别决议事项，由参加现场会议和网络投票的有表决权的股东所持表决权的2/3以上通过。</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 w:hAnsi="仿宋" w:eastAsia="仿宋" w:cs="仿宋"/>
          <w:sz w:val="30"/>
          <w:szCs w:val="30"/>
        </w:rPr>
      </w:pPr>
      <w:r>
        <w:rPr>
          <w:rFonts w:hint="eastAsia" w:ascii="仿宋" w:hAnsi="仿宋" w:eastAsia="仿宋" w:cs="仿宋"/>
          <w:sz w:val="30"/>
          <w:szCs w:val="30"/>
        </w:rPr>
        <w:t>九、公司董事会聘请福建天衡联合律师事务所执业律师见证本次股东大会，并出具法律意见。</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 w:hAnsi="仿宋" w:eastAsia="仿宋" w:cs="仿宋"/>
          <w:sz w:val="30"/>
          <w:szCs w:val="30"/>
        </w:rPr>
      </w:pPr>
      <w:r>
        <w:rPr>
          <w:rFonts w:hint="eastAsia" w:ascii="仿宋" w:hAnsi="仿宋" w:eastAsia="仿宋" w:cs="仿宋"/>
          <w:sz w:val="30"/>
          <w:szCs w:val="30"/>
        </w:rPr>
        <w:t>十、公司不向参加股东大会的股东发放礼品，不负责安排参加股东大会股东的住宿和接送等事项。</w:t>
      </w:r>
    </w:p>
    <w:p>
      <w:pPr>
        <w:rPr>
          <w:rFonts w:ascii="仿宋" w:hAnsi="仿宋" w:eastAsia="仿宋" w:cs="仿宋"/>
          <w:sz w:val="30"/>
          <w:szCs w:val="30"/>
        </w:rPr>
      </w:pPr>
      <w:r>
        <w:rPr>
          <w:rFonts w:hint="eastAsia" w:ascii="仿宋" w:hAnsi="仿宋" w:eastAsia="仿宋" w:cs="仿宋"/>
          <w:sz w:val="30"/>
          <w:szCs w:val="30"/>
        </w:rPr>
        <w:br w:type="page"/>
      </w:r>
    </w:p>
    <w:p>
      <w:pPr>
        <w:ind w:firstLine="602" w:firstLineChars="200"/>
        <w:rPr>
          <w:rFonts w:ascii="宋体" w:hAnsi="宋体"/>
          <w:b/>
          <w:sz w:val="30"/>
          <w:szCs w:val="30"/>
        </w:rPr>
      </w:pPr>
      <w:r>
        <w:rPr>
          <w:rFonts w:ascii="宋体" w:hAnsi="宋体"/>
          <w:b/>
          <w:sz w:val="30"/>
          <w:szCs w:val="30"/>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2380615" cy="693420"/>
                <wp:effectExtent l="4445" t="5080" r="15240" b="6350"/>
                <wp:wrapNone/>
                <wp:docPr id="1" name="文本框 4"/>
                <wp:cNvGraphicFramePr/>
                <a:graphic xmlns:a="http://schemas.openxmlformats.org/drawingml/2006/main">
                  <a:graphicData uri="http://schemas.microsoft.com/office/word/2010/wordprocessingShape">
                    <wps:wsp>
                      <wps:cNvSpPr txBox="1"/>
                      <wps:spPr>
                        <a:xfrm>
                          <a:off x="0" y="0"/>
                          <a:ext cx="2380615" cy="693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hint="eastAsia"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pStyle w:val="19"/>
                              <w:jc w:val="center"/>
                              <w:rPr>
                                <w:rFonts w:hint="default" w:eastAsia="宋体"/>
                                <w:lang w:val="en-US" w:eastAsia="zh-CN"/>
                              </w:rPr>
                            </w:pPr>
                            <w:r>
                              <w:rPr>
                                <w:rFonts w:hint="eastAsia" w:ascii="宋体" w:hAnsi="宋体" w:eastAsia="宋体" w:cs="宋体"/>
                                <w:lang w:val="en-US" w:eastAsia="zh-CN"/>
                              </w:rPr>
                              <w:t>议案1</w:t>
                            </w:r>
                          </w:p>
                        </w:txbxContent>
                      </wps:txbx>
                      <wps:bodyPr upright="1"/>
                    </wps:wsp>
                  </a:graphicData>
                </a:graphic>
              </wp:anchor>
            </w:drawing>
          </mc:Choice>
          <mc:Fallback>
            <w:pict>
              <v:shape id="文本框 4" o:spid="_x0000_s1026" o:spt="202" type="#_x0000_t202" style="position:absolute;left:0pt;margin-left:0pt;margin-top:0pt;height:54.6pt;width:187.45pt;z-index:251659264;mso-width-relative:page;mso-height-relative:page;" fillcolor="#FFFFFF" filled="t" stroked="t" coordsize="21600,21600" o:gfxdata="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aF6oANUAAAAFAQAADwAAAAAAAAABACAAAAAiAAAAZHJzL2Rvd25yZXYueG1sUEsBAhQAFAAA&#10;AAgAh07iQNUcOdLyAQAA6AMAAA4AAAAAAAAAAQAgAAAAJAEAAGRycy9lMm9Eb2MueG1sUEsFBgAA&#10;AAAGAAYAWQEAAIgFA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hint="eastAsia"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pStyle w:val="19"/>
                        <w:jc w:val="center"/>
                        <w:rPr>
                          <w:rFonts w:hint="default" w:eastAsia="宋体"/>
                          <w:lang w:val="en-US" w:eastAsia="zh-CN"/>
                        </w:rPr>
                      </w:pPr>
                      <w:r>
                        <w:rPr>
                          <w:rFonts w:hint="eastAsia" w:ascii="宋体" w:hAnsi="宋体" w:eastAsia="宋体" w:cs="宋体"/>
                          <w:lang w:val="en-US" w:eastAsia="zh-CN"/>
                        </w:rPr>
                        <w:t>议案1</w:t>
                      </w:r>
                    </w:p>
                  </w:txbxContent>
                </v:textbox>
              </v:shape>
            </w:pict>
          </mc:Fallback>
        </mc:AlternateContent>
      </w:r>
    </w:p>
    <w:p>
      <w:pPr>
        <w:pStyle w:val="7"/>
        <w:spacing w:line="520" w:lineRule="exact"/>
        <w:rPr>
          <w:b/>
          <w:sz w:val="24"/>
        </w:rPr>
      </w:pPr>
    </w:p>
    <w:p>
      <w:pPr>
        <w:pStyle w:val="7"/>
        <w:snapToGrid w:val="0"/>
        <w:spacing w:line="360" w:lineRule="auto"/>
        <w:jc w:val="center"/>
        <w:rPr>
          <w:b/>
          <w:sz w:val="28"/>
          <w:szCs w:val="28"/>
        </w:rPr>
      </w:pPr>
    </w:p>
    <w:p>
      <w:pPr>
        <w:widowControl/>
        <w:spacing w:line="360" w:lineRule="auto"/>
        <w:jc w:val="center"/>
        <w:rPr>
          <w:rFonts w:ascii="宋体" w:hAnsi="宋体"/>
          <w:b/>
          <w:bCs/>
          <w:color w:val="000000"/>
          <w:sz w:val="30"/>
          <w:szCs w:val="30"/>
        </w:rPr>
      </w:pPr>
      <w:r>
        <w:rPr>
          <w:rFonts w:hint="eastAsia" w:ascii="宋体" w:hAnsi="宋体"/>
          <w:b/>
          <w:bCs/>
          <w:color w:val="000000"/>
          <w:sz w:val="30"/>
          <w:szCs w:val="30"/>
          <w:lang w:val="en-US" w:eastAsia="zh-CN"/>
        </w:rPr>
        <w:t>厦门银行股份有限公司关于2021年度财务决算报告的议案</w:t>
      </w:r>
    </w:p>
    <w:p>
      <w:pPr>
        <w:widowControl/>
        <w:spacing w:line="360" w:lineRule="auto"/>
        <w:rPr>
          <w:rFonts w:hint="eastAsia" w:ascii="宋体" w:hAnsi="宋体" w:cs="宋体"/>
          <w:kern w:val="0"/>
          <w:sz w:val="24"/>
        </w:rPr>
      </w:pPr>
    </w:p>
    <w:p>
      <w:pPr>
        <w:keepNext w:val="0"/>
        <w:keepLines w:val="0"/>
        <w:pageBreakBefore w:val="0"/>
        <w:widowControl/>
        <w:kinsoku/>
        <w:wordWrap/>
        <w:overflowPunct/>
        <w:topLinePunct w:val="0"/>
        <w:autoSpaceDE/>
        <w:autoSpaceDN/>
        <w:bidi w:val="0"/>
        <w:adjustRightInd/>
        <w:snapToGrid w:val="0"/>
        <w:spacing w:line="360" w:lineRule="auto"/>
        <w:textAlignment w:val="auto"/>
        <w:rPr>
          <w:rFonts w:hint="eastAsia" w:ascii="宋体" w:hAnsi="宋体" w:eastAsia="宋体" w:cs="宋体"/>
          <w:color w:val="000000"/>
          <w:kern w:val="0"/>
          <w:sz w:val="24"/>
          <w:szCs w:val="24"/>
        </w:rPr>
      </w:pPr>
      <w:r>
        <w:rPr>
          <w:rFonts w:hint="eastAsia" w:ascii="宋体" w:hAnsi="宋体" w:eastAsia="宋体" w:cs="宋体"/>
          <w:kern w:val="0"/>
          <w:sz w:val="24"/>
        </w:rPr>
        <w:t>尊敬的各位</w:t>
      </w:r>
      <w:r>
        <w:rPr>
          <w:rFonts w:hint="eastAsia" w:ascii="宋体" w:hAnsi="宋体" w:eastAsia="宋体" w:cs="宋体"/>
          <w:kern w:val="0"/>
          <w:sz w:val="24"/>
          <w:lang w:val="en-US" w:eastAsia="zh-CN"/>
        </w:rPr>
        <w:t>股东</w:t>
      </w:r>
      <w:r>
        <w:rPr>
          <w:rFonts w:hint="eastAsia" w:ascii="宋体" w:hAnsi="宋体" w:eastAsia="宋体" w:cs="宋体"/>
          <w:kern w:val="0"/>
          <w:sz w:val="24"/>
        </w:rPr>
        <w:t>：</w:t>
      </w:r>
    </w:p>
    <w:p>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现将202</w:t>
      </w:r>
      <w:r>
        <w:rPr>
          <w:rFonts w:hint="eastAsia" w:ascii="宋体" w:hAnsi="宋体" w:eastAsia="宋体" w:cs="宋体"/>
          <w:kern w:val="0"/>
          <w:sz w:val="24"/>
          <w:szCs w:val="24"/>
          <w:lang w:val="en-US" w:eastAsia="zh-CN"/>
        </w:rPr>
        <w:t>1</w:t>
      </w:r>
      <w:r>
        <w:rPr>
          <w:rFonts w:hint="eastAsia" w:ascii="宋体" w:hAnsi="宋体" w:eastAsia="宋体" w:cs="宋体"/>
          <w:kern w:val="0"/>
          <w:sz w:val="24"/>
          <w:szCs w:val="24"/>
        </w:rPr>
        <w:t>年度财务决算报告如下：</w:t>
      </w:r>
    </w:p>
    <w:p>
      <w:pPr>
        <w:keepNext w:val="0"/>
        <w:keepLines w:val="0"/>
        <w:pageBreakBefore w:val="0"/>
        <w:widowControl/>
        <w:numPr>
          <w:ilvl w:val="0"/>
          <w:numId w:val="2"/>
        </w:numPr>
        <w:kinsoku/>
        <w:wordWrap/>
        <w:overflowPunct/>
        <w:topLinePunct w:val="0"/>
        <w:autoSpaceDE/>
        <w:autoSpaceDN/>
        <w:bidi w:val="0"/>
        <w:adjustRightInd/>
        <w:snapToGrid w:val="0"/>
        <w:spacing w:line="360" w:lineRule="auto"/>
        <w:ind w:left="481"/>
        <w:textAlignment w:val="auto"/>
        <w:rPr>
          <w:rFonts w:hint="eastAsia" w:ascii="宋体" w:hAnsi="宋体" w:eastAsia="宋体" w:cs="宋体"/>
          <w:b/>
          <w:bCs/>
          <w:kern w:val="0"/>
          <w:sz w:val="24"/>
          <w:szCs w:val="24"/>
          <w:lang w:val="en-US" w:eastAsia="zh-CN"/>
        </w:rPr>
      </w:pPr>
      <w:r>
        <w:rPr>
          <w:rFonts w:hint="eastAsia" w:ascii="宋体" w:hAnsi="宋体" w:eastAsia="宋体" w:cs="宋体"/>
          <w:b/>
          <w:bCs/>
          <w:kern w:val="0"/>
          <w:sz w:val="24"/>
          <w:szCs w:val="24"/>
          <w:lang w:val="en-US" w:eastAsia="zh-CN"/>
        </w:rPr>
        <w:t>财务报告审计情况</w:t>
      </w:r>
    </w:p>
    <w:p>
      <w:pPr>
        <w:keepNext w:val="0"/>
        <w:keepLines w:val="0"/>
        <w:pageBreakBefore w:val="0"/>
        <w:widowControl/>
        <w:numPr>
          <w:ilvl w:val="-1"/>
          <w:numId w:val="0"/>
        </w:numPr>
        <w:kinsoku/>
        <w:wordWrap/>
        <w:overflowPunct/>
        <w:topLinePunct w:val="0"/>
        <w:autoSpaceDE/>
        <w:autoSpaceDN/>
        <w:bidi w:val="0"/>
        <w:adjustRightInd/>
        <w:snapToGrid w:val="0"/>
        <w:spacing w:line="360" w:lineRule="auto"/>
        <w:ind w:left="0" w:firstLine="480" w:firstLineChars="200"/>
        <w:textAlignment w:val="auto"/>
        <w:rPr>
          <w:rFonts w:hint="eastAsia" w:ascii="宋体" w:hAnsi="宋体" w:eastAsia="宋体" w:cs="宋体"/>
          <w:kern w:val="0"/>
          <w:sz w:val="24"/>
          <w:szCs w:val="24"/>
          <w:lang w:val="en-US" w:eastAsia="zh-CN"/>
        </w:rPr>
      </w:pPr>
      <w:r>
        <w:rPr>
          <w:rFonts w:hint="eastAsia" w:ascii="宋体" w:hAnsi="宋体" w:eastAsia="宋体" w:cs="宋体"/>
          <w:b w:val="0"/>
          <w:bCs w:val="0"/>
          <w:kern w:val="0"/>
          <w:sz w:val="24"/>
          <w:szCs w:val="24"/>
          <w:lang w:val="en-US" w:eastAsia="zh-CN"/>
        </w:rPr>
        <w:t>2021年，本行聘请</w:t>
      </w:r>
      <w:r>
        <w:rPr>
          <w:rFonts w:hint="eastAsia" w:ascii="宋体" w:hAnsi="宋体" w:eastAsia="宋体" w:cs="宋体"/>
          <w:kern w:val="0"/>
          <w:sz w:val="24"/>
          <w:szCs w:val="24"/>
        </w:rPr>
        <w:t>安永华明会计师事务所（特殊普通合伙）</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以下简称“安永华明”</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作为年度财务报告审计机构，经</w:t>
      </w:r>
      <w:r>
        <w:rPr>
          <w:rFonts w:hint="eastAsia" w:ascii="宋体" w:hAnsi="宋体" w:eastAsia="宋体" w:cs="宋体"/>
          <w:kern w:val="0"/>
          <w:sz w:val="24"/>
          <w:szCs w:val="24"/>
        </w:rPr>
        <w:t>审</w:t>
      </w:r>
      <w:r>
        <w:rPr>
          <w:rFonts w:hint="eastAsia" w:ascii="宋体" w:hAnsi="宋体" w:eastAsia="宋体" w:cs="宋体"/>
          <w:kern w:val="0"/>
          <w:sz w:val="24"/>
          <w:szCs w:val="24"/>
          <w:lang w:val="en-US" w:eastAsia="zh-CN"/>
        </w:rPr>
        <w:t>计，</w:t>
      </w:r>
      <w:r>
        <w:rPr>
          <w:rFonts w:hint="eastAsia" w:ascii="宋体" w:hAnsi="宋体" w:eastAsia="宋体" w:cs="宋体"/>
          <w:kern w:val="0"/>
          <w:sz w:val="24"/>
          <w:szCs w:val="24"/>
        </w:rPr>
        <w:t>安永华明</w:t>
      </w:r>
      <w:r>
        <w:rPr>
          <w:rFonts w:hint="eastAsia" w:ascii="宋体" w:hAnsi="宋体" w:eastAsia="宋体" w:cs="宋体"/>
          <w:kern w:val="0"/>
          <w:sz w:val="24"/>
          <w:szCs w:val="24"/>
          <w:lang w:val="en-US" w:eastAsia="zh-CN"/>
        </w:rPr>
        <w:t>对公司</w:t>
      </w:r>
      <w:r>
        <w:rPr>
          <w:rFonts w:hint="eastAsia" w:ascii="宋体" w:hAnsi="宋体" w:eastAsia="宋体" w:cs="宋体"/>
          <w:kern w:val="0"/>
          <w:sz w:val="24"/>
          <w:szCs w:val="24"/>
        </w:rPr>
        <w:t>2021年度</w:t>
      </w:r>
      <w:r>
        <w:rPr>
          <w:rFonts w:hint="eastAsia" w:ascii="宋体" w:hAnsi="宋体" w:eastAsia="宋体" w:cs="宋体"/>
          <w:kern w:val="0"/>
          <w:sz w:val="24"/>
          <w:szCs w:val="24"/>
          <w:lang w:val="en-US" w:eastAsia="zh-CN"/>
        </w:rPr>
        <w:t>财务</w:t>
      </w:r>
      <w:r>
        <w:rPr>
          <w:rFonts w:hint="eastAsia" w:ascii="宋体" w:hAnsi="宋体" w:eastAsia="宋体" w:cs="宋体"/>
          <w:kern w:val="0"/>
          <w:sz w:val="24"/>
          <w:szCs w:val="24"/>
        </w:rPr>
        <w:t>报</w:t>
      </w:r>
      <w:r>
        <w:rPr>
          <w:rFonts w:hint="eastAsia" w:ascii="宋体" w:hAnsi="宋体" w:eastAsia="宋体" w:cs="宋体"/>
          <w:kern w:val="0"/>
          <w:sz w:val="24"/>
          <w:szCs w:val="24"/>
          <w:lang w:val="en-US" w:eastAsia="zh-CN"/>
        </w:rPr>
        <w:t>告出具了标准无保留意见的审计报告。</w:t>
      </w:r>
    </w:p>
    <w:p>
      <w:pPr>
        <w:keepNext w:val="0"/>
        <w:keepLines w:val="0"/>
        <w:pageBreakBefore w:val="0"/>
        <w:widowControl/>
        <w:numPr>
          <w:ilvl w:val="0"/>
          <w:numId w:val="2"/>
        </w:numPr>
        <w:kinsoku/>
        <w:wordWrap/>
        <w:overflowPunct/>
        <w:topLinePunct w:val="0"/>
        <w:autoSpaceDE/>
        <w:autoSpaceDN/>
        <w:bidi w:val="0"/>
        <w:adjustRightInd/>
        <w:snapToGrid w:val="0"/>
        <w:spacing w:line="360" w:lineRule="auto"/>
        <w:ind w:left="481"/>
        <w:textAlignment w:val="auto"/>
        <w:rPr>
          <w:rFonts w:hint="eastAsia" w:ascii="宋体" w:hAnsi="宋体" w:eastAsia="宋体" w:cs="宋体"/>
          <w:b/>
          <w:bCs/>
          <w:kern w:val="0"/>
          <w:sz w:val="24"/>
          <w:szCs w:val="24"/>
          <w:lang w:val="en-US" w:eastAsia="zh-CN"/>
        </w:rPr>
      </w:pPr>
      <w:r>
        <w:rPr>
          <w:rFonts w:hint="eastAsia" w:ascii="宋体" w:hAnsi="宋体" w:eastAsia="宋体" w:cs="宋体"/>
          <w:b/>
          <w:bCs/>
          <w:kern w:val="0"/>
          <w:sz w:val="24"/>
          <w:szCs w:val="24"/>
          <w:lang w:val="en-US" w:eastAsia="zh-CN"/>
        </w:rPr>
        <w:t>预算执行情况</w:t>
      </w:r>
    </w:p>
    <w:p>
      <w:pPr>
        <w:keepNext w:val="0"/>
        <w:keepLines w:val="0"/>
        <w:pageBreakBefore w:val="0"/>
        <w:widowControl/>
        <w:numPr>
          <w:ilvl w:val="-1"/>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bCs/>
          <w:kern w:val="0"/>
          <w:sz w:val="24"/>
          <w:szCs w:val="24"/>
        </w:rPr>
      </w:pPr>
      <w:r>
        <w:rPr>
          <w:rFonts w:hint="eastAsia" w:ascii="宋体" w:hAnsi="宋体" w:eastAsia="宋体" w:cs="宋体"/>
          <w:kern w:val="0"/>
          <w:sz w:val="24"/>
          <w:szCs w:val="24"/>
        </w:rPr>
        <w:t>2021年，在复杂经济形势和新冠疫情反复的大环境下，公司坚决维护及贯彻党中央国务院和监管机构的各项决策部署，继续强化金融支持中小微企业、实体经济发展的作用；作为公司新三年战略发展规划首年，公司建立科学的战略执行体系，深化战略改革转型，全力推进各项业务精进发展，延续了稳中向好、</w:t>
      </w:r>
      <w:r>
        <w:rPr>
          <w:rFonts w:hint="eastAsia" w:ascii="宋体" w:hAnsi="宋体" w:eastAsia="宋体" w:cs="宋体"/>
          <w:kern w:val="0"/>
          <w:sz w:val="24"/>
          <w:szCs w:val="24"/>
          <w:lang w:val="en-US" w:eastAsia="zh-CN"/>
        </w:rPr>
        <w:t>量增</w:t>
      </w:r>
      <w:r>
        <w:rPr>
          <w:rFonts w:hint="eastAsia" w:ascii="宋体" w:hAnsi="宋体" w:eastAsia="宋体" w:cs="宋体"/>
          <w:kern w:val="0"/>
          <w:sz w:val="24"/>
          <w:szCs w:val="24"/>
        </w:rPr>
        <w:t>质优的发展态势，</w:t>
      </w:r>
      <w:r>
        <w:rPr>
          <w:rFonts w:hint="eastAsia" w:ascii="宋体" w:hAnsi="宋体" w:eastAsia="宋体" w:cs="宋体"/>
          <w:kern w:val="0"/>
          <w:sz w:val="24"/>
          <w:szCs w:val="24"/>
          <w:lang w:val="en-US" w:eastAsia="zh-CN"/>
        </w:rPr>
        <w:t>完成2021年主要预算目标</w:t>
      </w:r>
      <w:r>
        <w:rPr>
          <w:rFonts w:hint="eastAsia" w:ascii="宋体" w:hAnsi="宋体" w:eastAsia="宋体" w:cs="宋体"/>
          <w:kern w:val="0"/>
          <w:sz w:val="24"/>
          <w:szCs w:val="24"/>
        </w:rPr>
        <w:t>。</w:t>
      </w:r>
    </w:p>
    <w:p>
      <w:pPr>
        <w:keepNext w:val="0"/>
        <w:keepLines w:val="0"/>
        <w:pageBreakBefore w:val="0"/>
        <w:widowControl/>
        <w:numPr>
          <w:ilvl w:val="0"/>
          <w:numId w:val="3"/>
        </w:numPr>
        <w:kinsoku/>
        <w:wordWrap/>
        <w:overflowPunct/>
        <w:topLinePunct w:val="0"/>
        <w:autoSpaceDE/>
        <w:autoSpaceDN/>
        <w:bidi w:val="0"/>
        <w:adjustRightInd/>
        <w:snapToGrid w:val="0"/>
        <w:spacing w:line="360" w:lineRule="auto"/>
        <w:textAlignment w:val="auto"/>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资产规模平稳增长</w:t>
      </w:r>
    </w:p>
    <w:p>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2021年，公司资产规模平稳增长，资产结构进一步优化。截止2021年末，公司资产规模为3,29</w:t>
      </w:r>
      <w:r>
        <w:rPr>
          <w:rFonts w:hint="eastAsia" w:ascii="宋体" w:hAnsi="宋体" w:eastAsia="宋体" w:cs="宋体"/>
          <w:kern w:val="0"/>
          <w:sz w:val="24"/>
          <w:szCs w:val="24"/>
          <w:lang w:val="en-US" w:eastAsia="zh-CN"/>
        </w:rPr>
        <w:t>4.95</w:t>
      </w:r>
      <w:r>
        <w:rPr>
          <w:rFonts w:hint="eastAsia" w:ascii="宋体" w:hAnsi="宋体" w:eastAsia="宋体" w:cs="宋体"/>
          <w:kern w:val="0"/>
          <w:sz w:val="24"/>
          <w:szCs w:val="24"/>
        </w:rPr>
        <w:t>亿元，较年初增加443.</w:t>
      </w:r>
      <w:r>
        <w:rPr>
          <w:rFonts w:hint="eastAsia" w:ascii="宋体" w:hAnsi="宋体" w:eastAsia="宋体" w:cs="宋体"/>
          <w:kern w:val="0"/>
          <w:sz w:val="24"/>
          <w:szCs w:val="24"/>
          <w:lang w:val="en-US" w:eastAsia="zh-CN"/>
        </w:rPr>
        <w:t>44</w:t>
      </w:r>
      <w:r>
        <w:rPr>
          <w:rFonts w:hint="eastAsia" w:ascii="宋体" w:hAnsi="宋体" w:eastAsia="宋体" w:cs="宋体"/>
          <w:kern w:val="0"/>
          <w:sz w:val="24"/>
          <w:szCs w:val="24"/>
        </w:rPr>
        <w:t>亿元，增幅15.5</w:t>
      </w:r>
      <w:r>
        <w:rPr>
          <w:rFonts w:hint="eastAsia" w:ascii="宋体" w:hAnsi="宋体" w:eastAsia="宋体" w:cs="宋体"/>
          <w:kern w:val="0"/>
          <w:sz w:val="24"/>
          <w:szCs w:val="24"/>
          <w:lang w:val="en-US" w:eastAsia="zh-CN"/>
        </w:rPr>
        <w:t>5</w:t>
      </w:r>
      <w:r>
        <w:rPr>
          <w:rFonts w:hint="eastAsia" w:ascii="宋体" w:hAnsi="宋体" w:eastAsia="宋体" w:cs="宋体"/>
          <w:kern w:val="0"/>
          <w:sz w:val="24"/>
          <w:szCs w:val="24"/>
        </w:rPr>
        <w:t>%；同时，</w:t>
      </w:r>
      <w:r>
        <w:rPr>
          <w:rFonts w:hint="eastAsia" w:ascii="宋体" w:hAnsi="宋体" w:eastAsia="宋体" w:cs="宋体"/>
          <w:kern w:val="0"/>
          <w:sz w:val="24"/>
          <w:szCs w:val="24"/>
          <w:lang w:val="en-US" w:eastAsia="zh-CN"/>
        </w:rPr>
        <w:t>公司加大实体经济信贷投放</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期末</w:t>
      </w:r>
      <w:r>
        <w:rPr>
          <w:rFonts w:hint="eastAsia" w:ascii="宋体" w:hAnsi="宋体" w:eastAsia="宋体" w:cs="宋体"/>
          <w:kern w:val="0"/>
          <w:sz w:val="24"/>
          <w:szCs w:val="24"/>
        </w:rPr>
        <w:t>贷款</w:t>
      </w:r>
      <w:r>
        <w:rPr>
          <w:rFonts w:hint="eastAsia" w:ascii="宋体" w:hAnsi="宋体" w:eastAsia="宋体" w:cs="宋体"/>
          <w:kern w:val="0"/>
          <w:sz w:val="24"/>
          <w:szCs w:val="24"/>
          <w:lang w:val="en-US" w:eastAsia="zh-CN"/>
        </w:rPr>
        <w:t>(原值）</w:t>
      </w:r>
      <w:r>
        <w:rPr>
          <w:rFonts w:hint="eastAsia" w:ascii="宋体" w:hAnsi="宋体" w:eastAsia="宋体" w:cs="宋体"/>
          <w:kern w:val="0"/>
          <w:sz w:val="24"/>
          <w:szCs w:val="24"/>
        </w:rPr>
        <w:t>占总资产比例</w:t>
      </w:r>
      <w:r>
        <w:rPr>
          <w:rFonts w:hint="eastAsia" w:ascii="宋体" w:hAnsi="宋体" w:eastAsia="宋体" w:cs="宋体"/>
          <w:kern w:val="0"/>
          <w:sz w:val="24"/>
          <w:szCs w:val="24"/>
          <w:lang w:val="en-US" w:eastAsia="zh-CN"/>
        </w:rPr>
        <w:t>由年初</w:t>
      </w:r>
      <w:r>
        <w:rPr>
          <w:rFonts w:hint="eastAsia" w:ascii="宋体" w:hAnsi="宋体" w:eastAsia="宋体" w:cs="宋体"/>
          <w:kern w:val="0"/>
          <w:sz w:val="24"/>
          <w:szCs w:val="24"/>
          <w:highlight w:val="none"/>
          <w:lang w:val="en-US" w:eastAsia="zh-CN"/>
        </w:rPr>
        <w:t>的49.32%增至53.12%</w:t>
      </w:r>
      <w:r>
        <w:rPr>
          <w:rFonts w:hint="eastAsia" w:ascii="宋体" w:hAnsi="宋体" w:eastAsia="宋体" w:cs="宋体"/>
          <w:kern w:val="0"/>
          <w:sz w:val="24"/>
          <w:szCs w:val="24"/>
          <w:highlight w:val="none"/>
        </w:rPr>
        <w:t>。在负债方面，</w:t>
      </w:r>
      <w:r>
        <w:rPr>
          <w:rFonts w:hint="eastAsia" w:ascii="宋体" w:hAnsi="宋体" w:eastAsia="宋体" w:cs="宋体"/>
          <w:kern w:val="0"/>
          <w:sz w:val="24"/>
          <w:szCs w:val="24"/>
        </w:rPr>
        <w:t>负债余额3,062.</w:t>
      </w:r>
      <w:r>
        <w:rPr>
          <w:rFonts w:hint="eastAsia" w:ascii="宋体" w:hAnsi="宋体" w:eastAsia="宋体" w:cs="宋体"/>
          <w:kern w:val="0"/>
          <w:sz w:val="24"/>
          <w:szCs w:val="24"/>
          <w:lang w:val="en-US" w:eastAsia="zh-CN"/>
        </w:rPr>
        <w:t>29</w:t>
      </w:r>
      <w:r>
        <w:rPr>
          <w:rFonts w:hint="eastAsia" w:ascii="宋体" w:hAnsi="宋体" w:eastAsia="宋体" w:cs="宋体"/>
          <w:kern w:val="0"/>
          <w:sz w:val="24"/>
          <w:szCs w:val="24"/>
        </w:rPr>
        <w:t>亿元，较年初增加407.</w:t>
      </w:r>
      <w:r>
        <w:rPr>
          <w:rFonts w:hint="eastAsia" w:ascii="宋体" w:hAnsi="宋体" w:eastAsia="宋体" w:cs="宋体"/>
          <w:kern w:val="0"/>
          <w:sz w:val="24"/>
          <w:szCs w:val="24"/>
          <w:lang w:val="en-US" w:eastAsia="zh-CN"/>
        </w:rPr>
        <w:t>53</w:t>
      </w:r>
      <w:r>
        <w:rPr>
          <w:rFonts w:hint="eastAsia" w:ascii="宋体" w:hAnsi="宋体" w:eastAsia="宋体" w:cs="宋体"/>
          <w:kern w:val="0"/>
          <w:sz w:val="24"/>
          <w:szCs w:val="24"/>
        </w:rPr>
        <w:t>亿元，增幅15.3</w:t>
      </w:r>
      <w:r>
        <w:rPr>
          <w:rFonts w:hint="eastAsia" w:ascii="宋体" w:hAnsi="宋体" w:eastAsia="宋体" w:cs="宋体"/>
          <w:kern w:val="0"/>
          <w:sz w:val="24"/>
          <w:szCs w:val="24"/>
          <w:lang w:val="en-US" w:eastAsia="zh-CN"/>
        </w:rPr>
        <w:t>5</w:t>
      </w:r>
      <w:r>
        <w:rPr>
          <w:rFonts w:hint="eastAsia" w:ascii="宋体" w:hAnsi="宋体" w:eastAsia="宋体" w:cs="宋体"/>
          <w:kern w:val="0"/>
          <w:sz w:val="24"/>
          <w:szCs w:val="24"/>
        </w:rPr>
        <w:t>%。在权益方面，所有者权益余额232.</w:t>
      </w:r>
      <w:r>
        <w:rPr>
          <w:rFonts w:hint="eastAsia" w:ascii="宋体" w:hAnsi="宋体" w:eastAsia="宋体" w:cs="宋体"/>
          <w:kern w:val="0"/>
          <w:sz w:val="24"/>
          <w:szCs w:val="24"/>
          <w:lang w:val="en-US" w:eastAsia="zh-CN"/>
        </w:rPr>
        <w:t>65</w:t>
      </w:r>
      <w:r>
        <w:rPr>
          <w:rFonts w:hint="eastAsia" w:ascii="宋体" w:hAnsi="宋体" w:eastAsia="宋体" w:cs="宋体"/>
          <w:kern w:val="0"/>
          <w:sz w:val="24"/>
          <w:szCs w:val="24"/>
        </w:rPr>
        <w:t>亿元，较年初增加35.9</w:t>
      </w:r>
      <w:r>
        <w:rPr>
          <w:rFonts w:hint="eastAsia" w:ascii="宋体" w:hAnsi="宋体" w:eastAsia="宋体" w:cs="宋体"/>
          <w:kern w:val="0"/>
          <w:sz w:val="24"/>
          <w:szCs w:val="24"/>
          <w:lang w:val="en-US" w:eastAsia="zh-CN"/>
        </w:rPr>
        <w:t>2</w:t>
      </w:r>
      <w:r>
        <w:rPr>
          <w:rFonts w:hint="eastAsia" w:ascii="宋体" w:hAnsi="宋体" w:eastAsia="宋体" w:cs="宋体"/>
          <w:kern w:val="0"/>
          <w:sz w:val="24"/>
          <w:szCs w:val="24"/>
        </w:rPr>
        <w:t>亿元,增幅18.2</w:t>
      </w:r>
      <w:r>
        <w:rPr>
          <w:rFonts w:hint="eastAsia" w:ascii="宋体" w:hAnsi="宋体" w:eastAsia="宋体" w:cs="宋体"/>
          <w:kern w:val="0"/>
          <w:sz w:val="24"/>
          <w:szCs w:val="24"/>
          <w:lang w:val="en-US" w:eastAsia="zh-CN"/>
        </w:rPr>
        <w:t>6</w:t>
      </w:r>
      <w:r>
        <w:rPr>
          <w:rFonts w:hint="eastAsia" w:ascii="宋体" w:hAnsi="宋体" w:eastAsia="宋体" w:cs="宋体"/>
          <w:kern w:val="0"/>
          <w:sz w:val="24"/>
          <w:szCs w:val="24"/>
        </w:rPr>
        <w:t>%。</w:t>
      </w:r>
    </w:p>
    <w:p>
      <w:pPr>
        <w:keepNext w:val="0"/>
        <w:keepLines w:val="0"/>
        <w:pageBreakBefore w:val="0"/>
        <w:widowControl/>
        <w:numPr>
          <w:ilvl w:val="0"/>
          <w:numId w:val="3"/>
        </w:numPr>
        <w:kinsoku/>
        <w:wordWrap/>
        <w:overflowPunct/>
        <w:topLinePunct w:val="0"/>
        <w:autoSpaceDE/>
        <w:autoSpaceDN/>
        <w:bidi w:val="0"/>
        <w:adjustRightInd/>
        <w:snapToGrid w:val="0"/>
        <w:spacing w:line="360" w:lineRule="auto"/>
        <w:textAlignment w:val="auto"/>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盈利能力进一步提升</w:t>
      </w:r>
    </w:p>
    <w:p>
      <w:pPr>
        <w:keepNext w:val="0"/>
        <w:keepLines w:val="0"/>
        <w:pageBreakBefore w:val="0"/>
        <w:widowControl/>
        <w:numPr>
          <w:ilvl w:val="255"/>
          <w:numId w:val="0"/>
        </w:numPr>
        <w:kinsoku/>
        <w:wordWrap/>
        <w:overflowPunct/>
        <w:topLinePunct w:val="0"/>
        <w:autoSpaceDE/>
        <w:autoSpaceDN/>
        <w:bidi w:val="0"/>
        <w:adjustRightInd/>
        <w:snapToGrid w:val="0"/>
        <w:spacing w:line="360" w:lineRule="auto"/>
        <w:ind w:left="0" w:firstLine="480" w:firstLineChars="200"/>
        <w:textAlignment w:val="auto"/>
        <w:rPr>
          <w:rFonts w:hint="eastAsia" w:ascii="宋体" w:hAnsi="宋体" w:eastAsia="宋体" w:cs="宋体"/>
          <w:b/>
          <w:bCs/>
          <w:kern w:val="0"/>
          <w:sz w:val="24"/>
          <w:szCs w:val="24"/>
        </w:rPr>
      </w:pPr>
      <w:r>
        <w:rPr>
          <w:rFonts w:hint="eastAsia" w:ascii="宋体" w:hAnsi="宋体" w:eastAsia="宋体" w:cs="宋体"/>
          <w:bCs/>
          <w:color w:val="000000" w:themeColor="text1"/>
          <w:sz w:val="24"/>
          <w:szCs w:val="24"/>
          <w14:textFill>
            <w14:solidFill>
              <w14:schemeClr w14:val="tx1"/>
            </w14:solidFill>
          </w14:textFill>
        </w:rPr>
        <w:t>2021年，公司坚持立足战略目标，优化经营机制，</w:t>
      </w:r>
      <w:r>
        <w:rPr>
          <w:rFonts w:hint="eastAsia" w:ascii="宋体" w:hAnsi="宋体" w:eastAsia="宋体" w:cs="宋体"/>
          <w:bCs/>
          <w:color w:val="000000" w:themeColor="text1"/>
          <w:sz w:val="24"/>
          <w:szCs w:val="24"/>
          <w:lang w:val="en-US" w:eastAsia="zh-CN"/>
          <w14:textFill>
            <w14:solidFill>
              <w14:schemeClr w14:val="tx1"/>
            </w14:solidFill>
          </w14:textFill>
        </w:rPr>
        <w:t>全年</w:t>
      </w:r>
      <w:r>
        <w:rPr>
          <w:rFonts w:hint="eastAsia" w:ascii="宋体" w:hAnsi="宋体" w:eastAsia="宋体" w:cs="宋体"/>
          <w:bCs/>
          <w:color w:val="000000" w:themeColor="text1"/>
          <w:sz w:val="24"/>
          <w:szCs w:val="24"/>
          <w:lang w:val="zh-CN"/>
          <w14:textFill>
            <w14:solidFill>
              <w14:schemeClr w14:val="tx1"/>
            </w14:solidFill>
          </w14:textFill>
        </w:rPr>
        <w:t>利润</w:t>
      </w:r>
      <w:r>
        <w:rPr>
          <w:rFonts w:hint="eastAsia" w:ascii="宋体" w:hAnsi="宋体" w:eastAsia="宋体" w:cs="宋体"/>
          <w:bCs/>
          <w:color w:val="000000" w:themeColor="text1"/>
          <w:sz w:val="24"/>
          <w:szCs w:val="24"/>
          <w:lang w:val="en-US" w:eastAsia="zh-CN"/>
          <w14:textFill>
            <w14:solidFill>
              <w14:schemeClr w14:val="tx1"/>
            </w14:solidFill>
          </w14:textFill>
        </w:rPr>
        <w:t>稳步</w:t>
      </w:r>
      <w:r>
        <w:rPr>
          <w:rFonts w:hint="eastAsia" w:ascii="宋体" w:hAnsi="宋体" w:eastAsia="宋体" w:cs="宋体"/>
          <w:bCs/>
          <w:color w:val="000000" w:themeColor="text1"/>
          <w:sz w:val="24"/>
          <w:szCs w:val="24"/>
          <w:lang w:val="zh-CN"/>
          <w14:textFill>
            <w14:solidFill>
              <w14:schemeClr w14:val="tx1"/>
            </w14:solidFill>
          </w14:textFill>
        </w:rPr>
        <w:t>增长，拨备计提充分，盈利能力</w:t>
      </w:r>
      <w:r>
        <w:rPr>
          <w:rFonts w:hint="eastAsia" w:ascii="宋体" w:hAnsi="宋体" w:eastAsia="宋体" w:cs="宋体"/>
          <w:bCs/>
          <w:color w:val="000000" w:themeColor="text1"/>
          <w:sz w:val="24"/>
          <w:szCs w:val="24"/>
          <w:lang w:val="en-US" w:eastAsia="zh-CN"/>
          <w14:textFill>
            <w14:solidFill>
              <w14:schemeClr w14:val="tx1"/>
            </w14:solidFill>
          </w14:textFill>
        </w:rPr>
        <w:t>得到</w:t>
      </w:r>
      <w:r>
        <w:rPr>
          <w:rFonts w:hint="eastAsia" w:ascii="宋体" w:hAnsi="宋体" w:eastAsia="宋体" w:cs="宋体"/>
          <w:bCs/>
          <w:color w:val="000000" w:themeColor="text1"/>
          <w:sz w:val="24"/>
          <w:szCs w:val="24"/>
          <w14:textFill>
            <w14:solidFill>
              <w14:schemeClr w14:val="tx1"/>
            </w14:solidFill>
          </w14:textFill>
        </w:rPr>
        <w:t>进一步</w:t>
      </w:r>
      <w:r>
        <w:rPr>
          <w:rFonts w:hint="eastAsia" w:ascii="宋体" w:hAnsi="宋体" w:eastAsia="宋体" w:cs="宋体"/>
          <w:bCs/>
          <w:color w:val="000000" w:themeColor="text1"/>
          <w:sz w:val="24"/>
          <w:szCs w:val="24"/>
          <w:lang w:val="zh-CN"/>
          <w14:textFill>
            <w14:solidFill>
              <w14:schemeClr w14:val="tx1"/>
            </w14:solidFill>
          </w14:textFill>
        </w:rPr>
        <w:t>提升。</w:t>
      </w:r>
      <w:r>
        <w:rPr>
          <w:rFonts w:hint="eastAsia" w:ascii="宋体" w:hAnsi="宋体" w:eastAsia="宋体" w:cs="宋体"/>
          <w:bCs/>
          <w:color w:val="000000" w:themeColor="text1"/>
          <w:sz w:val="24"/>
          <w:szCs w:val="24"/>
          <w:lang w:val="en-US" w:eastAsia="zh-CN"/>
          <w14:textFill>
            <w14:solidFill>
              <w14:schemeClr w14:val="tx1"/>
            </w14:solidFill>
          </w14:textFill>
        </w:rPr>
        <w:t>2021</w:t>
      </w:r>
      <w:r>
        <w:rPr>
          <w:rFonts w:hint="eastAsia" w:ascii="宋体" w:hAnsi="宋体" w:eastAsia="宋体" w:cs="宋体"/>
          <w:sz w:val="24"/>
        </w:rPr>
        <w:t>年，公司实现营业收入53.</w:t>
      </w:r>
      <w:r>
        <w:rPr>
          <w:rFonts w:hint="eastAsia" w:ascii="宋体" w:hAnsi="宋体" w:eastAsia="宋体" w:cs="宋体"/>
          <w:sz w:val="24"/>
          <w:lang w:val="en-US" w:eastAsia="zh-CN"/>
        </w:rPr>
        <w:t>16</w:t>
      </w:r>
      <w:r>
        <w:rPr>
          <w:rFonts w:hint="eastAsia" w:ascii="宋体" w:hAnsi="宋体" w:eastAsia="宋体" w:cs="宋体"/>
          <w:sz w:val="24"/>
        </w:rPr>
        <w:t>亿元，剔除上年通过诉讼收回的票据资管业务收入</w:t>
      </w:r>
      <w:r>
        <w:rPr>
          <w:rFonts w:hint="eastAsia" w:ascii="宋体" w:hAnsi="宋体" w:eastAsia="宋体" w:cs="宋体"/>
          <w:sz w:val="24"/>
          <w:lang w:val="en-US" w:eastAsia="zh-CN"/>
        </w:rPr>
        <w:t>7.04亿元</w:t>
      </w:r>
      <w:r>
        <w:rPr>
          <w:rFonts w:hint="eastAsia" w:ascii="宋体" w:hAnsi="宋体" w:eastAsia="宋体" w:cs="宋体"/>
          <w:sz w:val="24"/>
        </w:rPr>
        <w:t>的不可比因素后，</w:t>
      </w:r>
      <w:r>
        <w:rPr>
          <w:rFonts w:hint="eastAsia" w:ascii="宋体" w:hAnsi="宋体" w:eastAsia="宋体" w:cs="宋体"/>
          <w:sz w:val="24"/>
          <w:lang w:val="en-US" w:eastAsia="zh-CN"/>
        </w:rPr>
        <w:t>营业</w:t>
      </w:r>
      <w:r>
        <w:rPr>
          <w:rFonts w:hint="eastAsia" w:ascii="宋体" w:hAnsi="宋体" w:eastAsia="宋体" w:cs="宋体"/>
          <w:sz w:val="24"/>
        </w:rPr>
        <w:t>收入同比增长9.</w:t>
      </w:r>
      <w:r>
        <w:rPr>
          <w:rFonts w:hint="eastAsia" w:ascii="宋体" w:hAnsi="宋体" w:eastAsia="宋体" w:cs="宋体"/>
          <w:sz w:val="24"/>
          <w:lang w:val="en-US" w:eastAsia="zh-CN"/>
        </w:rPr>
        <w:t>56</w:t>
      </w:r>
      <w:r>
        <w:rPr>
          <w:rFonts w:hint="eastAsia" w:ascii="宋体" w:hAnsi="宋体" w:eastAsia="宋体" w:cs="宋体"/>
          <w:sz w:val="24"/>
        </w:rPr>
        <w:t>%；</w:t>
      </w:r>
      <w:r>
        <w:rPr>
          <w:rFonts w:hint="eastAsia" w:ascii="宋体" w:hAnsi="宋体" w:eastAsia="宋体" w:cs="宋体"/>
          <w:sz w:val="24"/>
          <w:lang w:val="en-US" w:eastAsia="zh-CN"/>
        </w:rPr>
        <w:t>全年</w:t>
      </w:r>
      <w:r>
        <w:rPr>
          <w:rFonts w:hint="eastAsia" w:ascii="宋体" w:hAnsi="宋体" w:eastAsia="宋体" w:cs="宋体"/>
          <w:sz w:val="24"/>
        </w:rPr>
        <w:t>归属于上市公司股东的净利润21.</w:t>
      </w:r>
      <w:r>
        <w:rPr>
          <w:rFonts w:hint="eastAsia" w:ascii="宋体" w:hAnsi="宋体" w:eastAsia="宋体" w:cs="宋体"/>
          <w:sz w:val="24"/>
          <w:lang w:val="en-US" w:eastAsia="zh-CN"/>
        </w:rPr>
        <w:t>69</w:t>
      </w:r>
      <w:r>
        <w:rPr>
          <w:rFonts w:hint="eastAsia" w:ascii="宋体" w:hAnsi="宋体" w:eastAsia="宋体" w:cs="宋体"/>
          <w:sz w:val="24"/>
        </w:rPr>
        <w:t>亿元，同比增长1</w:t>
      </w:r>
      <w:r>
        <w:rPr>
          <w:rFonts w:hint="eastAsia" w:ascii="宋体" w:hAnsi="宋体" w:eastAsia="宋体" w:cs="宋体"/>
          <w:sz w:val="24"/>
          <w:lang w:val="en-US" w:eastAsia="zh-CN"/>
        </w:rPr>
        <w:t>8.99</w:t>
      </w:r>
      <w:r>
        <w:rPr>
          <w:rFonts w:hint="eastAsia" w:ascii="宋体" w:hAnsi="宋体" w:eastAsia="宋体" w:cs="宋体"/>
          <w:sz w:val="24"/>
        </w:rPr>
        <w:t>%。</w:t>
      </w:r>
    </w:p>
    <w:p>
      <w:pPr>
        <w:keepNext w:val="0"/>
        <w:keepLines w:val="0"/>
        <w:pageBreakBefore w:val="0"/>
        <w:widowControl/>
        <w:numPr>
          <w:ilvl w:val="0"/>
          <w:numId w:val="3"/>
        </w:numPr>
        <w:kinsoku/>
        <w:wordWrap/>
        <w:overflowPunct/>
        <w:topLinePunct w:val="0"/>
        <w:autoSpaceDE/>
        <w:autoSpaceDN/>
        <w:bidi w:val="0"/>
        <w:adjustRightInd/>
        <w:snapToGrid w:val="0"/>
        <w:spacing w:line="360" w:lineRule="auto"/>
        <w:textAlignment w:val="auto"/>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资产质量保持优良，风险抵御能力进一步增强</w:t>
      </w:r>
    </w:p>
    <w:p>
      <w:pPr>
        <w:keepNext w:val="0"/>
        <w:keepLines w:val="0"/>
        <w:pageBreakBefore w:val="0"/>
        <w:widowControl/>
        <w:kinsoku/>
        <w:wordWrap/>
        <w:overflowPunct/>
        <w:topLinePunct w:val="0"/>
        <w:autoSpaceDE/>
        <w:autoSpaceDN/>
        <w:bidi w:val="0"/>
        <w:adjustRightInd/>
        <w:snapToGrid w:val="0"/>
        <w:spacing w:line="360" w:lineRule="auto"/>
        <w:ind w:firstLine="480" w:firstLineChars="200"/>
        <w:jc w:val="left"/>
        <w:textAlignment w:val="auto"/>
        <w:rPr>
          <w:rFonts w:hint="eastAsia" w:ascii="宋体" w:hAnsi="宋体" w:eastAsia="宋体" w:cs="宋体"/>
          <w:sz w:val="24"/>
        </w:rPr>
      </w:pPr>
      <w:r>
        <w:rPr>
          <w:rFonts w:hint="eastAsia" w:ascii="宋体" w:hAnsi="宋体" w:eastAsia="宋体" w:cs="宋体"/>
          <w:sz w:val="24"/>
        </w:rPr>
        <w:t>2021年，公司</w:t>
      </w:r>
      <w:r>
        <w:rPr>
          <w:rFonts w:hint="eastAsia" w:ascii="宋体" w:hAnsi="宋体" w:eastAsia="宋体" w:cs="宋体"/>
          <w:sz w:val="24"/>
          <w:lang w:val="en-US" w:eastAsia="zh-CN"/>
        </w:rPr>
        <w:t>加大</w:t>
      </w:r>
      <w:r>
        <w:rPr>
          <w:rFonts w:hint="eastAsia" w:ascii="宋体" w:hAnsi="宋体" w:eastAsia="宋体" w:cs="宋体"/>
          <w:sz w:val="24"/>
          <w:lang w:val="zh-CN"/>
        </w:rPr>
        <w:t>信贷</w:t>
      </w:r>
      <w:r>
        <w:rPr>
          <w:rFonts w:hint="eastAsia" w:ascii="宋体" w:hAnsi="宋体" w:eastAsia="宋体" w:cs="宋体"/>
          <w:sz w:val="24"/>
          <w:lang w:val="en-US" w:eastAsia="zh-CN"/>
        </w:rPr>
        <w:t>风险防范力度</w:t>
      </w:r>
      <w:r>
        <w:rPr>
          <w:rFonts w:hint="eastAsia" w:ascii="宋体" w:hAnsi="宋体" w:eastAsia="宋体" w:cs="宋体"/>
          <w:sz w:val="24"/>
          <w:lang w:val="zh-CN"/>
        </w:rPr>
        <w:t>，</w:t>
      </w:r>
      <w:r>
        <w:rPr>
          <w:rFonts w:hint="eastAsia" w:ascii="宋体" w:hAnsi="宋体" w:eastAsia="宋体" w:cs="宋体"/>
          <w:sz w:val="24"/>
          <w:lang w:val="en-US" w:eastAsia="zh-CN"/>
        </w:rPr>
        <w:t>加强资产</w:t>
      </w:r>
      <w:r>
        <w:rPr>
          <w:rFonts w:hint="eastAsia" w:ascii="宋体" w:hAnsi="宋体" w:eastAsia="宋体" w:cs="宋体"/>
          <w:sz w:val="24"/>
          <w:lang w:val="zh-CN"/>
        </w:rPr>
        <w:t>质量</w:t>
      </w:r>
      <w:r>
        <w:rPr>
          <w:rFonts w:hint="eastAsia" w:ascii="宋体" w:hAnsi="宋体" w:eastAsia="宋体" w:cs="宋体"/>
          <w:sz w:val="24"/>
          <w:lang w:val="en-US" w:eastAsia="zh-CN"/>
        </w:rPr>
        <w:t>日常监</w:t>
      </w:r>
      <w:r>
        <w:rPr>
          <w:rFonts w:hint="eastAsia" w:ascii="宋体" w:hAnsi="宋体" w:eastAsia="宋体" w:cs="宋体"/>
          <w:sz w:val="24"/>
          <w:lang w:val="zh-CN"/>
        </w:rPr>
        <w:t>控，</w:t>
      </w:r>
      <w:r>
        <w:rPr>
          <w:rFonts w:hint="eastAsia" w:ascii="宋体" w:hAnsi="宋体" w:eastAsia="宋体" w:cs="宋体"/>
          <w:sz w:val="24"/>
          <w:lang w:val="en-US" w:eastAsia="zh-CN"/>
        </w:rPr>
        <w:t>持续推动不良资产清收化解，全年不良贷款率持续下行，拨备覆盖水平稳步提升，风险抵御能力进一步增强</w:t>
      </w:r>
      <w:r>
        <w:rPr>
          <w:rFonts w:hint="eastAsia" w:ascii="宋体" w:hAnsi="宋体" w:eastAsia="宋体" w:cs="宋体"/>
          <w:sz w:val="24"/>
        </w:rPr>
        <w:t>。截止2021年末，公司不良贷款率0.91%，比年初降低0.07个百分点，拨备覆盖率370.64%，比年初上升2.61个百分点。</w:t>
      </w:r>
      <w:r>
        <w:rPr>
          <w:rFonts w:hint="eastAsia" w:ascii="宋体" w:hAnsi="宋体" w:eastAsia="宋体" w:cs="宋体"/>
          <w:sz w:val="24"/>
        </w:rPr>
        <w:tab/>
      </w:r>
    </w:p>
    <w:p>
      <w:pPr>
        <w:keepNext w:val="0"/>
        <w:keepLines w:val="0"/>
        <w:pageBreakBefore w:val="0"/>
        <w:widowControl/>
        <w:numPr>
          <w:ilvl w:val="0"/>
          <w:numId w:val="2"/>
        </w:numPr>
        <w:kinsoku/>
        <w:wordWrap/>
        <w:overflowPunct/>
        <w:topLinePunct w:val="0"/>
        <w:autoSpaceDE/>
        <w:autoSpaceDN/>
        <w:bidi w:val="0"/>
        <w:adjustRightInd/>
        <w:snapToGrid w:val="0"/>
        <w:spacing w:line="360" w:lineRule="auto"/>
        <w:ind w:left="481" w:firstLine="0" w:firstLineChars="0"/>
        <w:jc w:val="left"/>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财务收支情况</w:t>
      </w:r>
    </w:p>
    <w:p>
      <w:pPr>
        <w:keepNext w:val="0"/>
        <w:keepLines w:val="0"/>
        <w:pageBreakBefore w:val="0"/>
        <w:widowControl/>
        <w:numPr>
          <w:ilvl w:val="-1"/>
          <w:numId w:val="0"/>
        </w:numPr>
        <w:kinsoku/>
        <w:wordWrap/>
        <w:overflowPunct/>
        <w:topLinePunct w:val="0"/>
        <w:autoSpaceDE/>
        <w:autoSpaceDN/>
        <w:bidi w:val="0"/>
        <w:adjustRightInd/>
        <w:snapToGrid w:val="0"/>
        <w:spacing w:line="360" w:lineRule="auto"/>
        <w:ind w:left="0" w:firstLine="480" w:firstLineChars="200"/>
        <w:jc w:val="left"/>
        <w:textAlignment w:val="auto"/>
        <w:rPr>
          <w:rFonts w:hint="eastAsia" w:ascii="宋体" w:hAnsi="宋体" w:eastAsia="宋体" w:cs="宋体"/>
          <w:bCs w:val="0"/>
          <w:sz w:val="24"/>
          <w:lang w:val="en-US" w:eastAsia="zh-CN"/>
        </w:rPr>
      </w:pPr>
      <w:r>
        <w:rPr>
          <w:rFonts w:hint="eastAsia" w:ascii="宋体" w:hAnsi="宋体" w:eastAsia="宋体" w:cs="宋体"/>
          <w:bCs w:val="0"/>
          <w:sz w:val="24"/>
          <w:lang w:val="en-US" w:eastAsia="zh-CN"/>
        </w:rPr>
        <w:t>公司2021年</w:t>
      </w:r>
      <w:r>
        <w:rPr>
          <w:rFonts w:hint="eastAsia" w:ascii="宋体" w:hAnsi="宋体" w:eastAsia="宋体" w:cs="宋体"/>
          <w:bCs w:val="0"/>
          <w:sz w:val="24"/>
        </w:rPr>
        <w:t>实现</w:t>
      </w:r>
      <w:r>
        <w:rPr>
          <w:rFonts w:hint="eastAsia" w:ascii="宋体" w:hAnsi="宋体" w:eastAsia="宋体" w:cs="宋体"/>
          <w:bCs w:val="0"/>
          <w:sz w:val="24"/>
          <w:lang w:val="en-US" w:eastAsia="zh-CN"/>
        </w:rPr>
        <w:t>净利润22.13亿元，较上年增加3.57亿元，增长19.23%</w:t>
      </w:r>
      <w:r>
        <w:rPr>
          <w:rFonts w:hint="eastAsia" w:ascii="宋体" w:hAnsi="宋体" w:eastAsia="宋体" w:cs="宋体"/>
          <w:bCs w:val="0"/>
          <w:sz w:val="24"/>
          <w:lang w:eastAsia="zh-CN"/>
        </w:rPr>
        <w:t>，</w:t>
      </w:r>
      <w:r>
        <w:rPr>
          <w:rFonts w:hint="eastAsia" w:ascii="宋体" w:hAnsi="宋体" w:eastAsia="宋体" w:cs="宋体"/>
          <w:bCs w:val="0"/>
          <w:sz w:val="24"/>
          <w:lang w:val="en-US" w:eastAsia="zh-CN"/>
        </w:rPr>
        <w:t>较预算10%的增长目标多增9.23个百分点。</w:t>
      </w:r>
    </w:p>
    <w:p>
      <w:pPr>
        <w:keepNext w:val="0"/>
        <w:keepLines w:val="0"/>
        <w:pageBreakBefore w:val="0"/>
        <w:widowControl/>
        <w:numPr>
          <w:ilvl w:val="0"/>
          <w:numId w:val="4"/>
        </w:numPr>
        <w:kinsoku/>
        <w:wordWrap/>
        <w:overflowPunct/>
        <w:topLinePunct w:val="0"/>
        <w:autoSpaceDE/>
        <w:autoSpaceDN/>
        <w:bidi w:val="0"/>
        <w:adjustRightInd/>
        <w:snapToGrid w:val="0"/>
        <w:spacing w:line="360" w:lineRule="auto"/>
        <w:ind w:left="0" w:firstLine="480" w:firstLineChars="200"/>
        <w:jc w:val="left"/>
        <w:textAlignment w:val="auto"/>
        <w:rPr>
          <w:rFonts w:hint="eastAsia" w:ascii="宋体" w:hAnsi="宋体" w:eastAsia="宋体" w:cs="宋体"/>
          <w:bCs w:val="0"/>
          <w:sz w:val="24"/>
          <w:lang w:val="en-US" w:eastAsia="zh-CN"/>
        </w:rPr>
      </w:pPr>
      <w:r>
        <w:rPr>
          <w:rFonts w:hint="eastAsia" w:ascii="宋体" w:hAnsi="宋体" w:eastAsia="宋体" w:cs="宋体"/>
          <w:bCs w:val="0"/>
          <w:sz w:val="24"/>
          <w:lang w:val="en-US" w:eastAsia="zh-CN"/>
        </w:rPr>
        <w:t>营业收入</w:t>
      </w:r>
    </w:p>
    <w:p>
      <w:pPr>
        <w:keepNext w:val="0"/>
        <w:keepLines w:val="0"/>
        <w:pageBreakBefore w:val="0"/>
        <w:widowControl/>
        <w:numPr>
          <w:ilvl w:val="-1"/>
          <w:numId w:val="0"/>
        </w:numPr>
        <w:kinsoku/>
        <w:wordWrap/>
        <w:overflowPunct/>
        <w:topLinePunct w:val="0"/>
        <w:autoSpaceDE/>
        <w:autoSpaceDN/>
        <w:bidi w:val="0"/>
        <w:adjustRightInd/>
        <w:snapToGrid w:val="0"/>
        <w:spacing w:line="360" w:lineRule="auto"/>
        <w:ind w:left="0" w:leftChars="0" w:firstLine="480" w:firstLineChars="200"/>
        <w:jc w:val="left"/>
        <w:textAlignment w:val="auto"/>
        <w:rPr>
          <w:rFonts w:hint="eastAsia" w:ascii="宋体" w:hAnsi="宋体" w:eastAsia="宋体" w:cs="宋体"/>
          <w:bCs w:val="0"/>
          <w:sz w:val="24"/>
          <w:lang w:eastAsia="zh-CN"/>
        </w:rPr>
      </w:pPr>
      <w:r>
        <w:rPr>
          <w:rFonts w:hint="eastAsia" w:ascii="宋体" w:hAnsi="宋体" w:eastAsia="宋体" w:cs="宋体"/>
          <w:bCs w:val="0"/>
          <w:sz w:val="24"/>
          <w:lang w:val="en-US" w:eastAsia="zh-CN"/>
        </w:rPr>
        <w:t>2021年，公司实现营业收入</w:t>
      </w:r>
      <w:r>
        <w:rPr>
          <w:rFonts w:hint="eastAsia" w:ascii="宋体" w:hAnsi="宋体" w:eastAsia="宋体" w:cs="宋体"/>
          <w:bCs w:val="0"/>
          <w:sz w:val="24"/>
        </w:rPr>
        <w:t>53.16亿元，同比增长9.56%</w:t>
      </w:r>
      <w:r>
        <w:rPr>
          <w:rFonts w:hint="eastAsia" w:ascii="宋体" w:hAnsi="宋体" w:eastAsia="宋体" w:cs="宋体"/>
          <w:bCs w:val="0"/>
          <w:sz w:val="24"/>
          <w:lang w:eastAsia="zh-CN"/>
        </w:rPr>
        <w:t>（</w:t>
      </w:r>
      <w:r>
        <w:rPr>
          <w:rFonts w:hint="eastAsia" w:ascii="宋体" w:hAnsi="宋体" w:eastAsia="宋体" w:cs="宋体"/>
          <w:bCs w:val="0"/>
          <w:sz w:val="24"/>
          <w:lang w:val="en-US" w:eastAsia="zh-CN"/>
        </w:rPr>
        <w:t>已</w:t>
      </w:r>
      <w:r>
        <w:rPr>
          <w:rFonts w:hint="eastAsia" w:ascii="宋体" w:hAnsi="宋体" w:eastAsia="宋体" w:cs="宋体"/>
          <w:bCs w:val="0"/>
          <w:sz w:val="24"/>
        </w:rPr>
        <w:t>剔除</w:t>
      </w:r>
      <w:r>
        <w:rPr>
          <w:rFonts w:hint="eastAsia" w:ascii="宋体" w:hAnsi="宋体" w:eastAsia="宋体" w:cs="宋体"/>
          <w:bCs w:val="0"/>
          <w:sz w:val="24"/>
          <w:lang w:val="en-US" w:eastAsia="zh-CN"/>
        </w:rPr>
        <w:t>不可比因素，主要系上年同期数据包</w:t>
      </w:r>
      <w:r>
        <w:rPr>
          <w:rFonts w:hint="eastAsia" w:ascii="宋体" w:hAnsi="宋体" w:eastAsia="宋体" w:cs="宋体"/>
          <w:bCs w:val="0"/>
          <w:sz w:val="24"/>
        </w:rPr>
        <w:t>含</w:t>
      </w:r>
      <w:r>
        <w:rPr>
          <w:rFonts w:hint="eastAsia" w:ascii="宋体" w:hAnsi="宋体" w:eastAsia="宋体" w:cs="宋体"/>
          <w:bCs w:val="0"/>
          <w:sz w:val="24"/>
          <w:lang w:val="en-US" w:eastAsia="zh-CN"/>
        </w:rPr>
        <w:t>的</w:t>
      </w:r>
      <w:r>
        <w:rPr>
          <w:rFonts w:hint="eastAsia" w:ascii="宋体" w:hAnsi="宋体" w:eastAsia="宋体" w:cs="宋体"/>
          <w:bCs w:val="0"/>
          <w:sz w:val="24"/>
        </w:rPr>
        <w:t>本行通过诉讼收回的票据资管业务收入</w:t>
      </w:r>
      <w:r>
        <w:rPr>
          <w:rFonts w:hint="eastAsia" w:ascii="宋体" w:hAnsi="宋体" w:eastAsia="宋体" w:cs="宋体"/>
          <w:bCs w:val="0"/>
          <w:sz w:val="24"/>
          <w:lang w:val="en-US" w:eastAsia="zh-CN"/>
        </w:rPr>
        <w:t>）</w:t>
      </w:r>
      <w:r>
        <w:rPr>
          <w:rFonts w:hint="eastAsia" w:ascii="宋体" w:hAnsi="宋体" w:eastAsia="宋体" w:cs="宋体"/>
          <w:bCs w:val="0"/>
          <w:sz w:val="24"/>
          <w:lang w:eastAsia="zh-CN"/>
        </w:rPr>
        <w:t>。</w:t>
      </w:r>
    </w:p>
    <w:p>
      <w:pPr>
        <w:keepNext w:val="0"/>
        <w:keepLines w:val="0"/>
        <w:pageBreakBefore w:val="0"/>
        <w:widowControl/>
        <w:numPr>
          <w:ilvl w:val="-1"/>
          <w:numId w:val="0"/>
        </w:numPr>
        <w:kinsoku/>
        <w:wordWrap/>
        <w:overflowPunct/>
        <w:topLinePunct w:val="0"/>
        <w:autoSpaceDE/>
        <w:autoSpaceDN/>
        <w:bidi w:val="0"/>
        <w:adjustRightInd/>
        <w:snapToGrid w:val="0"/>
        <w:spacing w:line="360" w:lineRule="auto"/>
        <w:ind w:left="0" w:leftChars="0" w:firstLine="480" w:firstLineChars="200"/>
        <w:jc w:val="left"/>
        <w:textAlignment w:val="auto"/>
        <w:rPr>
          <w:rFonts w:hint="eastAsia" w:ascii="宋体" w:hAnsi="宋体" w:eastAsia="宋体" w:cs="宋体"/>
          <w:bCs w:val="0"/>
          <w:sz w:val="24"/>
        </w:rPr>
      </w:pPr>
      <w:r>
        <w:rPr>
          <w:rFonts w:hint="eastAsia" w:ascii="宋体" w:hAnsi="宋体" w:eastAsia="宋体" w:cs="宋体"/>
          <w:bCs w:val="0"/>
          <w:sz w:val="24"/>
          <w:lang w:val="en-US" w:eastAsia="zh-CN"/>
        </w:rPr>
        <w:t>实现利息净收入</w:t>
      </w:r>
      <w:r>
        <w:rPr>
          <w:rFonts w:hint="eastAsia" w:ascii="宋体" w:hAnsi="宋体" w:eastAsia="宋体" w:cs="宋体"/>
          <w:bCs w:val="0"/>
          <w:sz w:val="24"/>
        </w:rPr>
        <w:t>44.30亿元，</w:t>
      </w:r>
      <w:r>
        <w:rPr>
          <w:rFonts w:hint="eastAsia" w:ascii="宋体" w:hAnsi="宋体" w:eastAsia="宋体" w:cs="宋体"/>
          <w:bCs w:val="0"/>
          <w:sz w:val="24"/>
          <w:lang w:val="en-US" w:eastAsia="zh-CN"/>
        </w:rPr>
        <w:t>同比增长</w:t>
      </w:r>
      <w:r>
        <w:rPr>
          <w:rFonts w:hint="eastAsia" w:ascii="宋体" w:hAnsi="宋体" w:eastAsia="宋体" w:cs="宋体"/>
          <w:bCs w:val="0"/>
          <w:sz w:val="24"/>
        </w:rPr>
        <w:t>13.37%，主要系公司业务规模的增长带来的利息净收入所致</w:t>
      </w:r>
      <w:r>
        <w:rPr>
          <w:rFonts w:hint="eastAsia" w:ascii="宋体" w:hAnsi="宋体" w:eastAsia="宋体" w:cs="宋体"/>
          <w:bCs w:val="0"/>
          <w:sz w:val="24"/>
          <w:lang w:eastAsia="zh-CN"/>
        </w:rPr>
        <w:t>，</w:t>
      </w:r>
      <w:r>
        <w:rPr>
          <w:rFonts w:hint="eastAsia" w:ascii="宋体" w:hAnsi="宋体" w:eastAsia="宋体" w:cs="宋体"/>
          <w:bCs w:val="0"/>
          <w:sz w:val="24"/>
          <w:lang w:val="en-US" w:eastAsia="zh-CN"/>
        </w:rPr>
        <w:t>全年生息资产日均规模2,742亿元，同比增长15.06%，但受利率市场化深化及政策让利影响，</w:t>
      </w:r>
      <w:r>
        <w:rPr>
          <w:rFonts w:hint="eastAsia" w:ascii="宋体" w:hAnsi="宋体" w:eastAsia="宋体" w:cs="宋体"/>
          <w:bCs w:val="0"/>
          <w:sz w:val="24"/>
        </w:rPr>
        <w:t>净息差</w:t>
      </w:r>
      <w:r>
        <w:rPr>
          <w:rFonts w:hint="eastAsia" w:ascii="宋体" w:hAnsi="宋体" w:eastAsia="宋体" w:cs="宋体"/>
          <w:bCs w:val="0"/>
          <w:sz w:val="24"/>
          <w:lang w:val="en-US" w:eastAsia="zh-CN"/>
        </w:rPr>
        <w:t>为1.62%，</w:t>
      </w:r>
      <w:r>
        <w:rPr>
          <w:rFonts w:hint="eastAsia" w:ascii="宋体" w:hAnsi="宋体" w:eastAsia="宋体" w:cs="宋体"/>
          <w:bCs w:val="0"/>
          <w:sz w:val="24"/>
        </w:rPr>
        <w:t>同比</w:t>
      </w:r>
      <w:r>
        <w:rPr>
          <w:rFonts w:hint="eastAsia" w:ascii="宋体" w:hAnsi="宋体" w:eastAsia="宋体" w:cs="宋体"/>
          <w:bCs w:val="0"/>
          <w:sz w:val="24"/>
          <w:lang w:val="en-US" w:eastAsia="zh-CN"/>
        </w:rPr>
        <w:t>下</w:t>
      </w:r>
      <w:r>
        <w:rPr>
          <w:rFonts w:hint="eastAsia" w:ascii="宋体" w:hAnsi="宋体" w:eastAsia="宋体" w:cs="宋体"/>
          <w:bCs w:val="0"/>
          <w:sz w:val="24"/>
        </w:rPr>
        <w:t>降0.03个百分点。</w:t>
      </w:r>
    </w:p>
    <w:p>
      <w:pPr>
        <w:keepNext w:val="0"/>
        <w:keepLines w:val="0"/>
        <w:pageBreakBefore w:val="0"/>
        <w:widowControl/>
        <w:numPr>
          <w:ilvl w:val="0"/>
          <w:numId w:val="0"/>
        </w:numPr>
        <w:kinsoku/>
        <w:wordWrap/>
        <w:overflowPunct/>
        <w:topLinePunct w:val="0"/>
        <w:autoSpaceDE/>
        <w:autoSpaceDN/>
        <w:bidi w:val="0"/>
        <w:adjustRightInd/>
        <w:snapToGrid w:val="0"/>
        <w:spacing w:line="360" w:lineRule="auto"/>
        <w:ind w:firstLine="480" w:firstLineChars="200"/>
        <w:jc w:val="left"/>
        <w:textAlignment w:val="auto"/>
        <w:rPr>
          <w:rFonts w:hint="eastAsia" w:ascii="宋体" w:hAnsi="宋体" w:eastAsia="宋体" w:cs="宋体"/>
          <w:bCs w:val="0"/>
          <w:sz w:val="24"/>
        </w:rPr>
      </w:pPr>
      <w:r>
        <w:rPr>
          <w:rFonts w:hint="eastAsia" w:ascii="宋体" w:hAnsi="宋体" w:eastAsia="宋体" w:cs="宋体"/>
          <w:bCs w:val="0"/>
          <w:sz w:val="24"/>
          <w:lang w:val="en-US" w:eastAsia="zh-CN"/>
        </w:rPr>
        <w:t>实现非息</w:t>
      </w:r>
      <w:r>
        <w:rPr>
          <w:rFonts w:hint="eastAsia" w:ascii="宋体" w:hAnsi="宋体" w:eastAsia="宋体" w:cs="宋体"/>
          <w:bCs w:val="0"/>
          <w:sz w:val="24"/>
        </w:rPr>
        <w:t>净收入8.85亿元，同比下降6.19%，</w:t>
      </w:r>
      <w:r>
        <w:rPr>
          <w:rFonts w:hint="eastAsia" w:ascii="宋体" w:hAnsi="宋体" w:eastAsia="宋体" w:cs="宋体"/>
          <w:bCs w:val="0"/>
          <w:sz w:val="24"/>
          <w:lang w:val="en-US" w:eastAsia="zh-CN"/>
        </w:rPr>
        <w:t>主要是受</w:t>
      </w:r>
      <w:r>
        <w:rPr>
          <w:rFonts w:hint="eastAsia" w:ascii="宋体" w:hAnsi="宋体" w:eastAsia="宋体" w:cs="宋体"/>
          <w:bCs w:val="0"/>
          <w:sz w:val="24"/>
        </w:rPr>
        <w:t>外部市场环境两年差异</w:t>
      </w:r>
      <w:r>
        <w:rPr>
          <w:rFonts w:hint="eastAsia" w:ascii="宋体" w:hAnsi="宋体" w:eastAsia="宋体" w:cs="宋体"/>
          <w:bCs w:val="0"/>
          <w:sz w:val="24"/>
          <w:lang w:val="en-US" w:eastAsia="zh-CN"/>
        </w:rPr>
        <w:t>及汇率波动</w:t>
      </w:r>
      <w:r>
        <w:rPr>
          <w:rFonts w:hint="eastAsia" w:ascii="宋体" w:hAnsi="宋体" w:eastAsia="宋体" w:cs="宋体"/>
          <w:bCs w:val="0"/>
          <w:sz w:val="24"/>
        </w:rPr>
        <w:t>影响</w:t>
      </w:r>
      <w:r>
        <w:rPr>
          <w:rFonts w:hint="eastAsia" w:ascii="宋体" w:hAnsi="宋体" w:eastAsia="宋体" w:cs="宋体"/>
          <w:bCs w:val="0"/>
          <w:sz w:val="24"/>
          <w:lang w:eastAsia="zh-CN"/>
        </w:rPr>
        <w:t>，</w:t>
      </w:r>
      <w:r>
        <w:rPr>
          <w:rFonts w:hint="eastAsia" w:ascii="宋体" w:hAnsi="宋体" w:eastAsia="宋体" w:cs="宋体"/>
          <w:bCs w:val="0"/>
          <w:sz w:val="24"/>
          <w:lang w:val="en-US" w:eastAsia="zh-CN"/>
        </w:rPr>
        <w:t>导致投资收益减少及外币资产汇</w:t>
      </w:r>
      <w:r>
        <w:rPr>
          <w:rFonts w:hint="eastAsia" w:ascii="宋体" w:hAnsi="宋体" w:eastAsia="宋体" w:cs="宋体"/>
          <w:bCs w:val="0"/>
          <w:sz w:val="24"/>
        </w:rPr>
        <w:t>兑损失增加。</w:t>
      </w:r>
    </w:p>
    <w:p>
      <w:pPr>
        <w:keepNext w:val="0"/>
        <w:keepLines w:val="0"/>
        <w:pageBreakBefore w:val="0"/>
        <w:widowControl/>
        <w:numPr>
          <w:ilvl w:val="0"/>
          <w:numId w:val="4"/>
        </w:numPr>
        <w:kinsoku/>
        <w:wordWrap/>
        <w:overflowPunct/>
        <w:topLinePunct w:val="0"/>
        <w:autoSpaceDE/>
        <w:autoSpaceDN/>
        <w:bidi w:val="0"/>
        <w:adjustRightInd/>
        <w:snapToGrid w:val="0"/>
        <w:spacing w:line="360" w:lineRule="auto"/>
        <w:ind w:left="0" w:firstLine="480" w:firstLineChars="200"/>
        <w:jc w:val="left"/>
        <w:textAlignment w:val="auto"/>
        <w:rPr>
          <w:rFonts w:hint="eastAsia" w:ascii="宋体" w:hAnsi="宋体" w:eastAsia="宋体" w:cs="宋体"/>
          <w:bCs w:val="0"/>
          <w:sz w:val="24"/>
          <w:lang w:val="en-US" w:eastAsia="zh-CN"/>
        </w:rPr>
      </w:pPr>
      <w:r>
        <w:rPr>
          <w:rFonts w:hint="eastAsia" w:ascii="宋体" w:hAnsi="宋体" w:eastAsia="宋体" w:cs="宋体"/>
          <w:bCs w:val="0"/>
          <w:sz w:val="24"/>
          <w:lang w:val="en-US" w:eastAsia="zh-CN"/>
        </w:rPr>
        <w:t>营业支出</w:t>
      </w:r>
    </w:p>
    <w:p>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0" w:firstLine="480" w:firstLineChars="200"/>
        <w:jc w:val="left"/>
        <w:textAlignment w:val="auto"/>
        <w:rPr>
          <w:rFonts w:hint="eastAsia" w:ascii="宋体" w:hAnsi="宋体" w:eastAsia="宋体" w:cs="宋体"/>
          <w:bCs w:val="0"/>
          <w:sz w:val="24"/>
          <w:highlight w:val="none"/>
          <w:lang w:val="en-US" w:eastAsia="zh-CN"/>
        </w:rPr>
      </w:pPr>
      <w:r>
        <w:rPr>
          <w:rFonts w:hint="eastAsia" w:ascii="宋体" w:hAnsi="宋体" w:eastAsia="宋体" w:cs="宋体"/>
          <w:bCs w:val="0"/>
          <w:sz w:val="24"/>
          <w:lang w:val="en-US" w:eastAsia="zh-CN"/>
        </w:rPr>
        <w:t>2021年，公司</w:t>
      </w:r>
      <w:r>
        <w:rPr>
          <w:rFonts w:hint="eastAsia" w:ascii="宋体" w:hAnsi="宋体" w:eastAsia="宋体" w:cs="宋体"/>
          <w:bCs w:val="0"/>
          <w:sz w:val="24"/>
        </w:rPr>
        <w:t>营业</w:t>
      </w:r>
      <w:r>
        <w:rPr>
          <w:rFonts w:hint="eastAsia" w:ascii="宋体" w:hAnsi="宋体" w:eastAsia="宋体" w:cs="宋体"/>
          <w:bCs w:val="0"/>
          <w:sz w:val="24"/>
          <w:lang w:val="en-US" w:eastAsia="zh-CN"/>
        </w:rPr>
        <w:t>支出合计29.47</w:t>
      </w:r>
      <w:r>
        <w:rPr>
          <w:rFonts w:hint="eastAsia" w:ascii="宋体" w:hAnsi="宋体" w:eastAsia="宋体" w:cs="宋体"/>
          <w:bCs w:val="0"/>
          <w:sz w:val="24"/>
        </w:rPr>
        <w:t>亿元，</w:t>
      </w:r>
      <w:r>
        <w:rPr>
          <w:rFonts w:hint="eastAsia" w:ascii="宋体" w:hAnsi="宋体" w:eastAsia="宋体" w:cs="宋体"/>
          <w:bCs w:val="0"/>
          <w:sz w:val="24"/>
          <w:highlight w:val="none"/>
        </w:rPr>
        <w:t>同比下降</w:t>
      </w:r>
      <w:r>
        <w:rPr>
          <w:rFonts w:hint="eastAsia" w:ascii="宋体" w:hAnsi="宋体" w:eastAsia="宋体" w:cs="宋体"/>
          <w:bCs w:val="0"/>
          <w:sz w:val="24"/>
          <w:highlight w:val="none"/>
          <w:lang w:val="en-US" w:eastAsia="zh-CN"/>
        </w:rPr>
        <w:t>20.70%，主要是减值计提压力减轻所致。</w:t>
      </w:r>
    </w:p>
    <w:p>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0" w:firstLine="480" w:firstLineChars="200"/>
        <w:jc w:val="left"/>
        <w:textAlignment w:val="auto"/>
        <w:rPr>
          <w:rFonts w:hint="eastAsia" w:ascii="宋体" w:hAnsi="宋体" w:eastAsia="宋体" w:cs="宋体"/>
          <w:bCs w:val="0"/>
          <w:sz w:val="24"/>
        </w:rPr>
      </w:pPr>
      <w:r>
        <w:rPr>
          <w:rFonts w:hint="eastAsia" w:ascii="宋体" w:hAnsi="宋体" w:eastAsia="宋体" w:cs="宋体"/>
          <w:bCs w:val="0"/>
          <w:sz w:val="24"/>
          <w:lang w:val="en-US" w:eastAsia="zh-CN"/>
        </w:rPr>
        <w:t>2021年</w:t>
      </w:r>
      <w:r>
        <w:rPr>
          <w:rFonts w:hint="eastAsia" w:ascii="宋体" w:hAnsi="宋体" w:eastAsia="宋体" w:cs="宋体"/>
          <w:bCs w:val="0"/>
          <w:sz w:val="24"/>
        </w:rPr>
        <w:t>公司发生的业务及管理费合计18.36亿元，同比</w:t>
      </w:r>
      <w:r>
        <w:rPr>
          <w:rFonts w:hint="eastAsia" w:ascii="宋体" w:hAnsi="宋体" w:eastAsia="宋体" w:cs="宋体"/>
          <w:bCs w:val="0"/>
          <w:sz w:val="24"/>
          <w:lang w:val="en-US" w:eastAsia="zh-CN"/>
        </w:rPr>
        <w:t>增长</w:t>
      </w:r>
      <w:r>
        <w:rPr>
          <w:rFonts w:hint="eastAsia" w:ascii="宋体" w:hAnsi="宋体" w:eastAsia="宋体" w:cs="宋体"/>
          <w:bCs w:val="0"/>
          <w:sz w:val="24"/>
        </w:rPr>
        <w:t>15.52%。</w:t>
      </w:r>
      <w:r>
        <w:rPr>
          <w:rFonts w:hint="eastAsia" w:ascii="宋体" w:hAnsi="宋体" w:eastAsia="宋体" w:cs="宋体"/>
          <w:bCs w:val="0"/>
          <w:sz w:val="24"/>
          <w:lang w:eastAsia="zh-CN"/>
        </w:rPr>
        <w:t>主</w:t>
      </w:r>
      <w:r>
        <w:rPr>
          <w:rFonts w:hint="eastAsia" w:ascii="宋体" w:hAnsi="宋体" w:eastAsia="宋体" w:cs="宋体"/>
          <w:bCs w:val="0"/>
          <w:sz w:val="24"/>
          <w:lang w:val="en-US" w:eastAsia="zh-CN"/>
        </w:rPr>
        <w:t>要</w:t>
      </w:r>
      <w:r>
        <w:rPr>
          <w:rFonts w:hint="eastAsia" w:ascii="宋体" w:hAnsi="宋体" w:eastAsia="宋体" w:cs="宋体"/>
          <w:bCs w:val="0"/>
          <w:sz w:val="24"/>
        </w:rPr>
        <w:t>是公司深化践行战略转型，加快</w:t>
      </w:r>
      <w:r>
        <w:rPr>
          <w:rFonts w:hint="eastAsia" w:ascii="宋体" w:hAnsi="宋体" w:eastAsia="宋体" w:cs="宋体"/>
          <w:bCs w:val="0"/>
          <w:sz w:val="24"/>
          <w:lang w:val="en-US" w:eastAsia="zh-CN"/>
        </w:rPr>
        <w:t>网点</w:t>
      </w:r>
      <w:r>
        <w:rPr>
          <w:rFonts w:hint="eastAsia" w:ascii="宋体" w:hAnsi="宋体" w:eastAsia="宋体" w:cs="宋体"/>
          <w:bCs w:val="0"/>
          <w:sz w:val="24"/>
        </w:rPr>
        <w:t>覆盖，加大对金融科技建设、网点人员配备等战略</w:t>
      </w:r>
      <w:r>
        <w:rPr>
          <w:rFonts w:hint="eastAsia" w:ascii="宋体" w:hAnsi="宋体" w:eastAsia="宋体" w:cs="宋体"/>
          <w:bCs w:val="0"/>
          <w:sz w:val="24"/>
          <w:lang w:val="en-US" w:eastAsia="zh-CN"/>
        </w:rPr>
        <w:t>性</w:t>
      </w:r>
      <w:r>
        <w:rPr>
          <w:rFonts w:hint="eastAsia" w:ascii="宋体" w:hAnsi="宋体" w:eastAsia="宋体" w:cs="宋体"/>
          <w:bCs w:val="0"/>
          <w:sz w:val="24"/>
        </w:rPr>
        <w:t>的投入</w:t>
      </w:r>
      <w:r>
        <w:rPr>
          <w:rFonts w:hint="eastAsia" w:ascii="宋体" w:hAnsi="宋体" w:eastAsia="宋体" w:cs="宋体"/>
          <w:bCs w:val="0"/>
          <w:sz w:val="24"/>
          <w:lang w:eastAsia="zh-CN"/>
        </w:rPr>
        <w:t>，</w:t>
      </w:r>
      <w:r>
        <w:rPr>
          <w:rFonts w:hint="eastAsia" w:ascii="宋体" w:hAnsi="宋体" w:eastAsia="宋体" w:cs="宋体"/>
          <w:bCs w:val="0"/>
          <w:sz w:val="24"/>
          <w:lang w:val="en-US" w:eastAsia="zh-CN"/>
        </w:rPr>
        <w:t>以</w:t>
      </w:r>
      <w:r>
        <w:rPr>
          <w:rFonts w:hint="eastAsia" w:ascii="宋体" w:hAnsi="宋体" w:eastAsia="宋体" w:cs="宋体"/>
          <w:bCs w:val="0"/>
          <w:sz w:val="24"/>
        </w:rPr>
        <w:t>为客户提供更便利、更快捷的金融和非金融服务所致。</w:t>
      </w:r>
    </w:p>
    <w:p>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0" w:firstLine="480" w:firstLineChars="200"/>
        <w:jc w:val="left"/>
        <w:textAlignment w:val="auto"/>
        <w:rPr>
          <w:rFonts w:hint="eastAsia" w:ascii="宋体" w:hAnsi="宋体" w:eastAsia="宋体" w:cs="宋体"/>
          <w:bCs w:val="0"/>
          <w:sz w:val="24"/>
          <w:lang w:val="en-US" w:eastAsia="zh-CN"/>
        </w:rPr>
      </w:pPr>
      <w:r>
        <w:rPr>
          <w:rFonts w:hint="eastAsia" w:ascii="宋体" w:hAnsi="宋体" w:eastAsia="宋体" w:cs="宋体"/>
          <w:bCs w:val="0"/>
          <w:sz w:val="24"/>
          <w:lang w:eastAsia="zh-CN"/>
        </w:rPr>
        <w:t>2</w:t>
      </w:r>
      <w:r>
        <w:rPr>
          <w:rFonts w:hint="eastAsia" w:ascii="宋体" w:hAnsi="宋体" w:eastAsia="宋体" w:cs="宋体"/>
          <w:bCs w:val="0"/>
          <w:sz w:val="24"/>
          <w:lang w:val="en-US" w:eastAsia="zh-CN"/>
        </w:rPr>
        <w:t>021</w:t>
      </w:r>
      <w:r>
        <w:rPr>
          <w:rFonts w:hint="eastAsia" w:ascii="宋体" w:hAnsi="宋体" w:eastAsia="宋体" w:cs="宋体"/>
          <w:bCs w:val="0"/>
          <w:sz w:val="24"/>
        </w:rPr>
        <w:t>年外部宏观市场环境相较上年整体向好，同时公司整体资产质量良好，不良率持续下降，使得公司本年</w:t>
      </w:r>
      <w:r>
        <w:rPr>
          <w:rFonts w:hint="eastAsia" w:ascii="宋体" w:hAnsi="宋体" w:eastAsia="宋体" w:cs="宋体"/>
          <w:bCs w:val="0"/>
          <w:sz w:val="24"/>
          <w:lang w:val="en-US" w:eastAsia="zh-CN"/>
        </w:rPr>
        <w:t>需</w:t>
      </w:r>
      <w:r>
        <w:rPr>
          <w:rFonts w:hint="eastAsia" w:ascii="宋体" w:hAnsi="宋体" w:eastAsia="宋体" w:cs="宋体"/>
          <w:bCs w:val="0"/>
          <w:sz w:val="24"/>
        </w:rPr>
        <w:t>计提减值损失</w:t>
      </w:r>
      <w:r>
        <w:rPr>
          <w:rFonts w:hint="eastAsia" w:ascii="宋体" w:hAnsi="宋体" w:eastAsia="宋体" w:cs="宋体"/>
          <w:bCs w:val="0"/>
          <w:sz w:val="24"/>
          <w:lang w:val="en-US" w:eastAsia="zh-CN"/>
        </w:rPr>
        <w:t>的压力减轻</w:t>
      </w:r>
      <w:r>
        <w:rPr>
          <w:rFonts w:hint="eastAsia" w:ascii="宋体" w:hAnsi="宋体" w:eastAsia="宋体" w:cs="宋体"/>
          <w:bCs w:val="0"/>
          <w:sz w:val="24"/>
        </w:rPr>
        <w:t>。</w:t>
      </w:r>
      <w:r>
        <w:rPr>
          <w:rFonts w:hint="eastAsia" w:ascii="宋体" w:hAnsi="宋体" w:eastAsia="宋体" w:cs="宋体"/>
          <w:bCs w:val="0"/>
          <w:sz w:val="24"/>
          <w:lang w:val="en-US" w:eastAsia="zh-CN"/>
        </w:rPr>
        <w:t>公司年末</w:t>
      </w:r>
      <w:r>
        <w:rPr>
          <w:rFonts w:hint="eastAsia" w:ascii="宋体" w:hAnsi="宋体" w:eastAsia="宋体" w:cs="宋体"/>
          <w:sz w:val="24"/>
          <w:lang w:val="en-US" w:eastAsia="zh-CN"/>
        </w:rPr>
        <w:t>拨备覆盖率</w:t>
      </w:r>
      <w:r>
        <w:rPr>
          <w:rFonts w:hint="eastAsia" w:ascii="宋体" w:hAnsi="宋体" w:eastAsia="宋体" w:cs="宋体"/>
          <w:sz w:val="24"/>
        </w:rPr>
        <w:t>370.64%，比年初上升2.61个百分点</w:t>
      </w:r>
      <w:r>
        <w:rPr>
          <w:rFonts w:hint="eastAsia" w:ascii="宋体" w:hAnsi="宋体" w:eastAsia="宋体" w:cs="宋体"/>
          <w:sz w:val="24"/>
          <w:lang w:eastAsia="zh-CN"/>
        </w:rPr>
        <w:t>，</w:t>
      </w:r>
      <w:r>
        <w:rPr>
          <w:rFonts w:hint="eastAsia" w:ascii="宋体" w:hAnsi="宋体" w:eastAsia="宋体" w:cs="宋体"/>
          <w:sz w:val="24"/>
          <w:lang w:val="en-US" w:eastAsia="zh-CN"/>
        </w:rPr>
        <w:t>在</w:t>
      </w:r>
      <w:r>
        <w:rPr>
          <w:rFonts w:hint="eastAsia" w:ascii="宋体" w:hAnsi="宋体" w:eastAsia="宋体" w:cs="宋体"/>
          <w:sz w:val="24"/>
        </w:rPr>
        <w:t>拨备覆盖率</w:t>
      </w:r>
      <w:r>
        <w:rPr>
          <w:rFonts w:hint="eastAsia" w:ascii="宋体" w:hAnsi="宋体" w:eastAsia="宋体" w:cs="宋体"/>
          <w:sz w:val="24"/>
          <w:lang w:val="en-US" w:eastAsia="zh-CN"/>
        </w:rPr>
        <w:t>保持充足的基础上，全年计提各类减值损失10.51亿元</w:t>
      </w:r>
      <w:r>
        <w:rPr>
          <w:rFonts w:hint="eastAsia" w:ascii="宋体" w:hAnsi="宋体" w:eastAsia="宋体" w:cs="宋体"/>
          <w:sz w:val="24"/>
        </w:rPr>
        <w:t>。</w:t>
      </w:r>
    </w:p>
    <w:p>
      <w:pPr>
        <w:keepNext w:val="0"/>
        <w:keepLines w:val="0"/>
        <w:pageBreakBefore w:val="0"/>
        <w:widowControl/>
        <w:numPr>
          <w:ilvl w:val="0"/>
          <w:numId w:val="2"/>
        </w:numPr>
        <w:kinsoku/>
        <w:wordWrap/>
        <w:overflowPunct/>
        <w:topLinePunct w:val="0"/>
        <w:autoSpaceDE/>
        <w:autoSpaceDN/>
        <w:bidi w:val="0"/>
        <w:adjustRightInd/>
        <w:snapToGrid w:val="0"/>
        <w:spacing w:line="360" w:lineRule="auto"/>
        <w:ind w:left="481" w:firstLine="0" w:firstLineChars="0"/>
        <w:jc w:val="left"/>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主要监管指标情况</w:t>
      </w:r>
    </w:p>
    <w:p>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0" w:firstLine="480" w:firstLineChars="200"/>
        <w:jc w:val="left"/>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资本充足率16.40%，较上年末（14.49%）提高1.91个百分点，达到监管指标要求（</w:t>
      </w:r>
      <w:r>
        <w:rPr>
          <w:rFonts w:hint="eastAsia" w:ascii="宋体" w:hAnsi="宋体" w:eastAsia="宋体" w:cs="宋体"/>
          <w:b w:val="0"/>
          <w:bCs w:val="0"/>
          <w:sz w:val="24"/>
          <w:lang w:val="en-US" w:eastAsia="zh-CN"/>
        </w:rPr>
        <w:t>≥</w:t>
      </w:r>
      <w:r>
        <w:rPr>
          <w:rFonts w:hint="eastAsia" w:ascii="宋体" w:hAnsi="宋体" w:eastAsia="宋体" w:cs="宋体"/>
          <w:sz w:val="24"/>
          <w:lang w:val="en-US" w:eastAsia="zh-CN"/>
        </w:rPr>
        <w:t>10.5%）。</w:t>
      </w:r>
    </w:p>
    <w:p>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0" w:firstLine="480" w:firstLineChars="200"/>
        <w:jc w:val="left"/>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核心一级资本充足率10.47%，较上年末（11.34%）降低0.87个百分点，达到监管指标要求（</w:t>
      </w:r>
      <w:r>
        <w:rPr>
          <w:rFonts w:hint="eastAsia" w:ascii="宋体" w:hAnsi="宋体" w:eastAsia="宋体" w:cs="宋体"/>
          <w:b w:val="0"/>
          <w:bCs w:val="0"/>
          <w:sz w:val="24"/>
          <w:lang w:val="en-US" w:eastAsia="zh-CN"/>
        </w:rPr>
        <w:t>≥</w:t>
      </w:r>
      <w:r>
        <w:rPr>
          <w:rFonts w:hint="eastAsia" w:ascii="宋体" w:hAnsi="宋体" w:eastAsia="宋体" w:cs="宋体"/>
          <w:sz w:val="24"/>
          <w:lang w:val="en-US" w:eastAsia="zh-CN"/>
        </w:rPr>
        <w:t>7.5%）。</w:t>
      </w:r>
    </w:p>
    <w:p>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0" w:firstLine="480" w:firstLineChars="200"/>
        <w:jc w:val="left"/>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流动性比例70.43%，较上年末（86.06%）降低15.63个百分点，达到监管指标要求（</w:t>
      </w:r>
      <w:r>
        <w:rPr>
          <w:rFonts w:hint="eastAsia" w:ascii="宋体" w:hAnsi="宋体" w:eastAsia="宋体" w:cs="宋体"/>
          <w:b w:val="0"/>
          <w:bCs w:val="0"/>
          <w:sz w:val="24"/>
          <w:lang w:val="en-US" w:eastAsia="zh-CN"/>
        </w:rPr>
        <w:t>≥</w:t>
      </w:r>
      <w:r>
        <w:rPr>
          <w:rFonts w:hint="eastAsia" w:ascii="宋体" w:hAnsi="宋体" w:eastAsia="宋体" w:cs="宋体"/>
          <w:sz w:val="24"/>
          <w:lang w:val="en-US" w:eastAsia="zh-CN"/>
        </w:rPr>
        <w:t>25%）。</w:t>
      </w:r>
    </w:p>
    <w:p>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0" w:firstLine="480" w:firstLineChars="200"/>
        <w:jc w:val="left"/>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流动性覆盖率203.37%，较上年末（185.65%）提高17.72个百分点，达到监管指标要求（</w:t>
      </w:r>
      <w:r>
        <w:rPr>
          <w:rFonts w:hint="eastAsia" w:ascii="宋体" w:hAnsi="宋体" w:eastAsia="宋体" w:cs="宋体"/>
          <w:b w:val="0"/>
          <w:bCs w:val="0"/>
          <w:sz w:val="24"/>
          <w:lang w:val="en-US" w:eastAsia="zh-CN"/>
        </w:rPr>
        <w:t>≥</w:t>
      </w:r>
      <w:r>
        <w:rPr>
          <w:rFonts w:hint="eastAsia" w:ascii="宋体" w:hAnsi="宋体" w:eastAsia="宋体" w:cs="宋体"/>
          <w:sz w:val="24"/>
          <w:lang w:val="en-US" w:eastAsia="zh-CN"/>
        </w:rPr>
        <w:t>100%）。</w:t>
      </w:r>
    </w:p>
    <w:p>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0" w:firstLine="480" w:firstLineChars="200"/>
        <w:jc w:val="left"/>
        <w:textAlignment w:val="auto"/>
        <w:rPr>
          <w:rFonts w:hint="eastAsia" w:ascii="宋体" w:hAnsi="宋体" w:eastAsia="宋体" w:cs="宋体"/>
          <w:sz w:val="24"/>
        </w:rPr>
      </w:pPr>
      <w:r>
        <w:rPr>
          <w:rFonts w:hint="eastAsia" w:ascii="宋体" w:hAnsi="宋体" w:eastAsia="宋体" w:cs="宋体"/>
          <w:sz w:val="24"/>
          <w:lang w:val="en-US" w:eastAsia="zh-CN"/>
        </w:rPr>
        <w:t>净稳定资金比例107.21%，较上年末（106.45%）提高0.76个百分点，达到监管指标要求（</w:t>
      </w:r>
      <w:r>
        <w:rPr>
          <w:rFonts w:hint="eastAsia" w:ascii="宋体" w:hAnsi="宋体" w:eastAsia="宋体" w:cs="宋体"/>
          <w:b w:val="0"/>
          <w:bCs w:val="0"/>
          <w:sz w:val="24"/>
          <w:lang w:val="en-US" w:eastAsia="zh-CN"/>
        </w:rPr>
        <w:t>≥</w:t>
      </w:r>
      <w:r>
        <w:rPr>
          <w:rFonts w:hint="eastAsia" w:ascii="宋体" w:hAnsi="宋体" w:eastAsia="宋体" w:cs="宋体"/>
          <w:sz w:val="24"/>
          <w:lang w:val="en-US" w:eastAsia="zh-CN"/>
        </w:rPr>
        <w:t>100%）。</w:t>
      </w:r>
    </w:p>
    <w:p>
      <w:pPr>
        <w:keepNext w:val="0"/>
        <w:keepLines w:val="0"/>
        <w:pageBreakBefore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p>
    <w:p>
      <w:pPr>
        <w:keepNext w:val="0"/>
        <w:keepLines w:val="0"/>
        <w:pageBreakBefore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本议案已经第八届董事会第</w:t>
      </w:r>
      <w:r>
        <w:rPr>
          <w:rFonts w:hint="eastAsia" w:ascii="宋体" w:hAnsi="宋体" w:eastAsia="宋体" w:cs="宋体"/>
          <w:sz w:val="24"/>
          <w:lang w:val="en-US" w:eastAsia="zh-CN"/>
        </w:rPr>
        <w:t>十六</w:t>
      </w:r>
      <w:r>
        <w:rPr>
          <w:rFonts w:hint="eastAsia" w:ascii="宋体" w:hAnsi="宋体" w:eastAsia="宋体" w:cs="宋体"/>
          <w:sz w:val="24"/>
        </w:rPr>
        <w:t>次会议</w:t>
      </w:r>
      <w:r>
        <w:rPr>
          <w:rFonts w:hint="eastAsia" w:ascii="宋体" w:hAnsi="宋体" w:eastAsia="宋体" w:cs="宋体"/>
          <w:sz w:val="24"/>
          <w:lang w:eastAsia="zh-CN"/>
        </w:rPr>
        <w:t>、</w:t>
      </w:r>
      <w:r>
        <w:rPr>
          <w:rFonts w:hint="eastAsia" w:ascii="宋体" w:hAnsi="宋体" w:eastAsia="宋体" w:cs="宋体"/>
          <w:sz w:val="24"/>
          <w:lang w:val="en-US" w:eastAsia="zh-CN"/>
        </w:rPr>
        <w:t>第八届监事会第十一次会议</w:t>
      </w:r>
      <w:r>
        <w:rPr>
          <w:rFonts w:hint="eastAsia" w:ascii="宋体" w:hAnsi="宋体" w:eastAsia="宋体" w:cs="宋体"/>
          <w:sz w:val="24"/>
        </w:rPr>
        <w:t>审议通过，请各位股东审议。</w:t>
      </w:r>
    </w:p>
    <w:p>
      <w:pPr>
        <w:keepNext w:val="0"/>
        <w:keepLines w:val="0"/>
        <w:pageBreakBefore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p>
    <w:p>
      <w:pPr>
        <w:keepNext w:val="0"/>
        <w:keepLines w:val="0"/>
        <w:pageBreakBefore w:val="0"/>
        <w:kinsoku/>
        <w:wordWrap/>
        <w:overflowPunct/>
        <w:topLinePunct w:val="0"/>
        <w:autoSpaceDE/>
        <w:autoSpaceDN/>
        <w:bidi w:val="0"/>
        <w:adjustRightInd/>
        <w:snapToGrid w:val="0"/>
        <w:spacing w:line="360" w:lineRule="auto"/>
        <w:ind w:firstLine="480" w:firstLineChars="200"/>
        <w:jc w:val="right"/>
        <w:textAlignment w:val="auto"/>
        <w:rPr>
          <w:rFonts w:hint="eastAsia" w:ascii="宋体" w:hAnsi="宋体" w:eastAsia="宋体" w:cs="宋体"/>
          <w:sz w:val="24"/>
        </w:rPr>
      </w:pPr>
    </w:p>
    <w:p>
      <w:pPr>
        <w:keepNext w:val="0"/>
        <w:keepLines w:val="0"/>
        <w:pageBreakBefore w:val="0"/>
        <w:kinsoku/>
        <w:wordWrap/>
        <w:overflowPunct/>
        <w:topLinePunct w:val="0"/>
        <w:autoSpaceDE/>
        <w:autoSpaceDN/>
        <w:bidi w:val="0"/>
        <w:adjustRightInd/>
        <w:snapToGrid w:val="0"/>
        <w:spacing w:line="360" w:lineRule="auto"/>
        <w:ind w:firstLine="480" w:firstLineChars="200"/>
        <w:jc w:val="right"/>
        <w:textAlignment w:val="auto"/>
        <w:rPr>
          <w:rFonts w:hint="eastAsia" w:ascii="宋体" w:hAnsi="宋体" w:eastAsia="宋体" w:cs="宋体"/>
          <w:sz w:val="24"/>
        </w:rPr>
      </w:pPr>
    </w:p>
    <w:p>
      <w:pPr>
        <w:keepNext w:val="0"/>
        <w:keepLines w:val="0"/>
        <w:pageBreakBefore w:val="0"/>
        <w:kinsoku/>
        <w:wordWrap/>
        <w:overflowPunct/>
        <w:topLinePunct w:val="0"/>
        <w:autoSpaceDE/>
        <w:autoSpaceDN/>
        <w:bidi w:val="0"/>
        <w:adjustRightInd/>
        <w:snapToGrid w:val="0"/>
        <w:spacing w:line="360" w:lineRule="auto"/>
        <w:ind w:firstLine="480" w:firstLineChars="200"/>
        <w:jc w:val="right"/>
        <w:textAlignment w:val="auto"/>
        <w:rPr>
          <w:rFonts w:hint="eastAsia" w:ascii="宋体" w:hAnsi="宋体" w:eastAsia="宋体" w:cs="宋体"/>
          <w:sz w:val="24"/>
        </w:rPr>
      </w:pPr>
      <w:r>
        <w:rPr>
          <w:rFonts w:hint="eastAsia" w:ascii="宋体" w:hAnsi="宋体" w:eastAsia="宋体" w:cs="宋体"/>
          <w:sz w:val="24"/>
        </w:rPr>
        <w:t xml:space="preserve">厦门银行股份有限公司 </w:t>
      </w:r>
    </w:p>
    <w:p>
      <w:pPr>
        <w:pStyle w:val="7"/>
        <w:keepNext w:val="0"/>
        <w:keepLines w:val="0"/>
        <w:pageBreakBefore w:val="0"/>
        <w:kinsoku/>
        <w:wordWrap/>
        <w:overflowPunct/>
        <w:topLinePunct w:val="0"/>
        <w:autoSpaceDE/>
        <w:autoSpaceDN/>
        <w:bidi w:val="0"/>
        <w:adjustRightInd/>
        <w:snapToGrid w:val="0"/>
        <w:spacing w:line="360" w:lineRule="auto"/>
        <w:jc w:val="right"/>
        <w:textAlignment w:val="auto"/>
        <w:rPr>
          <w:rFonts w:hAnsi="宋体" w:eastAsia="宋体" w:cs="宋体"/>
          <w:sz w:val="24"/>
          <w:szCs w:val="24"/>
        </w:rPr>
      </w:pPr>
      <w:r>
        <w:rPr>
          <w:rFonts w:hint="eastAsia" w:ascii="宋体" w:hAnsi="宋体" w:eastAsia="宋体" w:cs="宋体"/>
          <w:sz w:val="24"/>
        </w:rPr>
        <w:t>20</w:t>
      </w:r>
      <w:r>
        <w:rPr>
          <w:rFonts w:hint="eastAsia" w:ascii="宋体" w:hAnsi="宋体" w:eastAsia="宋体" w:cs="宋体"/>
          <w:sz w:val="24"/>
          <w:lang w:val="en-US" w:eastAsia="zh-CN"/>
        </w:rPr>
        <w:t>22</w:t>
      </w:r>
      <w:r>
        <w:rPr>
          <w:rFonts w:hint="eastAsia" w:ascii="宋体" w:hAnsi="宋体" w:eastAsia="宋体" w:cs="宋体"/>
          <w:sz w:val="24"/>
        </w:rPr>
        <w:t>年</w:t>
      </w:r>
      <w:r>
        <w:rPr>
          <w:rFonts w:hint="eastAsia" w:ascii="宋体" w:hAnsi="宋体" w:eastAsia="宋体" w:cs="宋体"/>
          <w:sz w:val="24"/>
          <w:lang w:val="en-US" w:eastAsia="zh-CN"/>
        </w:rPr>
        <w:t>6</w:t>
      </w:r>
      <w:r>
        <w:rPr>
          <w:rFonts w:hint="eastAsia" w:ascii="宋体" w:hAnsi="宋体" w:eastAsia="宋体" w:cs="宋体"/>
          <w:sz w:val="24"/>
        </w:rPr>
        <w:t>月</w:t>
      </w:r>
      <w:r>
        <w:rPr>
          <w:rFonts w:hint="eastAsia" w:ascii="宋体" w:hAnsi="宋体" w:eastAsia="宋体" w:cs="宋体"/>
          <w:sz w:val="24"/>
          <w:lang w:val="en-US" w:eastAsia="zh-CN"/>
        </w:rPr>
        <w:t>2</w:t>
      </w:r>
      <w:r>
        <w:rPr>
          <w:rFonts w:hint="eastAsia" w:ascii="宋体" w:hAnsi="宋体" w:eastAsia="宋体" w:cs="宋体"/>
          <w:sz w:val="24"/>
        </w:rPr>
        <w:t>日</w:t>
      </w:r>
    </w:p>
    <w:p>
      <w:pPr>
        <w:rPr>
          <w:rFonts w:hint="eastAsia" w:ascii="宋体" w:hAnsi="宋体" w:eastAsia="宋体" w:cs="宋体"/>
          <w:sz w:val="24"/>
        </w:rPr>
      </w:pPr>
      <w:r>
        <w:rPr>
          <w:rFonts w:hint="eastAsia" w:ascii="宋体" w:hAnsi="宋体" w:eastAsia="宋体" w:cs="宋体"/>
          <w:sz w:val="24"/>
        </w:rPr>
        <w:br w:type="page"/>
      </w:r>
    </w:p>
    <w:p>
      <w:pPr>
        <w:pStyle w:val="19"/>
      </w:pPr>
    </w:p>
    <w:p>
      <w:pPr>
        <w:spacing w:line="520" w:lineRule="exact"/>
        <w:rPr>
          <w:rFonts w:ascii="宋体" w:hAnsi="宋体" w:eastAsia="宋体" w:cs="宋体"/>
          <w:b/>
          <w:sz w:val="30"/>
          <w:szCs w:val="30"/>
        </w:rPr>
      </w:pPr>
      <w:r>
        <w:rPr>
          <w:rFonts w:hint="eastAsia" w:ascii="宋体" w:hAnsi="宋体" w:eastAsia="宋体" w:cs="宋体"/>
          <w:b/>
          <w:sz w:val="30"/>
          <w:szCs w:val="30"/>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467610" cy="693420"/>
                <wp:effectExtent l="4445" t="4445" r="23495" b="6985"/>
                <wp:wrapNone/>
                <wp:docPr id="5" name="文本框 4"/>
                <wp:cNvGraphicFramePr/>
                <a:graphic xmlns:a="http://schemas.openxmlformats.org/drawingml/2006/main">
                  <a:graphicData uri="http://schemas.microsoft.com/office/word/2010/wordprocessingShape">
                    <wps:wsp>
                      <wps:cNvSpPr txBox="1"/>
                      <wps:spPr>
                        <a:xfrm>
                          <a:off x="0" y="0"/>
                          <a:ext cx="2467610" cy="693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ascii="宋体" w:hAnsi="宋体" w:eastAsia="宋体" w:cs="宋体"/>
                              </w:rPr>
                            </w:pPr>
                            <w:r>
                              <w:rPr>
                                <w:rFonts w:hint="eastAsia" w:ascii="宋体" w:hAnsi="宋体" w:eastAsia="宋体" w:cs="宋体"/>
                              </w:rPr>
                              <w:t>议案2</w:t>
                            </w:r>
                          </w:p>
                        </w:txbxContent>
                      </wps:txbx>
                      <wps:bodyPr upright="1"/>
                    </wps:wsp>
                  </a:graphicData>
                </a:graphic>
              </wp:anchor>
            </w:drawing>
          </mc:Choice>
          <mc:Fallback>
            <w:pict>
              <v:shape id="文本框 4" o:spid="_x0000_s1026" o:spt="202" type="#_x0000_t202" style="position:absolute;left:0pt;margin-left:0pt;margin-top:0pt;height:54.6pt;width:194.3pt;z-index:251660288;mso-width-relative:page;mso-height-relative:page;" fillcolor="#FFFFFF" filled="t" stroked="t" coordsize="21600,21600" o:gfxdata="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mVXofdUAAAAFAQAADwAAAAAAAAABACAAAAAiAAAAZHJzL2Rvd25yZXYueG1sUEsBAhQAFAAA&#10;AAgAh07iQGTyGg3yAQAA6AMAAA4AAAAAAAAAAQAgAAAAJAEAAGRycy9lMm9Eb2MueG1sUEsFBgAA&#10;AAAGAAYAWQEAAIgFA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ascii="宋体" w:hAnsi="宋体" w:eastAsia="宋体" w:cs="宋体"/>
                        </w:rPr>
                      </w:pPr>
                      <w:r>
                        <w:rPr>
                          <w:rFonts w:hint="eastAsia" w:ascii="宋体" w:hAnsi="宋体" w:eastAsia="宋体" w:cs="宋体"/>
                        </w:rPr>
                        <w:t>议案2</w:t>
                      </w:r>
                    </w:p>
                  </w:txbxContent>
                </v:textbox>
              </v:shape>
            </w:pict>
          </mc:Fallback>
        </mc:AlternateContent>
      </w:r>
    </w:p>
    <w:p>
      <w:pPr>
        <w:pStyle w:val="7"/>
        <w:spacing w:line="520" w:lineRule="exact"/>
        <w:rPr>
          <w:rFonts w:hAnsi="宋体" w:eastAsia="宋体" w:cs="宋体"/>
          <w:b/>
          <w:sz w:val="24"/>
        </w:rPr>
      </w:pPr>
    </w:p>
    <w:p>
      <w:pPr>
        <w:pStyle w:val="7"/>
        <w:snapToGrid w:val="0"/>
        <w:spacing w:line="360" w:lineRule="auto"/>
        <w:jc w:val="center"/>
        <w:rPr>
          <w:rFonts w:hAnsi="宋体" w:eastAsia="宋体" w:cs="宋体"/>
          <w:b/>
          <w:sz w:val="28"/>
          <w:szCs w:val="28"/>
        </w:rPr>
      </w:pPr>
    </w:p>
    <w:p>
      <w:pPr>
        <w:spacing w:line="360" w:lineRule="auto"/>
        <w:jc w:val="center"/>
        <w:rPr>
          <w:rFonts w:ascii="宋体" w:hAnsi="宋体"/>
          <w:b/>
          <w:bCs/>
          <w:color w:val="000000"/>
          <w:sz w:val="30"/>
          <w:szCs w:val="30"/>
        </w:rPr>
      </w:pPr>
      <w:r>
        <w:rPr>
          <w:rFonts w:hint="eastAsia" w:ascii="宋体" w:hAnsi="宋体"/>
          <w:b/>
          <w:bCs/>
          <w:color w:val="000000"/>
          <w:sz w:val="30"/>
          <w:szCs w:val="30"/>
        </w:rPr>
        <w:t>厦门银行股份有限公司关于2021年度利润分配方案的议案</w:t>
      </w:r>
    </w:p>
    <w:p>
      <w:pPr>
        <w:widowControl/>
        <w:spacing w:line="360" w:lineRule="auto"/>
        <w:rPr>
          <w:rFonts w:hint="eastAsia" w:ascii="宋体" w:hAnsi="宋体" w:cs="宋体"/>
          <w:kern w:val="0"/>
          <w:sz w:val="24"/>
        </w:rPr>
      </w:pPr>
    </w:p>
    <w:p>
      <w:pPr>
        <w:keepNext w:val="0"/>
        <w:keepLines w:val="0"/>
        <w:pageBreakBefore w:val="0"/>
        <w:widowControl/>
        <w:kinsoku/>
        <w:wordWrap/>
        <w:overflowPunct/>
        <w:topLinePunct w:val="0"/>
        <w:autoSpaceDE/>
        <w:autoSpaceDN/>
        <w:bidi w:val="0"/>
        <w:adjustRightInd/>
        <w:snapToGrid w:val="0"/>
        <w:spacing w:line="360" w:lineRule="auto"/>
        <w:textAlignment w:val="auto"/>
        <w:rPr>
          <w:rFonts w:hint="eastAsia" w:ascii="宋体" w:hAnsi="宋体" w:eastAsia="宋体" w:cs="宋体"/>
          <w:kern w:val="0"/>
          <w:sz w:val="24"/>
        </w:rPr>
      </w:pPr>
      <w:r>
        <w:rPr>
          <w:rFonts w:hint="eastAsia" w:ascii="宋体" w:hAnsi="宋体" w:eastAsia="宋体" w:cs="宋体"/>
          <w:kern w:val="0"/>
          <w:sz w:val="24"/>
        </w:rPr>
        <w:t>尊敬的各位</w:t>
      </w:r>
      <w:r>
        <w:rPr>
          <w:rFonts w:hint="eastAsia" w:ascii="宋体" w:hAnsi="宋体" w:eastAsia="宋体" w:cs="宋体"/>
          <w:kern w:val="0"/>
          <w:sz w:val="24"/>
          <w:lang w:val="en-US" w:eastAsia="zh-CN"/>
        </w:rPr>
        <w:t>股东</w:t>
      </w:r>
      <w:r>
        <w:rPr>
          <w:rFonts w:hint="eastAsia" w:ascii="宋体" w:hAnsi="宋体" w:eastAsia="宋体" w:cs="宋体"/>
          <w:kern w:val="0"/>
          <w:sz w:val="24"/>
        </w:rPr>
        <w:t>：</w:t>
      </w:r>
    </w:p>
    <w:p>
      <w:pPr>
        <w:keepNext w:val="0"/>
        <w:keepLines w:val="0"/>
        <w:pageBreakBefore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根据安永华明审定的2021年度会计报表，2021年度公司实现的税后归属于母公司的净利润为21.69亿元。2021年初未分配利润为47.49亿元，扣除2020年度普通股股利4.75亿元及永续债利息0.48亿元，向子公司增资增加以往年度未分配利润0.04亿元，本期公司可供分配的利润为63.99亿元。拟定利润分配方案如下：</w:t>
      </w:r>
    </w:p>
    <w:p>
      <w:pPr>
        <w:keepNext w:val="0"/>
        <w:keepLines w:val="0"/>
        <w:pageBreakBefore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1、提取法定盈余公积：按当年度净利润扣减以前年度亏损后余额的10%提取法定盈余公积2.05亿元。</w:t>
      </w:r>
    </w:p>
    <w:p>
      <w:pPr>
        <w:keepNext w:val="0"/>
        <w:keepLines w:val="0"/>
        <w:pageBreakBefore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2、提取一般准备：根据财政部《金融企业准备金计提管理办法》（财金[2012]20号）的规定，按公司2021年风险资产期末余额1.5%差额提取一般风险准备6.10亿元。</w:t>
      </w:r>
    </w:p>
    <w:p>
      <w:pPr>
        <w:keepNext w:val="0"/>
        <w:keepLines w:val="0"/>
        <w:pageBreakBefore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3、拟以实施权益分派股权登记日的普通股总股本为基数，按每10股派发现金股利2.50元（含税）。截至2021年12月31日，公司总股本2,639,127,888股，以此计算合计拟派发现金股利共计6.60亿元（含税）。本年度公司现金分红比例为30.42%。</w:t>
      </w:r>
    </w:p>
    <w:p>
      <w:pPr>
        <w:keepNext w:val="0"/>
        <w:keepLines w:val="0"/>
        <w:pageBreakBefore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kern w:val="0"/>
          <w:sz w:val="24"/>
        </w:rPr>
      </w:pPr>
      <w:r>
        <w:rPr>
          <w:rFonts w:hint="eastAsia" w:ascii="宋体" w:hAnsi="宋体" w:eastAsia="宋体" w:cs="宋体"/>
          <w:kern w:val="0"/>
          <w:sz w:val="24"/>
          <w:szCs w:val="24"/>
        </w:rPr>
        <w:t>4、经上述分配后，公司期末未分配利润为49.25亿元，结转下年度。</w:t>
      </w:r>
    </w:p>
    <w:p>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eastAsia="宋体" w:cs="宋体"/>
          <w:kern w:val="0"/>
          <w:sz w:val="24"/>
        </w:rPr>
      </w:pPr>
    </w:p>
    <w:p>
      <w:pPr>
        <w:keepNext w:val="0"/>
        <w:keepLines w:val="0"/>
        <w:pageBreakBefore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kern w:val="0"/>
          <w:sz w:val="24"/>
        </w:rPr>
      </w:pPr>
      <w:r>
        <w:rPr>
          <w:rFonts w:hint="eastAsia" w:ascii="宋体" w:hAnsi="宋体" w:eastAsia="宋体" w:cs="宋体"/>
          <w:kern w:val="0"/>
          <w:sz w:val="24"/>
        </w:rPr>
        <w:t>本议案已经第八届董事会第十六次会议、第八届监事会第十一次会议审议通过，请各位股东审议。</w:t>
      </w:r>
    </w:p>
    <w:p>
      <w:pPr>
        <w:keepNext w:val="0"/>
        <w:keepLines w:val="0"/>
        <w:pageBreakBefore w:val="0"/>
        <w:kinsoku/>
        <w:wordWrap/>
        <w:overflowPunct/>
        <w:topLinePunct w:val="0"/>
        <w:autoSpaceDE/>
        <w:autoSpaceDN/>
        <w:bidi w:val="0"/>
        <w:adjustRightInd/>
        <w:snapToGrid w:val="0"/>
        <w:spacing w:line="360" w:lineRule="auto"/>
        <w:ind w:firstLine="480" w:firstLineChars="200"/>
        <w:jc w:val="right"/>
        <w:textAlignment w:val="auto"/>
        <w:rPr>
          <w:rFonts w:hint="eastAsia" w:ascii="宋体" w:hAnsi="宋体" w:eastAsia="宋体" w:cs="宋体"/>
          <w:sz w:val="24"/>
        </w:rPr>
      </w:pPr>
    </w:p>
    <w:p>
      <w:pPr>
        <w:keepNext w:val="0"/>
        <w:keepLines w:val="0"/>
        <w:pageBreakBefore w:val="0"/>
        <w:kinsoku/>
        <w:wordWrap/>
        <w:overflowPunct/>
        <w:topLinePunct w:val="0"/>
        <w:autoSpaceDE/>
        <w:autoSpaceDN/>
        <w:bidi w:val="0"/>
        <w:adjustRightInd/>
        <w:snapToGrid w:val="0"/>
        <w:spacing w:line="360" w:lineRule="auto"/>
        <w:ind w:firstLine="480" w:firstLineChars="200"/>
        <w:jc w:val="right"/>
        <w:textAlignment w:val="auto"/>
        <w:rPr>
          <w:rFonts w:hint="eastAsia" w:ascii="宋体" w:hAnsi="宋体" w:eastAsia="宋体" w:cs="宋体"/>
          <w:sz w:val="24"/>
        </w:rPr>
      </w:pPr>
      <w:r>
        <w:rPr>
          <w:rFonts w:hint="eastAsia" w:ascii="宋体" w:hAnsi="宋体" w:eastAsia="宋体" w:cs="宋体"/>
          <w:sz w:val="24"/>
        </w:rPr>
        <w:t xml:space="preserve">厦门银行股份有限公司 </w:t>
      </w:r>
    </w:p>
    <w:p>
      <w:pPr>
        <w:pStyle w:val="7"/>
        <w:keepNext w:val="0"/>
        <w:keepLines w:val="0"/>
        <w:pageBreakBefore w:val="0"/>
        <w:kinsoku/>
        <w:wordWrap/>
        <w:overflowPunct/>
        <w:topLinePunct w:val="0"/>
        <w:autoSpaceDE/>
        <w:autoSpaceDN/>
        <w:bidi w:val="0"/>
        <w:adjustRightInd/>
        <w:snapToGrid w:val="0"/>
        <w:spacing w:line="360" w:lineRule="auto"/>
        <w:jc w:val="right"/>
        <w:textAlignment w:val="auto"/>
        <w:rPr>
          <w:rFonts w:hint="eastAsia" w:ascii="宋体" w:hAnsi="宋体" w:eastAsia="宋体" w:cs="宋体"/>
          <w:sz w:val="24"/>
          <w:szCs w:val="24"/>
        </w:rPr>
      </w:pPr>
      <w:r>
        <w:rPr>
          <w:rFonts w:hint="eastAsia" w:ascii="宋体" w:hAnsi="宋体" w:eastAsia="宋体" w:cs="宋体"/>
          <w:sz w:val="24"/>
        </w:rPr>
        <w:t>20</w:t>
      </w:r>
      <w:r>
        <w:rPr>
          <w:rFonts w:hint="eastAsia" w:ascii="宋体" w:hAnsi="宋体" w:eastAsia="宋体" w:cs="宋体"/>
          <w:sz w:val="24"/>
          <w:lang w:val="en-US" w:eastAsia="zh-CN"/>
        </w:rPr>
        <w:t>22</w:t>
      </w:r>
      <w:r>
        <w:rPr>
          <w:rFonts w:hint="eastAsia" w:ascii="宋体" w:hAnsi="宋体" w:eastAsia="宋体" w:cs="宋体"/>
          <w:sz w:val="24"/>
        </w:rPr>
        <w:t>年</w:t>
      </w:r>
      <w:r>
        <w:rPr>
          <w:rFonts w:hint="eastAsia" w:ascii="宋体" w:hAnsi="宋体" w:eastAsia="宋体" w:cs="宋体"/>
          <w:sz w:val="24"/>
          <w:lang w:val="en-US" w:eastAsia="zh-CN"/>
        </w:rPr>
        <w:t>6</w:t>
      </w:r>
      <w:r>
        <w:rPr>
          <w:rFonts w:hint="eastAsia" w:ascii="宋体" w:hAnsi="宋体" w:eastAsia="宋体" w:cs="宋体"/>
          <w:sz w:val="24"/>
        </w:rPr>
        <w:t>月</w:t>
      </w:r>
      <w:r>
        <w:rPr>
          <w:rFonts w:hint="eastAsia" w:ascii="宋体" w:hAnsi="宋体" w:eastAsia="宋体" w:cs="宋体"/>
          <w:sz w:val="24"/>
          <w:lang w:val="en-US" w:eastAsia="zh-CN"/>
        </w:rPr>
        <w:t>2</w:t>
      </w:r>
      <w:r>
        <w:rPr>
          <w:rFonts w:hint="eastAsia" w:ascii="宋体" w:hAnsi="宋体" w:eastAsia="宋体" w:cs="宋体"/>
          <w:sz w:val="24"/>
        </w:rPr>
        <w:t>日</w:t>
      </w:r>
    </w:p>
    <w:p>
      <w:pPr>
        <w:rPr>
          <w:rFonts w:hint="eastAsia" w:ascii="宋体" w:hAnsi="宋体" w:eastAsia="宋体" w:cs="宋体"/>
          <w:sz w:val="24"/>
        </w:rPr>
      </w:pPr>
      <w:r>
        <w:rPr>
          <w:rFonts w:hint="eastAsia" w:ascii="宋体" w:hAnsi="宋体" w:eastAsia="宋体" w:cs="宋体"/>
          <w:sz w:val="24"/>
        </w:rPr>
        <w:br w:type="page"/>
      </w:r>
    </w:p>
    <w:p>
      <w:pPr>
        <w:rPr>
          <w:rFonts w:hint="eastAsia" w:ascii="宋体" w:hAnsi="宋体" w:eastAsia="宋体" w:cs="宋体"/>
          <w:sz w:val="24"/>
        </w:rPr>
      </w:pPr>
    </w:p>
    <w:p>
      <w:pPr>
        <w:pStyle w:val="19"/>
      </w:pPr>
    </w:p>
    <w:p>
      <w:pPr>
        <w:spacing w:line="520" w:lineRule="exact"/>
        <w:jc w:val="center"/>
        <w:rPr>
          <w:rFonts w:ascii="宋体" w:hAnsi="宋体" w:eastAsia="宋体" w:cs="宋体"/>
          <w:b/>
          <w:bCs/>
          <w:color w:val="000000"/>
          <w:sz w:val="30"/>
          <w:szCs w:val="30"/>
        </w:rPr>
      </w:pPr>
      <w:r>
        <w:rPr>
          <w:rFonts w:hint="eastAsia" w:ascii="宋体" w:hAnsi="宋体" w:eastAsia="宋体" w:cs="宋体"/>
          <w:b/>
          <w:bCs/>
          <w:color w:val="000000"/>
          <w:sz w:val="30"/>
          <w:szCs w:val="30"/>
        </w:rPr>
        <mc:AlternateContent>
          <mc:Choice Requires="wps">
            <w:drawing>
              <wp:anchor distT="0" distB="0" distL="114300" distR="114300" simplePos="0" relativeHeight="251661312" behindDoc="0" locked="0" layoutInCell="1" allowOverlap="1">
                <wp:simplePos x="0" y="0"/>
                <wp:positionH relativeFrom="column">
                  <wp:posOffset>28575</wp:posOffset>
                </wp:positionH>
                <wp:positionV relativeFrom="paragraph">
                  <wp:posOffset>-161925</wp:posOffset>
                </wp:positionV>
                <wp:extent cx="2371725" cy="693420"/>
                <wp:effectExtent l="4445" t="4445" r="5080" b="6985"/>
                <wp:wrapNone/>
                <wp:docPr id="7" name="文本框 2"/>
                <wp:cNvGraphicFramePr/>
                <a:graphic xmlns:a="http://schemas.openxmlformats.org/drawingml/2006/main">
                  <a:graphicData uri="http://schemas.microsoft.com/office/word/2010/wordprocessingShape">
                    <wps:wsp>
                      <wps:cNvSpPr txBox="1"/>
                      <wps:spPr>
                        <a:xfrm>
                          <a:off x="0" y="0"/>
                          <a:ext cx="2371725" cy="693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ascii="宋体" w:hAnsi="宋体" w:eastAsia="宋体" w:cs="宋体"/>
                              </w:rPr>
                            </w:pPr>
                            <w:r>
                              <w:rPr>
                                <w:rFonts w:hint="eastAsia" w:ascii="宋体" w:hAnsi="宋体" w:eastAsia="宋体" w:cs="宋体"/>
                              </w:rPr>
                              <w:t>议案3</w:t>
                            </w:r>
                          </w:p>
                        </w:txbxContent>
                      </wps:txbx>
                      <wps:bodyPr wrap="square" upright="1"/>
                    </wps:wsp>
                  </a:graphicData>
                </a:graphic>
              </wp:anchor>
            </w:drawing>
          </mc:Choice>
          <mc:Fallback>
            <w:pict>
              <v:shape id="文本框 2" o:spid="_x0000_s1026" o:spt="202" type="#_x0000_t202" style="position:absolute;left:0pt;margin-left:2.25pt;margin-top:-12.75pt;height:54.6pt;width:186.75pt;z-index:251661312;mso-width-relative:page;mso-height-relative:page;" fillcolor="#FFFFFF" filled="t" stroked="t" coordsize="21600,21600" o:gfxdata="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8n5+3YAAAACAEAAA8AAAAAAAAAAQAgAAAAIgAAAGRycy9kb3ducmV2&#10;LnhtbFBLAQIUABQAAAAIAIdO4kB/MAbu/AEAAPYDAAAOAAAAAAAAAAEAIAAAACcBAABkcnMvZTJv&#10;RG9jLnhtbFBLBQYAAAAABgAGAFkBAACVBQ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ascii="宋体" w:hAnsi="宋体" w:eastAsia="宋体" w:cs="宋体"/>
                        </w:rPr>
                      </w:pPr>
                      <w:r>
                        <w:rPr>
                          <w:rFonts w:hint="eastAsia" w:ascii="宋体" w:hAnsi="宋体" w:eastAsia="宋体" w:cs="宋体"/>
                        </w:rPr>
                        <w:t>议案3</w:t>
                      </w:r>
                    </w:p>
                  </w:txbxContent>
                </v:textbox>
              </v:shape>
            </w:pict>
          </mc:Fallback>
        </mc:AlternateContent>
      </w:r>
    </w:p>
    <w:p>
      <w:pPr>
        <w:spacing w:line="520" w:lineRule="exact"/>
        <w:jc w:val="center"/>
        <w:rPr>
          <w:rFonts w:ascii="宋体" w:hAnsi="宋体" w:eastAsia="宋体" w:cs="宋体"/>
          <w:b/>
          <w:bCs/>
          <w:color w:val="000000"/>
          <w:sz w:val="30"/>
          <w:szCs w:val="30"/>
        </w:rPr>
      </w:pPr>
    </w:p>
    <w:p>
      <w:pPr>
        <w:pStyle w:val="2"/>
      </w:pPr>
    </w:p>
    <w:p>
      <w:pPr>
        <w:widowControl/>
        <w:spacing w:line="360" w:lineRule="auto"/>
        <w:jc w:val="center"/>
        <w:rPr>
          <w:rFonts w:ascii="宋体" w:hAnsi="宋体"/>
          <w:b/>
          <w:bCs/>
          <w:color w:val="000000"/>
          <w:sz w:val="30"/>
          <w:szCs w:val="30"/>
        </w:rPr>
      </w:pPr>
      <w:bookmarkStart w:id="15" w:name="_Toc2584_WPSOffice_Level1"/>
      <w:r>
        <w:rPr>
          <w:rFonts w:hint="eastAsia" w:ascii="宋体" w:hAnsi="宋体"/>
          <w:b/>
          <w:bCs/>
          <w:color w:val="000000"/>
          <w:sz w:val="30"/>
          <w:szCs w:val="30"/>
        </w:rPr>
        <w:t>厦门银行股份有限公司关于2021年度董事会工作报告的议案</w:t>
      </w:r>
    </w:p>
    <w:p>
      <w:pPr>
        <w:widowControl/>
        <w:spacing w:line="360" w:lineRule="auto"/>
        <w:rPr>
          <w:rFonts w:hint="eastAsia" w:ascii="宋体" w:hAnsi="宋体" w:cs="宋体"/>
          <w:kern w:val="0"/>
          <w:sz w:val="24"/>
        </w:rPr>
      </w:pPr>
    </w:p>
    <w:p>
      <w:pPr>
        <w:keepNext w:val="0"/>
        <w:keepLines w:val="0"/>
        <w:pageBreakBefore w:val="0"/>
        <w:widowControl/>
        <w:kinsoku/>
        <w:wordWrap/>
        <w:overflowPunct/>
        <w:topLinePunct w:val="0"/>
        <w:bidi w:val="0"/>
        <w:snapToGrid w:val="0"/>
        <w:spacing w:line="360" w:lineRule="auto"/>
        <w:textAlignment w:val="auto"/>
        <w:rPr>
          <w:rFonts w:hint="eastAsia" w:ascii="宋体" w:hAnsi="宋体" w:eastAsia="宋体" w:cs="宋体"/>
          <w:color w:val="000000"/>
          <w:kern w:val="0"/>
          <w:sz w:val="24"/>
          <w:szCs w:val="24"/>
        </w:rPr>
      </w:pPr>
      <w:r>
        <w:rPr>
          <w:rFonts w:hint="eastAsia" w:ascii="宋体" w:hAnsi="宋体" w:eastAsia="宋体" w:cs="宋体"/>
          <w:kern w:val="0"/>
          <w:sz w:val="24"/>
        </w:rPr>
        <w:t>尊敬的各位</w:t>
      </w:r>
      <w:r>
        <w:rPr>
          <w:rFonts w:hint="eastAsia" w:ascii="宋体" w:hAnsi="宋体" w:eastAsia="宋体" w:cs="宋体"/>
          <w:kern w:val="0"/>
          <w:sz w:val="24"/>
          <w:lang w:val="en-US" w:eastAsia="zh-CN"/>
        </w:rPr>
        <w:t>股东</w:t>
      </w:r>
      <w:r>
        <w:rPr>
          <w:rFonts w:hint="eastAsia" w:ascii="宋体" w:hAnsi="宋体" w:eastAsia="宋体" w:cs="宋体"/>
          <w:kern w:val="0"/>
          <w:sz w:val="24"/>
        </w:rPr>
        <w:t>：</w:t>
      </w:r>
    </w:p>
    <w:p>
      <w:pPr>
        <w:keepNext w:val="0"/>
        <w:keepLines w:val="0"/>
        <w:pageBreakBefore w:val="0"/>
        <w:widowControl w:val="0"/>
        <w:kinsoku/>
        <w:wordWrap/>
        <w:overflowPunct/>
        <w:topLinePunct w:val="0"/>
        <w:bidi w:val="0"/>
        <w:snapToGrid w:val="0"/>
        <w:spacing w:line="360" w:lineRule="auto"/>
        <w:ind w:left="0" w:firstLine="480" w:firstLineChars="200"/>
        <w:jc w:val="left"/>
        <w:textAlignment w:val="auto"/>
        <w:rPr>
          <w:rFonts w:hint="eastAsia" w:ascii="宋体" w:hAnsi="宋体" w:eastAsia="宋体" w:cs="宋体"/>
          <w:sz w:val="24"/>
          <w:highlight w:val="none"/>
        </w:rPr>
      </w:pPr>
      <w:r>
        <w:rPr>
          <w:rFonts w:hint="eastAsia" w:ascii="宋体" w:hAnsi="宋体" w:eastAsia="宋体" w:cs="宋体"/>
          <w:sz w:val="24"/>
          <w:szCs w:val="22"/>
          <w:lang w:val="en-US" w:eastAsia="zh-CN"/>
        </w:rPr>
        <w:t>2021年度，</w:t>
      </w:r>
      <w:r>
        <w:rPr>
          <w:rFonts w:hint="eastAsia" w:ascii="宋体" w:hAnsi="宋体" w:eastAsia="宋体" w:cs="宋体"/>
          <w:sz w:val="24"/>
          <w:szCs w:val="22"/>
          <w:highlight w:val="none"/>
          <w:lang w:val="en-US" w:eastAsia="zh-CN"/>
        </w:rPr>
        <w:t>公司董事会认真贯彻落实党中央、国务院决策部署，根据《公司法》《证券法》《银行保险机构公司治理准则》及</w:t>
      </w:r>
      <w:r>
        <w:rPr>
          <w:rFonts w:hint="eastAsia" w:ascii="宋体" w:hAnsi="宋体" w:eastAsia="宋体" w:cs="宋体"/>
          <w:i w:val="0"/>
          <w:caps w:val="0"/>
          <w:spacing w:val="0"/>
          <w:sz w:val="24"/>
          <w:szCs w:val="24"/>
          <w:highlight w:val="none"/>
          <w:shd w:val="clear" w:color="auto" w:fill="FFFFFF"/>
        </w:rPr>
        <w:t>《公司章程》</w:t>
      </w:r>
      <w:r>
        <w:rPr>
          <w:rFonts w:hint="eastAsia" w:ascii="宋体" w:hAnsi="宋体" w:eastAsia="宋体" w:cs="宋体"/>
          <w:sz w:val="24"/>
          <w:szCs w:val="22"/>
          <w:highlight w:val="none"/>
          <w:lang w:val="en-US" w:eastAsia="zh-CN"/>
        </w:rPr>
        <w:t>的规定和要求，</w:t>
      </w:r>
      <w:r>
        <w:rPr>
          <w:rFonts w:hint="eastAsia" w:ascii="宋体" w:hAnsi="宋体" w:eastAsia="宋体" w:cs="宋体"/>
          <w:sz w:val="24"/>
          <w:highlight w:val="none"/>
        </w:rPr>
        <w:t>在</w:t>
      </w:r>
      <w:r>
        <w:rPr>
          <w:rFonts w:hint="eastAsia" w:ascii="宋体" w:hAnsi="宋体" w:eastAsia="宋体" w:cs="宋体"/>
          <w:sz w:val="24"/>
          <w:highlight w:val="none"/>
          <w:lang w:val="en-US" w:eastAsia="zh-CN"/>
        </w:rPr>
        <w:t>各级监管部门及主管单位的</w:t>
      </w:r>
      <w:r>
        <w:rPr>
          <w:rFonts w:hint="eastAsia" w:ascii="宋体" w:hAnsi="宋体" w:eastAsia="宋体" w:cs="宋体"/>
          <w:sz w:val="24"/>
          <w:highlight w:val="none"/>
        </w:rPr>
        <w:t>监督、指导下，在股东大会的正确领导下，</w:t>
      </w:r>
      <w:r>
        <w:rPr>
          <w:rFonts w:hint="eastAsia" w:ascii="宋体" w:hAnsi="宋体" w:eastAsia="宋体" w:cs="宋体"/>
          <w:sz w:val="24"/>
        </w:rPr>
        <w:t>公司上下共同努力，</w:t>
      </w:r>
      <w:r>
        <w:rPr>
          <w:rFonts w:hint="eastAsia" w:ascii="宋体" w:hAnsi="宋体" w:eastAsia="宋体" w:cs="宋体"/>
          <w:sz w:val="24"/>
          <w:highlight w:val="none"/>
          <w:lang w:val="en-US" w:eastAsia="zh-CN"/>
        </w:rPr>
        <w:t>始终</w:t>
      </w:r>
      <w:r>
        <w:rPr>
          <w:rFonts w:hint="eastAsia" w:ascii="宋体" w:hAnsi="宋体" w:eastAsia="宋体" w:cs="宋体"/>
          <w:sz w:val="24"/>
        </w:rPr>
        <w:t>坚持“稳中有进”的工作基调</w:t>
      </w:r>
      <w:r>
        <w:rPr>
          <w:rFonts w:hint="eastAsia" w:ascii="宋体" w:hAnsi="宋体" w:eastAsia="宋体" w:cs="宋体"/>
          <w:sz w:val="24"/>
          <w:szCs w:val="22"/>
          <w:highlight w:val="none"/>
          <w:lang w:val="en-US" w:eastAsia="zh-CN"/>
        </w:rPr>
        <w:t>，</w:t>
      </w:r>
      <w:r>
        <w:rPr>
          <w:rFonts w:hint="eastAsia" w:ascii="宋体" w:hAnsi="宋体" w:eastAsia="宋体" w:cs="宋体"/>
          <w:sz w:val="24"/>
          <w:lang w:val="en-US" w:eastAsia="zh-CN"/>
        </w:rPr>
        <w:t>各项业绩指标均保持稳定的增长，</w:t>
      </w:r>
      <w:r>
        <w:rPr>
          <w:rFonts w:hint="eastAsia" w:ascii="宋体" w:hAnsi="宋体" w:eastAsia="宋体" w:cs="宋体"/>
          <w:sz w:val="24"/>
        </w:rPr>
        <w:t>基本完成</w:t>
      </w:r>
      <w:r>
        <w:rPr>
          <w:rFonts w:hint="eastAsia" w:ascii="宋体" w:hAnsi="宋体" w:eastAsia="宋体" w:cs="宋体"/>
          <w:sz w:val="24"/>
          <w:szCs w:val="22"/>
          <w:highlight w:val="none"/>
          <w:lang w:val="en-US" w:eastAsia="zh-CN"/>
        </w:rPr>
        <w:t>股东大会确定的任务目标</w:t>
      </w:r>
      <w:r>
        <w:rPr>
          <w:rFonts w:hint="eastAsia" w:ascii="宋体" w:hAnsi="宋体" w:eastAsia="宋体" w:cs="宋体"/>
          <w:sz w:val="24"/>
        </w:rPr>
        <w:t>，为实现</w:t>
      </w:r>
      <w:r>
        <w:rPr>
          <w:rFonts w:hint="eastAsia" w:ascii="宋体" w:hAnsi="宋体" w:eastAsia="宋体" w:cs="宋体"/>
          <w:sz w:val="24"/>
          <w:lang w:val="en-US" w:eastAsia="zh-CN"/>
        </w:rPr>
        <w:t>新</w:t>
      </w:r>
      <w:r>
        <w:rPr>
          <w:rFonts w:hint="eastAsia" w:ascii="宋体" w:hAnsi="宋体" w:eastAsia="宋体" w:cs="宋体"/>
          <w:sz w:val="24"/>
        </w:rPr>
        <w:t>三年战略规划开了好局，也为全体股东、客户及社会各界交上了令人满意的答卷。</w:t>
      </w:r>
      <w:r>
        <w:rPr>
          <w:rFonts w:hint="eastAsia" w:ascii="宋体" w:hAnsi="宋体" w:eastAsia="宋体" w:cs="宋体"/>
          <w:sz w:val="24"/>
          <w:highlight w:val="none"/>
        </w:rPr>
        <w:t>现将董事会20</w:t>
      </w:r>
      <w:r>
        <w:rPr>
          <w:rFonts w:hint="eastAsia" w:ascii="宋体" w:hAnsi="宋体" w:eastAsia="宋体" w:cs="宋体"/>
          <w:sz w:val="24"/>
          <w:highlight w:val="none"/>
          <w:lang w:val="en-US" w:eastAsia="zh-CN"/>
        </w:rPr>
        <w:t>21</w:t>
      </w:r>
      <w:r>
        <w:rPr>
          <w:rFonts w:hint="eastAsia" w:ascii="宋体" w:hAnsi="宋体" w:eastAsia="宋体" w:cs="宋体"/>
          <w:sz w:val="24"/>
          <w:highlight w:val="none"/>
        </w:rPr>
        <w:t>年度主要工作</w:t>
      </w:r>
      <w:r>
        <w:rPr>
          <w:rFonts w:hint="eastAsia" w:ascii="宋体" w:hAnsi="宋体" w:eastAsia="宋体" w:cs="宋体"/>
          <w:sz w:val="24"/>
          <w:highlight w:val="none"/>
          <w:lang w:val="en-US" w:eastAsia="zh-CN"/>
        </w:rPr>
        <w:t>情况报告</w:t>
      </w:r>
      <w:r>
        <w:rPr>
          <w:rFonts w:hint="eastAsia" w:ascii="宋体" w:hAnsi="宋体" w:eastAsia="宋体" w:cs="宋体"/>
          <w:sz w:val="24"/>
          <w:highlight w:val="none"/>
        </w:rPr>
        <w:t>如下：</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2" w:firstLineChars="200"/>
        <w:jc w:val="left"/>
        <w:textAlignment w:val="auto"/>
        <w:rPr>
          <w:rFonts w:hint="eastAsia" w:ascii="宋体" w:hAnsi="宋体" w:eastAsia="宋体" w:cs="宋体"/>
          <w:kern w:val="0"/>
          <w:sz w:val="24"/>
          <w:lang w:eastAsia="zh-CN"/>
        </w:rPr>
      </w:pPr>
      <w:r>
        <w:rPr>
          <w:rFonts w:hint="eastAsia" w:ascii="宋体" w:hAnsi="宋体" w:eastAsia="宋体" w:cs="宋体"/>
          <w:b/>
          <w:kern w:val="0"/>
          <w:sz w:val="24"/>
          <w:lang w:val="en-US" w:eastAsia="zh-CN"/>
        </w:rPr>
        <w:t>一、2021年主要工作完成情况</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2" w:firstLineChars="200"/>
        <w:jc w:val="left"/>
        <w:textAlignment w:val="auto"/>
        <w:rPr>
          <w:rFonts w:hint="eastAsia" w:ascii="宋体" w:hAnsi="宋体" w:eastAsia="宋体" w:cs="宋体"/>
          <w:sz w:val="24"/>
          <w:lang w:val="en-US"/>
        </w:rPr>
      </w:pPr>
      <w:r>
        <w:rPr>
          <w:rFonts w:hint="eastAsia" w:ascii="宋体" w:hAnsi="宋体" w:eastAsia="宋体" w:cs="宋体"/>
          <w:b/>
          <w:kern w:val="0"/>
          <w:sz w:val="24"/>
          <w:lang w:eastAsia="zh-CN"/>
        </w:rPr>
        <w:t>（</w:t>
      </w:r>
      <w:r>
        <w:rPr>
          <w:rFonts w:hint="eastAsia" w:ascii="宋体" w:hAnsi="宋体" w:eastAsia="宋体" w:cs="宋体"/>
          <w:b/>
          <w:kern w:val="0"/>
          <w:sz w:val="24"/>
          <w:lang w:val="en-US" w:eastAsia="zh-CN"/>
        </w:rPr>
        <w:t>一</w:t>
      </w:r>
      <w:r>
        <w:rPr>
          <w:rFonts w:hint="eastAsia" w:ascii="宋体" w:hAnsi="宋体" w:eastAsia="宋体" w:cs="宋体"/>
          <w:b/>
          <w:kern w:val="0"/>
          <w:sz w:val="24"/>
          <w:lang w:eastAsia="zh-CN"/>
        </w:rPr>
        <w:t>）</w:t>
      </w:r>
      <w:r>
        <w:rPr>
          <w:rFonts w:hint="eastAsia" w:ascii="宋体" w:hAnsi="宋体" w:eastAsia="宋体" w:cs="宋体"/>
          <w:b/>
          <w:kern w:val="0"/>
          <w:sz w:val="24"/>
          <w:lang w:val="en-US" w:eastAsia="zh-CN"/>
        </w:rPr>
        <w:t>董事会工作有序开展，公司治理高效运作</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0" w:firstLineChars="200"/>
        <w:jc w:val="left"/>
        <w:textAlignment w:val="auto"/>
        <w:rPr>
          <w:rFonts w:hint="eastAsia" w:ascii="宋体" w:hAnsi="宋体" w:eastAsia="宋体" w:cs="宋体"/>
          <w:sz w:val="24"/>
        </w:rPr>
      </w:pPr>
      <w:r>
        <w:rPr>
          <w:rFonts w:hint="eastAsia" w:ascii="宋体" w:hAnsi="宋体" w:eastAsia="宋体" w:cs="宋体"/>
          <w:sz w:val="24"/>
        </w:rPr>
        <w:t>报告期内，公司董事会积极维护公司股东、存款人、其他债权人以及公司的利益，严格遵守有关法律、法规和及《公司章程》的规定，依法履行董事会职责。</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2" w:firstLineChars="200"/>
        <w:jc w:val="left"/>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一是董事会换届情况。</w:t>
      </w:r>
      <w:r>
        <w:rPr>
          <w:rFonts w:hint="eastAsia" w:ascii="宋体" w:hAnsi="宋体" w:eastAsia="宋体" w:cs="宋体"/>
          <w:sz w:val="24"/>
        </w:rPr>
        <w:t>20</w:t>
      </w:r>
      <w:r>
        <w:rPr>
          <w:rFonts w:hint="eastAsia" w:ascii="宋体" w:hAnsi="宋体" w:eastAsia="宋体" w:cs="宋体"/>
          <w:sz w:val="24"/>
          <w:lang w:val="en-US" w:eastAsia="zh-CN"/>
        </w:rPr>
        <w:t>21</w:t>
      </w:r>
      <w:r>
        <w:rPr>
          <w:rFonts w:hint="eastAsia" w:ascii="宋体" w:hAnsi="宋体" w:eastAsia="宋体" w:cs="宋体"/>
          <w:sz w:val="24"/>
        </w:rPr>
        <w:t>年1月，</w:t>
      </w:r>
      <w:r>
        <w:rPr>
          <w:rFonts w:hint="eastAsia" w:ascii="宋体" w:hAnsi="宋体" w:eastAsia="宋体" w:cs="宋体"/>
          <w:kern w:val="0"/>
          <w:sz w:val="24"/>
        </w:rPr>
        <w:t>为保证公司治理的稳定性和延续性，依照</w:t>
      </w:r>
      <w:r>
        <w:rPr>
          <w:rFonts w:hint="eastAsia" w:ascii="宋体" w:hAnsi="宋体" w:eastAsia="宋体" w:cs="宋体"/>
          <w:sz w:val="24"/>
        </w:rPr>
        <w:t>《公司法》《证券法》《银行保险机构公司治理准则》等相关法律法规及《公司章程》的规定和要求，</w:t>
      </w:r>
      <w:r>
        <w:rPr>
          <w:rFonts w:hint="eastAsia" w:ascii="宋体" w:hAnsi="宋体" w:eastAsia="宋体" w:cs="宋体"/>
          <w:kern w:val="0"/>
          <w:sz w:val="24"/>
        </w:rPr>
        <w:t>公司</w:t>
      </w:r>
      <w:r>
        <w:rPr>
          <w:rFonts w:hint="eastAsia" w:ascii="宋体" w:hAnsi="宋体" w:eastAsia="宋体" w:cs="宋体"/>
          <w:sz w:val="24"/>
          <w:lang w:val="en-US" w:eastAsia="zh-CN"/>
        </w:rPr>
        <w:t>召开</w:t>
      </w:r>
      <w:r>
        <w:rPr>
          <w:rFonts w:hint="eastAsia" w:ascii="宋体" w:hAnsi="宋体" w:eastAsia="宋体" w:cs="宋体"/>
          <w:sz w:val="24"/>
        </w:rPr>
        <w:t>20</w:t>
      </w:r>
      <w:r>
        <w:rPr>
          <w:rFonts w:hint="eastAsia" w:ascii="宋体" w:hAnsi="宋体" w:eastAsia="宋体" w:cs="宋体"/>
          <w:sz w:val="24"/>
          <w:lang w:val="en-US" w:eastAsia="zh-CN"/>
        </w:rPr>
        <w:t>21</w:t>
      </w:r>
      <w:r>
        <w:rPr>
          <w:rFonts w:hint="eastAsia" w:ascii="宋体" w:hAnsi="宋体" w:eastAsia="宋体" w:cs="宋体"/>
          <w:sz w:val="24"/>
        </w:rPr>
        <w:t>年第一次临时股东大会选举产生第</w:t>
      </w:r>
      <w:r>
        <w:rPr>
          <w:rFonts w:hint="eastAsia" w:ascii="宋体" w:hAnsi="宋体" w:eastAsia="宋体" w:cs="宋体"/>
          <w:sz w:val="24"/>
          <w:lang w:val="en-US" w:eastAsia="zh-CN"/>
        </w:rPr>
        <w:t>八</w:t>
      </w:r>
      <w:r>
        <w:rPr>
          <w:rFonts w:hint="eastAsia" w:ascii="宋体" w:hAnsi="宋体" w:eastAsia="宋体" w:cs="宋体"/>
          <w:sz w:val="24"/>
        </w:rPr>
        <w:t>届</w:t>
      </w:r>
      <w:r>
        <w:rPr>
          <w:rFonts w:hint="eastAsia" w:ascii="宋体" w:hAnsi="宋体" w:eastAsia="宋体" w:cs="宋体"/>
          <w:sz w:val="24"/>
          <w:lang w:val="en-US" w:eastAsia="zh-CN"/>
        </w:rPr>
        <w:t>董事会</w:t>
      </w:r>
      <w:r>
        <w:rPr>
          <w:rFonts w:hint="eastAsia" w:ascii="宋体" w:hAnsi="宋体" w:eastAsia="宋体" w:cs="宋体"/>
          <w:sz w:val="24"/>
        </w:rPr>
        <w:t>董事，</w:t>
      </w:r>
      <w:r>
        <w:rPr>
          <w:rFonts w:hint="eastAsia" w:ascii="宋体" w:hAnsi="宋体" w:eastAsia="宋体" w:cs="宋体"/>
          <w:sz w:val="24"/>
          <w:lang w:val="en-US" w:eastAsia="zh-CN"/>
        </w:rPr>
        <w:t>并召开</w:t>
      </w:r>
      <w:r>
        <w:rPr>
          <w:rFonts w:hint="eastAsia" w:ascii="宋体" w:hAnsi="宋体" w:eastAsia="宋体" w:cs="宋体"/>
          <w:sz w:val="24"/>
        </w:rPr>
        <w:t>第</w:t>
      </w:r>
      <w:r>
        <w:rPr>
          <w:rFonts w:hint="eastAsia" w:ascii="宋体" w:hAnsi="宋体" w:eastAsia="宋体" w:cs="宋体"/>
          <w:sz w:val="24"/>
          <w:lang w:val="en-US" w:eastAsia="zh-CN"/>
        </w:rPr>
        <w:t>八</w:t>
      </w:r>
      <w:r>
        <w:rPr>
          <w:rFonts w:hint="eastAsia" w:ascii="宋体" w:hAnsi="宋体" w:eastAsia="宋体" w:cs="宋体"/>
          <w:sz w:val="24"/>
        </w:rPr>
        <w:t>届董事会第一次会议选举产生新一届高级管理人员</w:t>
      </w:r>
      <w:r>
        <w:rPr>
          <w:rFonts w:hint="eastAsia" w:ascii="宋体" w:hAnsi="宋体" w:eastAsia="宋体" w:cs="宋体"/>
          <w:sz w:val="24"/>
          <w:lang w:eastAsia="zh-CN"/>
        </w:rPr>
        <w:t>，</w:t>
      </w:r>
      <w:r>
        <w:rPr>
          <w:rFonts w:hint="eastAsia" w:ascii="宋体" w:hAnsi="宋体" w:eastAsia="宋体" w:cs="宋体"/>
          <w:sz w:val="24"/>
          <w:lang w:val="en-US" w:eastAsia="zh-CN"/>
        </w:rPr>
        <w:t>新老董事会和高级管理层顺利交接，</w:t>
      </w:r>
      <w:r>
        <w:rPr>
          <w:rFonts w:hint="eastAsia" w:ascii="宋体" w:hAnsi="宋体" w:eastAsia="宋体" w:cs="宋体"/>
          <w:sz w:val="24"/>
        </w:rPr>
        <w:t>保证了公司治理的平稳过渡。</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2" w:firstLineChars="200"/>
        <w:jc w:val="left"/>
        <w:textAlignment w:val="auto"/>
        <w:rPr>
          <w:rFonts w:hint="eastAsia" w:ascii="宋体" w:hAnsi="宋体" w:eastAsia="宋体" w:cs="宋体"/>
          <w:sz w:val="24"/>
        </w:rPr>
      </w:pPr>
      <w:r>
        <w:rPr>
          <w:rFonts w:hint="eastAsia" w:ascii="宋体" w:hAnsi="宋体" w:eastAsia="宋体" w:cs="宋体"/>
          <w:b/>
          <w:bCs/>
          <w:sz w:val="24"/>
          <w:lang w:val="en-US" w:eastAsia="zh-CN"/>
        </w:rPr>
        <w:t>二是</w:t>
      </w:r>
      <w:r>
        <w:rPr>
          <w:rFonts w:hint="eastAsia" w:ascii="宋体" w:hAnsi="宋体" w:eastAsia="宋体" w:cs="宋体"/>
          <w:b/>
          <w:bCs/>
          <w:sz w:val="24"/>
        </w:rPr>
        <w:t>股东大会召开情况</w:t>
      </w:r>
      <w:r>
        <w:rPr>
          <w:rFonts w:hint="eastAsia" w:ascii="宋体" w:hAnsi="宋体" w:eastAsia="宋体" w:cs="宋体"/>
          <w:b/>
          <w:bCs/>
          <w:sz w:val="24"/>
          <w:lang w:eastAsia="zh-CN"/>
        </w:rPr>
        <w:t>。</w:t>
      </w:r>
      <w:r>
        <w:rPr>
          <w:rFonts w:hint="eastAsia" w:ascii="宋体" w:hAnsi="宋体" w:eastAsia="宋体" w:cs="宋体"/>
          <w:sz w:val="24"/>
        </w:rPr>
        <w:t>董事会召集召开股东大会</w:t>
      </w:r>
      <w:r>
        <w:rPr>
          <w:rFonts w:hint="eastAsia" w:ascii="宋体" w:hAnsi="宋体" w:eastAsia="宋体" w:cs="宋体"/>
          <w:sz w:val="24"/>
          <w:lang w:val="en-US" w:eastAsia="zh-CN"/>
        </w:rPr>
        <w:t>3</w:t>
      </w:r>
      <w:r>
        <w:rPr>
          <w:rFonts w:hint="eastAsia" w:ascii="宋体" w:hAnsi="宋体" w:eastAsia="宋体" w:cs="宋体"/>
          <w:sz w:val="24"/>
        </w:rPr>
        <w:t>次，共审议</w:t>
      </w:r>
      <w:r>
        <w:rPr>
          <w:rFonts w:hint="eastAsia" w:ascii="宋体" w:hAnsi="宋体" w:eastAsia="宋体" w:cs="宋体"/>
          <w:sz w:val="24"/>
          <w:lang w:val="en-US" w:eastAsia="zh-CN"/>
        </w:rPr>
        <w:t>17</w:t>
      </w:r>
      <w:r>
        <w:rPr>
          <w:rFonts w:hint="eastAsia" w:ascii="宋体" w:hAnsi="宋体" w:eastAsia="宋体" w:cs="宋体"/>
          <w:sz w:val="24"/>
        </w:rPr>
        <w:t>项议案，</w:t>
      </w:r>
      <w:r>
        <w:rPr>
          <w:rFonts w:hint="eastAsia" w:ascii="宋体" w:hAnsi="宋体" w:eastAsia="宋体" w:cs="宋体"/>
          <w:sz w:val="24"/>
          <w:lang w:val="en-US" w:eastAsia="zh-CN"/>
        </w:rPr>
        <w:t>听取5项报告，涉及董、监事会换届选举、年度预决算报告、利润分配、关联交易预计、公司章程修订等多个方面内容</w:t>
      </w:r>
      <w:r>
        <w:rPr>
          <w:rFonts w:hint="eastAsia" w:ascii="宋体" w:hAnsi="宋体" w:eastAsia="宋体" w:cs="宋体"/>
          <w:sz w:val="24"/>
          <w:lang w:val="zh-CN"/>
        </w:rPr>
        <w:t>，</w:t>
      </w:r>
      <w:r>
        <w:rPr>
          <w:rFonts w:hint="eastAsia" w:ascii="宋体" w:hAnsi="宋体" w:eastAsia="宋体" w:cs="宋体"/>
          <w:sz w:val="24"/>
        </w:rPr>
        <w:t>并督促经营层认真执行股东大会的各项决议。</w:t>
      </w:r>
    </w:p>
    <w:p>
      <w:pPr>
        <w:keepNext w:val="0"/>
        <w:keepLines w:val="0"/>
        <w:pageBreakBefore w:val="0"/>
        <w:widowControl w:val="0"/>
        <w:kinsoku/>
        <w:wordWrap/>
        <w:overflowPunct/>
        <w:topLinePunct w:val="0"/>
        <w:bidi w:val="0"/>
        <w:snapToGrid w:val="0"/>
        <w:spacing w:line="360" w:lineRule="auto"/>
        <w:ind w:left="0" w:firstLine="480"/>
        <w:textAlignment w:val="auto"/>
        <w:rPr>
          <w:rFonts w:hint="eastAsia" w:ascii="宋体" w:hAnsi="宋体" w:eastAsia="宋体" w:cs="宋体"/>
          <w:sz w:val="24"/>
        </w:rPr>
      </w:pPr>
      <w:r>
        <w:rPr>
          <w:rFonts w:hint="eastAsia" w:ascii="宋体" w:hAnsi="宋体" w:eastAsia="宋体" w:cs="宋体"/>
          <w:b/>
          <w:bCs/>
          <w:sz w:val="24"/>
          <w:lang w:val="en-US" w:eastAsia="zh-CN"/>
        </w:rPr>
        <w:t>三是</w:t>
      </w:r>
      <w:r>
        <w:rPr>
          <w:rFonts w:hint="eastAsia" w:ascii="宋体" w:hAnsi="宋体" w:eastAsia="宋体" w:cs="宋体"/>
          <w:b/>
          <w:bCs/>
          <w:sz w:val="24"/>
        </w:rPr>
        <w:t>董事会召开情况</w:t>
      </w:r>
      <w:r>
        <w:rPr>
          <w:rFonts w:hint="eastAsia" w:ascii="宋体" w:hAnsi="宋体" w:eastAsia="宋体" w:cs="宋体"/>
          <w:b/>
          <w:bCs/>
          <w:sz w:val="24"/>
          <w:lang w:eastAsia="zh-CN"/>
        </w:rPr>
        <w:t>。</w:t>
      </w:r>
      <w:r>
        <w:rPr>
          <w:rFonts w:hint="eastAsia" w:ascii="宋体" w:hAnsi="宋体" w:eastAsia="宋体" w:cs="宋体"/>
          <w:sz w:val="24"/>
        </w:rPr>
        <w:t>召开董事会共1</w:t>
      </w:r>
      <w:r>
        <w:rPr>
          <w:rFonts w:hint="eastAsia" w:ascii="宋体" w:hAnsi="宋体" w:eastAsia="宋体" w:cs="宋体"/>
          <w:sz w:val="24"/>
          <w:lang w:val="en-US" w:eastAsia="zh-CN"/>
        </w:rPr>
        <w:t>2</w:t>
      </w:r>
      <w:r>
        <w:rPr>
          <w:rFonts w:hint="eastAsia" w:ascii="宋体" w:hAnsi="宋体" w:eastAsia="宋体" w:cs="宋体"/>
          <w:sz w:val="24"/>
        </w:rPr>
        <w:t>次，其中</w:t>
      </w:r>
      <w:r>
        <w:rPr>
          <w:rFonts w:hint="eastAsia" w:ascii="宋体" w:hAnsi="宋体" w:eastAsia="宋体" w:cs="宋体"/>
          <w:sz w:val="24"/>
          <w:lang w:val="en-US" w:eastAsia="zh-CN"/>
        </w:rPr>
        <w:t>6</w:t>
      </w:r>
      <w:r>
        <w:rPr>
          <w:rFonts w:hint="eastAsia" w:ascii="宋体" w:hAnsi="宋体" w:eastAsia="宋体" w:cs="宋体"/>
          <w:sz w:val="24"/>
        </w:rPr>
        <w:t>次现场会议，</w:t>
      </w:r>
      <w:r>
        <w:rPr>
          <w:rFonts w:hint="eastAsia" w:ascii="宋体" w:hAnsi="宋体" w:eastAsia="宋体" w:cs="宋体"/>
          <w:sz w:val="24"/>
          <w:lang w:val="en-US" w:eastAsia="zh-CN"/>
        </w:rPr>
        <w:t>6</w:t>
      </w:r>
      <w:r>
        <w:rPr>
          <w:rFonts w:hint="eastAsia" w:ascii="宋体" w:hAnsi="宋体" w:eastAsia="宋体" w:cs="宋体"/>
          <w:sz w:val="24"/>
        </w:rPr>
        <w:t>次通讯会议，共审议</w:t>
      </w:r>
      <w:r>
        <w:rPr>
          <w:rFonts w:hint="eastAsia" w:ascii="宋体" w:hAnsi="宋体" w:eastAsia="宋体" w:cs="宋体"/>
          <w:sz w:val="24"/>
          <w:lang w:val="en-US" w:eastAsia="zh-CN"/>
        </w:rPr>
        <w:t>84</w:t>
      </w:r>
      <w:r>
        <w:rPr>
          <w:rFonts w:hint="eastAsia" w:ascii="宋体" w:hAnsi="宋体" w:eastAsia="宋体" w:cs="宋体"/>
          <w:sz w:val="24"/>
        </w:rPr>
        <w:t>项议案，听取</w:t>
      </w:r>
      <w:r>
        <w:rPr>
          <w:rFonts w:hint="eastAsia" w:ascii="宋体" w:hAnsi="宋体" w:eastAsia="宋体" w:cs="宋体"/>
          <w:sz w:val="24"/>
          <w:lang w:val="en-US" w:eastAsia="zh-CN"/>
        </w:rPr>
        <w:t>6</w:t>
      </w:r>
      <w:r>
        <w:rPr>
          <w:rFonts w:hint="eastAsia" w:ascii="宋体" w:hAnsi="宋体" w:eastAsia="宋体" w:cs="宋体"/>
          <w:sz w:val="24"/>
        </w:rPr>
        <w:t>项报告，对公司治理、经营情况、风险控制、内控报告、董事会年度工作报告、</w:t>
      </w:r>
      <w:r>
        <w:rPr>
          <w:rFonts w:hint="eastAsia" w:ascii="宋体" w:hAnsi="宋体" w:eastAsia="宋体" w:cs="宋体"/>
          <w:b w:val="0"/>
          <w:bCs w:val="0"/>
          <w:i w:val="0"/>
          <w:caps w:val="0"/>
          <w:spacing w:val="0"/>
          <w:sz w:val="24"/>
          <w:szCs w:val="24"/>
          <w:shd w:val="clear" w:color="auto" w:fill="FFFFFF"/>
          <w:lang w:val="en-US" w:eastAsia="zh-CN"/>
        </w:rPr>
        <w:t>高级管理人员聘任、会计师事务所选聘、</w:t>
      </w:r>
      <w:r>
        <w:rPr>
          <w:rFonts w:hint="eastAsia" w:ascii="宋体" w:hAnsi="宋体" w:eastAsia="宋体" w:cs="宋体"/>
          <w:sz w:val="24"/>
        </w:rPr>
        <w:t>预决算报告、利润分配、消费者权益、监管意见书等多个方面进行有效深入的讨论，科学决策，有效发挥董事会核心决策作用。</w:t>
      </w:r>
    </w:p>
    <w:p>
      <w:pPr>
        <w:keepNext w:val="0"/>
        <w:keepLines w:val="0"/>
        <w:pageBreakBefore w:val="0"/>
        <w:widowControl w:val="0"/>
        <w:kinsoku/>
        <w:wordWrap/>
        <w:overflowPunct/>
        <w:topLinePunct w:val="0"/>
        <w:bidi w:val="0"/>
        <w:snapToGrid w:val="0"/>
        <w:spacing w:line="360" w:lineRule="auto"/>
        <w:ind w:left="0" w:firstLine="482"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sz w:val="24"/>
          <w:lang w:val="en-US" w:eastAsia="zh-CN"/>
        </w:rPr>
        <w:t>四是</w:t>
      </w:r>
      <w:r>
        <w:rPr>
          <w:rFonts w:hint="eastAsia" w:ascii="宋体" w:hAnsi="宋体" w:eastAsia="宋体" w:cs="宋体"/>
          <w:b/>
          <w:bCs/>
          <w:sz w:val="24"/>
        </w:rPr>
        <w:t>董事会下设各委员会召开情况</w:t>
      </w:r>
      <w:r>
        <w:rPr>
          <w:rFonts w:hint="eastAsia" w:ascii="宋体" w:hAnsi="宋体" w:eastAsia="宋体" w:cs="宋体"/>
          <w:b/>
          <w:bCs/>
          <w:sz w:val="24"/>
          <w:lang w:eastAsia="zh-CN"/>
        </w:rPr>
        <w:t>。</w:t>
      </w:r>
      <w:r>
        <w:rPr>
          <w:rFonts w:hint="eastAsia" w:ascii="宋体" w:hAnsi="宋体" w:eastAsia="宋体" w:cs="宋体"/>
          <w:sz w:val="24"/>
        </w:rPr>
        <w:t>董事会下设的战略委员会、提名委员会、薪酬委员会、审计与消费者权益保护委员会、风险控制与关联交易管理委员会，根据委员会职责分工和自身专业特长积极履行职责、建言献策，辅助董事会良好履职。20</w:t>
      </w:r>
      <w:r>
        <w:rPr>
          <w:rFonts w:hint="eastAsia" w:ascii="宋体" w:hAnsi="宋体" w:eastAsia="宋体" w:cs="宋体"/>
          <w:sz w:val="24"/>
          <w:lang w:val="en-US" w:eastAsia="zh-CN"/>
        </w:rPr>
        <w:t>21</w:t>
      </w:r>
      <w:r>
        <w:rPr>
          <w:rFonts w:hint="eastAsia" w:ascii="宋体" w:hAnsi="宋体" w:eastAsia="宋体" w:cs="宋体"/>
          <w:sz w:val="24"/>
        </w:rPr>
        <w:t>年度，董事会战略委员会召开会议共</w:t>
      </w:r>
      <w:r>
        <w:rPr>
          <w:rFonts w:hint="eastAsia" w:ascii="宋体" w:hAnsi="宋体" w:eastAsia="宋体" w:cs="宋体"/>
          <w:sz w:val="24"/>
          <w:lang w:val="en-US" w:eastAsia="zh-CN"/>
        </w:rPr>
        <w:t>2</w:t>
      </w:r>
      <w:r>
        <w:rPr>
          <w:rFonts w:hint="eastAsia" w:ascii="宋体" w:hAnsi="宋体" w:eastAsia="宋体" w:cs="宋体"/>
          <w:sz w:val="24"/>
        </w:rPr>
        <w:t>次，董事会提名委员会召开会议共2次，董事会薪酬委员会召开会议共</w:t>
      </w:r>
      <w:r>
        <w:rPr>
          <w:rFonts w:hint="eastAsia" w:ascii="宋体" w:hAnsi="宋体" w:eastAsia="宋体" w:cs="宋体"/>
          <w:sz w:val="24"/>
          <w:lang w:val="en-US" w:eastAsia="zh-CN"/>
        </w:rPr>
        <w:t>3</w:t>
      </w:r>
      <w:r>
        <w:rPr>
          <w:rFonts w:hint="eastAsia" w:ascii="宋体" w:hAnsi="宋体" w:eastAsia="宋体" w:cs="宋体"/>
          <w:sz w:val="24"/>
        </w:rPr>
        <w:t>次，董事会审计与消费者权益保护委员会召开会议共</w:t>
      </w:r>
      <w:r>
        <w:rPr>
          <w:rFonts w:hint="eastAsia" w:ascii="宋体" w:hAnsi="宋体" w:eastAsia="宋体" w:cs="宋体"/>
          <w:sz w:val="24"/>
          <w:lang w:val="en-US" w:eastAsia="zh-CN"/>
        </w:rPr>
        <w:t>10</w:t>
      </w:r>
      <w:r>
        <w:rPr>
          <w:rFonts w:hint="eastAsia" w:ascii="宋体" w:hAnsi="宋体" w:eastAsia="宋体" w:cs="宋体"/>
          <w:sz w:val="24"/>
        </w:rPr>
        <w:t>次，董事会风险控制与关联交易管理委员会召开会议共</w:t>
      </w:r>
      <w:r>
        <w:rPr>
          <w:rFonts w:hint="eastAsia" w:ascii="宋体" w:hAnsi="宋体" w:eastAsia="宋体" w:cs="宋体"/>
          <w:sz w:val="24"/>
          <w:lang w:val="en-US" w:eastAsia="zh-CN"/>
        </w:rPr>
        <w:t>9</w:t>
      </w:r>
      <w:r>
        <w:rPr>
          <w:rFonts w:hint="eastAsia" w:ascii="宋体" w:hAnsi="宋体" w:eastAsia="宋体" w:cs="宋体"/>
          <w:sz w:val="24"/>
        </w:rPr>
        <w:t>次</w:t>
      </w:r>
      <w:r>
        <w:rPr>
          <w:rFonts w:hint="eastAsia" w:ascii="宋体" w:hAnsi="宋体" w:eastAsia="宋体" w:cs="宋体"/>
          <w:sz w:val="24"/>
          <w:lang w:eastAsia="zh-CN"/>
        </w:rPr>
        <w:t>。</w:t>
      </w:r>
      <w:r>
        <w:rPr>
          <w:rFonts w:hint="eastAsia" w:ascii="宋体" w:hAnsi="宋体" w:eastAsia="宋体" w:cs="宋体"/>
          <w:sz w:val="24"/>
          <w:lang w:val="en-US" w:eastAsia="zh-CN"/>
        </w:rPr>
        <w:t>各委员会</w:t>
      </w:r>
      <w:r>
        <w:rPr>
          <w:rFonts w:hint="eastAsia" w:ascii="宋体" w:hAnsi="宋体" w:eastAsia="宋体" w:cs="宋体"/>
          <w:color w:val="000000" w:themeColor="text1"/>
          <w:sz w:val="24"/>
          <w:szCs w:val="24"/>
          <w:highlight w:val="none"/>
          <w:lang w:val="en-US" w:eastAsia="zh-CN"/>
          <w14:textFill>
            <w14:solidFill>
              <w14:schemeClr w14:val="tx1"/>
            </w14:solidFill>
          </w14:textFill>
        </w:rPr>
        <w:t>发挥自己的专长</w:t>
      </w:r>
      <w:r>
        <w:rPr>
          <w:rFonts w:hint="eastAsia" w:ascii="宋体" w:hAnsi="宋体" w:eastAsia="宋体" w:cs="宋体"/>
          <w:sz w:val="24"/>
        </w:rPr>
        <w:t>为董事会决策</w:t>
      </w:r>
      <w:r>
        <w:rPr>
          <w:rFonts w:hint="eastAsia" w:ascii="宋体" w:hAnsi="宋体" w:eastAsia="宋体" w:cs="宋体"/>
          <w:color w:val="000000" w:themeColor="text1"/>
          <w:sz w:val="24"/>
          <w:szCs w:val="24"/>
          <w:highlight w:val="none"/>
          <w:lang w:val="en-US" w:eastAsia="zh-CN"/>
          <w14:textFill>
            <w14:solidFill>
              <w14:schemeClr w14:val="tx1"/>
            </w14:solidFill>
          </w14:textFill>
        </w:rPr>
        <w:t>提供专业意见和建议，为董事会科学决策提供保障。</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bCs/>
          <w:sz w:val="24"/>
          <w:lang w:eastAsia="zh-CN"/>
        </w:rPr>
      </w:pPr>
      <w:r>
        <w:rPr>
          <w:rFonts w:hint="eastAsia" w:ascii="宋体" w:hAnsi="宋体" w:eastAsia="宋体" w:cs="宋体"/>
          <w:b/>
          <w:bCs/>
          <w:sz w:val="24"/>
          <w:lang w:val="en-US" w:eastAsia="zh-CN"/>
        </w:rPr>
        <w:t>五是</w:t>
      </w:r>
      <w:r>
        <w:rPr>
          <w:rFonts w:hint="eastAsia" w:ascii="宋体" w:hAnsi="宋体" w:eastAsia="宋体" w:cs="宋体"/>
          <w:b/>
          <w:bCs/>
          <w:sz w:val="24"/>
        </w:rPr>
        <w:t>独立董事履职情况</w:t>
      </w:r>
      <w:r>
        <w:rPr>
          <w:rFonts w:hint="eastAsia" w:ascii="宋体" w:hAnsi="宋体" w:eastAsia="宋体" w:cs="宋体"/>
          <w:b/>
          <w:bCs/>
          <w:sz w:val="24"/>
          <w:lang w:eastAsia="zh-CN"/>
        </w:rPr>
        <w:t>。</w:t>
      </w:r>
      <w:r>
        <w:rPr>
          <w:rFonts w:hint="eastAsia" w:ascii="宋体" w:hAnsi="宋体" w:eastAsia="宋体" w:cs="宋体"/>
          <w:b w:val="0"/>
          <w:bCs w:val="0"/>
          <w:i w:val="0"/>
          <w:caps w:val="0"/>
          <w:spacing w:val="0"/>
          <w:sz w:val="24"/>
          <w:szCs w:val="24"/>
          <w:shd w:val="clear" w:color="auto" w:fill="FFFFFF"/>
          <w:lang w:val="en-US" w:eastAsia="zh-CN"/>
        </w:rPr>
        <w:t>独立董事严格按照相关法律法规</w:t>
      </w:r>
      <w:r>
        <w:rPr>
          <w:rFonts w:hint="eastAsia" w:ascii="宋体" w:hAnsi="宋体" w:eastAsia="宋体" w:cs="宋体"/>
          <w:sz w:val="24"/>
        </w:rPr>
        <w:t>及《公司章程》</w:t>
      </w:r>
      <w:r>
        <w:rPr>
          <w:rFonts w:hint="eastAsia" w:ascii="宋体" w:hAnsi="宋体" w:eastAsia="宋体" w:cs="宋体"/>
          <w:b w:val="0"/>
          <w:bCs w:val="0"/>
          <w:i w:val="0"/>
          <w:caps w:val="0"/>
          <w:spacing w:val="0"/>
          <w:sz w:val="24"/>
          <w:szCs w:val="24"/>
          <w:shd w:val="clear" w:color="auto" w:fill="FFFFFF"/>
          <w:lang w:val="en-US" w:eastAsia="zh-CN"/>
        </w:rPr>
        <w:t>的规定，会前认真审阅各项议案，按时出席会议，确保自己的意见能够在董事会上得到体现。会议中，关心公司战略部署执行情况，深入研究重大问题，提出有针对性的意见和建议，并</w:t>
      </w:r>
      <w:r>
        <w:rPr>
          <w:rFonts w:hint="eastAsia" w:ascii="宋体" w:hAnsi="宋体" w:eastAsia="宋体" w:cs="宋体"/>
          <w:sz w:val="24"/>
        </w:rPr>
        <w:t>对重大关联交易、</w:t>
      </w:r>
      <w:r>
        <w:rPr>
          <w:rFonts w:hint="eastAsia" w:ascii="宋体" w:hAnsi="宋体" w:eastAsia="宋体" w:cs="宋体"/>
          <w:sz w:val="24"/>
          <w:lang w:val="en-US" w:eastAsia="zh-CN"/>
        </w:rPr>
        <w:t>利润分配、</w:t>
      </w:r>
      <w:r>
        <w:rPr>
          <w:rFonts w:hint="eastAsia" w:ascii="宋体" w:hAnsi="宋体" w:eastAsia="宋体" w:cs="宋体"/>
          <w:sz w:val="24"/>
        </w:rPr>
        <w:t>高级管理人员聘任</w:t>
      </w:r>
      <w:r>
        <w:rPr>
          <w:rFonts w:hint="eastAsia" w:ascii="宋体" w:hAnsi="宋体" w:eastAsia="宋体" w:cs="宋体"/>
          <w:sz w:val="24"/>
          <w:lang w:val="en-US" w:eastAsia="zh-CN"/>
        </w:rPr>
        <w:t>及会计师事务所选聘</w:t>
      </w:r>
      <w:r>
        <w:rPr>
          <w:rFonts w:hint="eastAsia" w:ascii="宋体" w:hAnsi="宋体" w:eastAsia="宋体" w:cs="宋体"/>
          <w:sz w:val="24"/>
        </w:rPr>
        <w:t>等重大事项发表独立意见</w:t>
      </w:r>
      <w:r>
        <w:rPr>
          <w:rFonts w:hint="eastAsia" w:ascii="宋体" w:hAnsi="宋体" w:eastAsia="宋体" w:cs="宋体"/>
          <w:sz w:val="24"/>
          <w:lang w:eastAsia="zh-CN"/>
        </w:rPr>
        <w:t>，</w:t>
      </w:r>
      <w:r>
        <w:rPr>
          <w:rFonts w:hint="eastAsia" w:ascii="宋体" w:hAnsi="宋体" w:eastAsia="宋体" w:cs="宋体"/>
          <w:b w:val="0"/>
          <w:bCs w:val="0"/>
          <w:i w:val="0"/>
          <w:caps w:val="0"/>
          <w:spacing w:val="0"/>
          <w:sz w:val="24"/>
          <w:szCs w:val="24"/>
          <w:shd w:val="clear" w:color="auto" w:fill="FFFFFF"/>
          <w:lang w:val="en-US" w:eastAsia="zh-CN"/>
        </w:rPr>
        <w:t>为公司的科学决策起到了积极的作用。</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bCs/>
          <w:sz w:val="24"/>
          <w:lang w:val="en-US" w:eastAsia="zh-CN"/>
        </w:rPr>
        <w:t>六是</w:t>
      </w:r>
      <w:r>
        <w:rPr>
          <w:rFonts w:hint="eastAsia" w:ascii="宋体" w:hAnsi="宋体" w:eastAsia="宋体" w:cs="宋体"/>
          <w:b/>
          <w:bCs/>
          <w:sz w:val="24"/>
        </w:rPr>
        <w:t>董事</w:t>
      </w:r>
      <w:r>
        <w:rPr>
          <w:rFonts w:hint="eastAsia" w:ascii="宋体" w:hAnsi="宋体" w:eastAsia="宋体" w:cs="宋体"/>
          <w:b/>
          <w:bCs/>
          <w:sz w:val="24"/>
          <w:lang w:val="en-US" w:eastAsia="zh-CN"/>
        </w:rPr>
        <w:t>参加培训</w:t>
      </w:r>
      <w:r>
        <w:rPr>
          <w:rFonts w:hint="eastAsia" w:ascii="宋体" w:hAnsi="宋体" w:eastAsia="宋体" w:cs="宋体"/>
          <w:b/>
          <w:bCs/>
          <w:sz w:val="24"/>
        </w:rPr>
        <w:t>情况</w:t>
      </w:r>
      <w:r>
        <w:rPr>
          <w:rFonts w:hint="eastAsia" w:ascii="宋体" w:hAnsi="宋体" w:eastAsia="宋体" w:cs="宋体"/>
          <w:b/>
          <w:bCs/>
          <w:sz w:val="24"/>
          <w:lang w:eastAsia="zh-CN"/>
        </w:rPr>
        <w:t>。</w:t>
      </w:r>
      <w:r>
        <w:rPr>
          <w:rFonts w:hint="eastAsia" w:ascii="宋体" w:hAnsi="宋体" w:eastAsia="宋体" w:cs="宋体"/>
          <w:b w:val="0"/>
          <w:bCs w:val="0"/>
          <w:i w:val="0"/>
          <w:caps w:val="0"/>
          <w:spacing w:val="0"/>
          <w:sz w:val="24"/>
          <w:szCs w:val="24"/>
          <w:shd w:val="clear" w:color="auto" w:fill="FFFFFF"/>
          <w:lang w:val="en-US" w:eastAsia="zh-CN"/>
        </w:rPr>
        <w:t>公司董事会始终注重董事持续专业发展，关注并积极组织董事参加培训。公司在公司治理规范及信息披露规范等向全体董事进行了专题介绍及培训，董事通过高管层定期通报的银行业监管新规及资本市场情况，了解国内外金融形势和最新监管政策。此外，公司董事还积极参加监管机构组织的相关培训，不断提高履职能力。</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2" w:firstLineChars="200"/>
        <w:jc w:val="left"/>
        <w:textAlignment w:val="auto"/>
        <w:rPr>
          <w:rFonts w:hint="eastAsia" w:ascii="宋体" w:hAnsi="宋体" w:eastAsia="宋体" w:cs="宋体"/>
          <w:b/>
          <w:kern w:val="0"/>
          <w:sz w:val="24"/>
          <w:lang w:val="en-US" w:eastAsia="zh-CN"/>
        </w:rPr>
      </w:pPr>
      <w:r>
        <w:rPr>
          <w:rFonts w:hint="eastAsia" w:ascii="宋体" w:hAnsi="宋体" w:eastAsia="宋体" w:cs="宋体"/>
          <w:b/>
          <w:kern w:val="0"/>
          <w:sz w:val="24"/>
          <w:lang w:val="en-US" w:eastAsia="zh-CN"/>
        </w:rPr>
        <w:t>（二）经营业绩稳步提升，支持实体经济发展</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2" w:firstLineChars="200"/>
        <w:jc w:val="left"/>
        <w:textAlignment w:val="auto"/>
        <w:rPr>
          <w:rFonts w:hint="eastAsia" w:ascii="宋体" w:hAnsi="宋体" w:eastAsia="宋体" w:cs="宋体"/>
          <w:kern w:val="0"/>
          <w:sz w:val="24"/>
          <w:highlight w:val="none"/>
        </w:rPr>
      </w:pPr>
      <w:r>
        <w:rPr>
          <w:rFonts w:hint="eastAsia" w:ascii="宋体" w:hAnsi="宋体" w:eastAsia="宋体" w:cs="宋体"/>
          <w:b/>
          <w:kern w:val="0"/>
          <w:sz w:val="24"/>
          <w:highlight w:val="none"/>
          <w:lang w:val="en-US" w:eastAsia="zh-CN"/>
        </w:rPr>
        <w:t>一是经营质效稳步提升</w:t>
      </w:r>
      <w:r>
        <w:rPr>
          <w:rFonts w:hint="eastAsia" w:ascii="宋体" w:hAnsi="宋体" w:eastAsia="宋体" w:cs="宋体"/>
          <w:b/>
          <w:kern w:val="0"/>
          <w:sz w:val="24"/>
          <w:highlight w:val="none"/>
        </w:rPr>
        <w:t>，</w:t>
      </w:r>
      <w:r>
        <w:rPr>
          <w:rFonts w:hint="eastAsia" w:ascii="宋体" w:hAnsi="宋体" w:eastAsia="宋体" w:cs="宋体"/>
          <w:b/>
          <w:kern w:val="0"/>
          <w:sz w:val="24"/>
          <w:highlight w:val="none"/>
          <w:lang w:val="en-US" w:eastAsia="zh-CN"/>
        </w:rPr>
        <w:t>资产质量持续改善</w:t>
      </w:r>
      <w:r>
        <w:rPr>
          <w:rFonts w:hint="eastAsia" w:ascii="宋体" w:hAnsi="宋体" w:eastAsia="宋体" w:cs="宋体"/>
          <w:b/>
          <w:kern w:val="0"/>
          <w:sz w:val="24"/>
          <w:highlight w:val="none"/>
          <w:lang w:eastAsia="zh-CN"/>
        </w:rPr>
        <w:t>。</w:t>
      </w:r>
      <w:r>
        <w:rPr>
          <w:rFonts w:hint="eastAsia" w:ascii="宋体" w:hAnsi="宋体" w:eastAsia="宋体" w:cs="宋体"/>
          <w:kern w:val="0"/>
          <w:sz w:val="24"/>
          <w:highlight w:val="none"/>
        </w:rPr>
        <w:t>202</w:t>
      </w:r>
      <w:r>
        <w:rPr>
          <w:rFonts w:hint="eastAsia" w:ascii="宋体" w:hAnsi="宋体" w:eastAsia="宋体" w:cs="宋体"/>
          <w:kern w:val="0"/>
          <w:sz w:val="24"/>
          <w:highlight w:val="none"/>
          <w:lang w:val="en-US" w:eastAsia="zh-CN"/>
        </w:rPr>
        <w:t>1</w:t>
      </w:r>
      <w:r>
        <w:rPr>
          <w:rFonts w:hint="eastAsia" w:ascii="宋体" w:hAnsi="宋体" w:eastAsia="宋体" w:cs="宋体"/>
          <w:kern w:val="0"/>
          <w:sz w:val="24"/>
          <w:highlight w:val="none"/>
        </w:rPr>
        <w:t>年度，在董事会</w:t>
      </w:r>
      <w:r>
        <w:rPr>
          <w:rFonts w:hint="eastAsia" w:ascii="宋体" w:hAnsi="宋体" w:eastAsia="宋体" w:cs="宋体"/>
          <w:kern w:val="0"/>
          <w:sz w:val="24"/>
          <w:highlight w:val="none"/>
          <w:lang w:val="en-US" w:eastAsia="zh-CN"/>
        </w:rPr>
        <w:t>引</w:t>
      </w:r>
      <w:r>
        <w:rPr>
          <w:rFonts w:hint="eastAsia" w:ascii="宋体" w:hAnsi="宋体" w:eastAsia="宋体" w:cs="宋体"/>
          <w:kern w:val="0"/>
          <w:sz w:val="24"/>
          <w:highlight w:val="none"/>
        </w:rPr>
        <w:t>领下</w:t>
      </w:r>
      <w:r>
        <w:rPr>
          <w:rFonts w:hint="eastAsia" w:ascii="宋体" w:hAnsi="宋体" w:eastAsia="宋体" w:cs="宋体"/>
          <w:kern w:val="0"/>
          <w:sz w:val="24"/>
          <w:highlight w:val="none"/>
          <w:lang w:eastAsia="zh-CN"/>
        </w:rPr>
        <w:t>，</w:t>
      </w:r>
      <w:r>
        <w:rPr>
          <w:rFonts w:hint="eastAsia" w:ascii="宋体" w:hAnsi="宋体" w:eastAsia="宋体" w:cs="宋体"/>
          <w:kern w:val="0"/>
          <w:sz w:val="24"/>
          <w:highlight w:val="none"/>
        </w:rPr>
        <w:t>公司实现营业收入</w:t>
      </w:r>
      <w:r>
        <w:rPr>
          <w:rFonts w:hint="eastAsia" w:ascii="宋体" w:hAnsi="宋体" w:eastAsia="宋体" w:cs="宋体"/>
          <w:kern w:val="0"/>
          <w:sz w:val="24"/>
          <w:highlight w:val="none"/>
          <w:lang w:val="en-US" w:eastAsia="zh-CN"/>
        </w:rPr>
        <w:t>53</w:t>
      </w:r>
      <w:r>
        <w:rPr>
          <w:rFonts w:hint="eastAsia" w:ascii="宋体" w:hAnsi="宋体" w:eastAsia="宋体" w:cs="宋体"/>
          <w:kern w:val="0"/>
          <w:sz w:val="24"/>
          <w:highlight w:val="none"/>
        </w:rPr>
        <w:t>.</w:t>
      </w:r>
      <w:r>
        <w:rPr>
          <w:rFonts w:hint="eastAsia" w:ascii="宋体" w:hAnsi="宋体" w:eastAsia="宋体" w:cs="宋体"/>
          <w:kern w:val="0"/>
          <w:sz w:val="24"/>
          <w:highlight w:val="none"/>
          <w:lang w:val="en-US" w:eastAsia="zh-CN"/>
        </w:rPr>
        <w:t>16</w:t>
      </w:r>
      <w:r>
        <w:rPr>
          <w:rFonts w:hint="eastAsia" w:ascii="宋体" w:hAnsi="宋体" w:eastAsia="宋体" w:cs="宋体"/>
          <w:kern w:val="0"/>
          <w:sz w:val="24"/>
          <w:highlight w:val="none"/>
        </w:rPr>
        <w:t>亿元，</w:t>
      </w:r>
      <w:r>
        <w:rPr>
          <w:rFonts w:hint="eastAsia" w:ascii="宋体" w:hAnsi="宋体" w:eastAsia="宋体" w:cs="宋体"/>
          <w:sz w:val="24"/>
        </w:rPr>
        <w:t>剔除上年通过诉讼收回的票据资管业务收入</w:t>
      </w:r>
      <w:r>
        <w:rPr>
          <w:rFonts w:hint="eastAsia" w:ascii="宋体" w:hAnsi="宋体" w:eastAsia="宋体" w:cs="宋体"/>
          <w:sz w:val="24"/>
          <w:lang w:val="en-US" w:eastAsia="zh-CN"/>
        </w:rPr>
        <w:t>7.04亿元</w:t>
      </w:r>
      <w:r>
        <w:rPr>
          <w:rFonts w:hint="eastAsia" w:ascii="宋体" w:hAnsi="宋体" w:eastAsia="宋体" w:cs="宋体"/>
          <w:sz w:val="24"/>
        </w:rPr>
        <w:t>的不可比因素后，</w:t>
      </w:r>
      <w:r>
        <w:rPr>
          <w:rFonts w:hint="eastAsia" w:ascii="宋体" w:hAnsi="宋体" w:eastAsia="宋体" w:cs="宋体"/>
          <w:sz w:val="24"/>
          <w:lang w:val="en-US" w:eastAsia="zh-CN"/>
        </w:rPr>
        <w:t>营业</w:t>
      </w:r>
      <w:r>
        <w:rPr>
          <w:rFonts w:hint="eastAsia" w:ascii="宋体" w:hAnsi="宋体" w:eastAsia="宋体" w:cs="宋体"/>
          <w:sz w:val="24"/>
        </w:rPr>
        <w:t>收入同比增长9.</w:t>
      </w:r>
      <w:r>
        <w:rPr>
          <w:rFonts w:hint="eastAsia" w:ascii="宋体" w:hAnsi="宋体" w:eastAsia="宋体" w:cs="宋体"/>
          <w:sz w:val="24"/>
          <w:lang w:val="en-US" w:eastAsia="zh-CN"/>
        </w:rPr>
        <w:t>56</w:t>
      </w:r>
      <w:r>
        <w:rPr>
          <w:rFonts w:hint="eastAsia" w:ascii="宋体" w:hAnsi="宋体" w:eastAsia="宋体" w:cs="宋体"/>
          <w:sz w:val="24"/>
        </w:rPr>
        <w:t>%</w:t>
      </w:r>
      <w:r>
        <w:rPr>
          <w:rFonts w:hint="eastAsia" w:ascii="宋体" w:hAnsi="宋体" w:eastAsia="宋体" w:cs="宋体"/>
          <w:kern w:val="0"/>
          <w:sz w:val="24"/>
          <w:highlight w:val="none"/>
        </w:rPr>
        <w:t>；归属于上市公司股东的净利润</w:t>
      </w:r>
      <w:r>
        <w:rPr>
          <w:rFonts w:hint="eastAsia" w:ascii="宋体" w:hAnsi="宋体" w:eastAsia="宋体" w:cs="宋体"/>
          <w:kern w:val="0"/>
          <w:sz w:val="24"/>
          <w:highlight w:val="none"/>
          <w:lang w:val="en-US" w:eastAsia="zh-CN"/>
        </w:rPr>
        <w:t>21.69</w:t>
      </w:r>
      <w:r>
        <w:rPr>
          <w:rFonts w:hint="eastAsia" w:ascii="宋体" w:hAnsi="宋体" w:eastAsia="宋体" w:cs="宋体"/>
          <w:kern w:val="0"/>
          <w:sz w:val="24"/>
          <w:highlight w:val="none"/>
        </w:rPr>
        <w:t>亿元，同比增长</w:t>
      </w:r>
      <w:r>
        <w:rPr>
          <w:rFonts w:hint="eastAsia" w:ascii="宋体" w:hAnsi="宋体" w:eastAsia="宋体" w:cs="宋体"/>
          <w:kern w:val="0"/>
          <w:sz w:val="24"/>
          <w:highlight w:val="none"/>
          <w:lang w:val="en-US" w:eastAsia="zh-CN"/>
        </w:rPr>
        <w:t>18</w:t>
      </w:r>
      <w:r>
        <w:rPr>
          <w:rFonts w:hint="eastAsia" w:ascii="宋体" w:hAnsi="宋体" w:eastAsia="宋体" w:cs="宋体"/>
          <w:kern w:val="0"/>
          <w:sz w:val="24"/>
          <w:highlight w:val="none"/>
        </w:rPr>
        <w:t>.</w:t>
      </w:r>
      <w:r>
        <w:rPr>
          <w:rFonts w:hint="eastAsia" w:ascii="宋体" w:hAnsi="宋体" w:eastAsia="宋体" w:cs="宋体"/>
          <w:kern w:val="0"/>
          <w:sz w:val="24"/>
          <w:highlight w:val="none"/>
          <w:lang w:val="en-US" w:eastAsia="zh-CN"/>
        </w:rPr>
        <w:t>99</w:t>
      </w:r>
      <w:r>
        <w:rPr>
          <w:rFonts w:hint="eastAsia" w:ascii="宋体" w:hAnsi="宋体" w:eastAsia="宋体" w:cs="宋体"/>
          <w:kern w:val="0"/>
          <w:sz w:val="24"/>
          <w:highlight w:val="none"/>
        </w:rPr>
        <w:t>%。截至202</w:t>
      </w:r>
      <w:r>
        <w:rPr>
          <w:rFonts w:hint="eastAsia" w:ascii="宋体" w:hAnsi="宋体" w:eastAsia="宋体" w:cs="宋体"/>
          <w:kern w:val="0"/>
          <w:sz w:val="24"/>
          <w:highlight w:val="none"/>
          <w:lang w:val="en-US" w:eastAsia="zh-CN"/>
        </w:rPr>
        <w:t>1</w:t>
      </w:r>
      <w:r>
        <w:rPr>
          <w:rFonts w:hint="eastAsia" w:ascii="宋体" w:hAnsi="宋体" w:eastAsia="宋体" w:cs="宋体"/>
          <w:kern w:val="0"/>
          <w:sz w:val="24"/>
          <w:highlight w:val="none"/>
        </w:rPr>
        <w:t>年末，公司总资产</w:t>
      </w:r>
      <w:r>
        <w:rPr>
          <w:rFonts w:hint="eastAsia" w:ascii="宋体" w:hAnsi="宋体" w:eastAsia="宋体" w:cs="宋体"/>
          <w:kern w:val="0"/>
          <w:sz w:val="24"/>
          <w:highlight w:val="none"/>
          <w:lang w:val="en-US" w:eastAsia="zh-CN"/>
        </w:rPr>
        <w:t>3</w:t>
      </w:r>
      <w:r>
        <w:rPr>
          <w:rFonts w:hint="eastAsia" w:ascii="宋体" w:hAnsi="宋体" w:eastAsia="宋体" w:cs="宋体"/>
          <w:kern w:val="0"/>
          <w:sz w:val="24"/>
          <w:highlight w:val="none"/>
        </w:rPr>
        <w:t>,</w:t>
      </w:r>
      <w:r>
        <w:rPr>
          <w:rFonts w:hint="eastAsia" w:ascii="宋体" w:hAnsi="宋体" w:eastAsia="宋体" w:cs="宋体"/>
          <w:kern w:val="0"/>
          <w:sz w:val="24"/>
          <w:highlight w:val="none"/>
          <w:lang w:val="en-US" w:eastAsia="zh-CN"/>
        </w:rPr>
        <w:t>294</w:t>
      </w:r>
      <w:r>
        <w:rPr>
          <w:rFonts w:hint="eastAsia" w:ascii="宋体" w:hAnsi="宋体" w:eastAsia="宋体" w:cs="宋体"/>
          <w:kern w:val="0"/>
          <w:sz w:val="24"/>
          <w:highlight w:val="none"/>
        </w:rPr>
        <w:t>.</w:t>
      </w:r>
      <w:r>
        <w:rPr>
          <w:rFonts w:hint="eastAsia" w:ascii="宋体" w:hAnsi="宋体" w:eastAsia="宋体" w:cs="宋体"/>
          <w:kern w:val="0"/>
          <w:sz w:val="24"/>
          <w:highlight w:val="none"/>
          <w:lang w:val="en-US" w:eastAsia="zh-CN"/>
        </w:rPr>
        <w:t>95</w:t>
      </w:r>
      <w:r>
        <w:rPr>
          <w:rFonts w:hint="eastAsia" w:ascii="宋体" w:hAnsi="宋体" w:eastAsia="宋体" w:cs="宋体"/>
          <w:kern w:val="0"/>
          <w:sz w:val="24"/>
          <w:highlight w:val="none"/>
        </w:rPr>
        <w:t>亿元，较年初增长15.</w:t>
      </w:r>
      <w:r>
        <w:rPr>
          <w:rFonts w:hint="eastAsia" w:ascii="宋体" w:hAnsi="宋体" w:eastAsia="宋体" w:cs="宋体"/>
          <w:kern w:val="0"/>
          <w:sz w:val="24"/>
          <w:highlight w:val="none"/>
          <w:lang w:val="en-US" w:eastAsia="zh-CN"/>
        </w:rPr>
        <w:t>55</w:t>
      </w:r>
      <w:r>
        <w:rPr>
          <w:rFonts w:hint="eastAsia" w:ascii="宋体" w:hAnsi="宋体" w:eastAsia="宋体" w:cs="宋体"/>
          <w:kern w:val="0"/>
          <w:sz w:val="24"/>
          <w:highlight w:val="none"/>
        </w:rPr>
        <w:t>%。202</w:t>
      </w:r>
      <w:r>
        <w:rPr>
          <w:rFonts w:hint="eastAsia" w:ascii="宋体" w:hAnsi="宋体" w:eastAsia="宋体" w:cs="宋体"/>
          <w:kern w:val="0"/>
          <w:sz w:val="24"/>
          <w:highlight w:val="none"/>
          <w:lang w:val="en-US" w:eastAsia="zh-CN"/>
        </w:rPr>
        <w:t>1</w:t>
      </w:r>
      <w:r>
        <w:rPr>
          <w:rFonts w:hint="eastAsia" w:ascii="宋体" w:hAnsi="宋体" w:eastAsia="宋体" w:cs="宋体"/>
          <w:kern w:val="0"/>
          <w:sz w:val="24"/>
          <w:highlight w:val="none"/>
        </w:rPr>
        <w:t>年末，公司不良贷款率0.9</w:t>
      </w:r>
      <w:r>
        <w:rPr>
          <w:rFonts w:hint="eastAsia" w:ascii="宋体" w:hAnsi="宋体" w:eastAsia="宋体" w:cs="宋体"/>
          <w:kern w:val="0"/>
          <w:sz w:val="24"/>
          <w:highlight w:val="none"/>
          <w:lang w:val="en-US" w:eastAsia="zh-CN"/>
        </w:rPr>
        <w:t>1</w:t>
      </w:r>
      <w:r>
        <w:rPr>
          <w:rFonts w:hint="eastAsia" w:ascii="宋体" w:hAnsi="宋体" w:eastAsia="宋体" w:cs="宋体"/>
          <w:kern w:val="0"/>
          <w:sz w:val="24"/>
          <w:highlight w:val="none"/>
        </w:rPr>
        <w:t>%，较年初下降0.</w:t>
      </w:r>
      <w:r>
        <w:rPr>
          <w:rFonts w:hint="eastAsia" w:ascii="宋体" w:hAnsi="宋体" w:eastAsia="宋体" w:cs="宋体"/>
          <w:kern w:val="0"/>
          <w:sz w:val="24"/>
          <w:highlight w:val="none"/>
          <w:lang w:val="en-US" w:eastAsia="zh-CN"/>
        </w:rPr>
        <w:t>07个百分点</w:t>
      </w:r>
      <w:r>
        <w:rPr>
          <w:rFonts w:hint="eastAsia" w:ascii="宋体" w:hAnsi="宋体" w:eastAsia="宋体" w:cs="宋体"/>
          <w:kern w:val="0"/>
          <w:sz w:val="24"/>
          <w:highlight w:val="none"/>
        </w:rPr>
        <w:t>；拨备覆盖率3</w:t>
      </w:r>
      <w:r>
        <w:rPr>
          <w:rFonts w:hint="eastAsia" w:ascii="宋体" w:hAnsi="宋体" w:eastAsia="宋体" w:cs="宋体"/>
          <w:kern w:val="0"/>
          <w:sz w:val="24"/>
          <w:highlight w:val="none"/>
          <w:lang w:val="en-US" w:eastAsia="zh-CN"/>
        </w:rPr>
        <w:t>70.64</w:t>
      </w:r>
      <w:r>
        <w:rPr>
          <w:rFonts w:hint="eastAsia" w:ascii="宋体" w:hAnsi="宋体" w:eastAsia="宋体" w:cs="宋体"/>
          <w:kern w:val="0"/>
          <w:sz w:val="24"/>
          <w:highlight w:val="none"/>
        </w:rPr>
        <w:t>%，较年初上升</w:t>
      </w:r>
      <w:r>
        <w:rPr>
          <w:rFonts w:hint="eastAsia" w:ascii="宋体" w:hAnsi="宋体" w:eastAsia="宋体" w:cs="宋体"/>
          <w:kern w:val="0"/>
          <w:sz w:val="24"/>
          <w:highlight w:val="none"/>
          <w:lang w:val="en-US" w:eastAsia="zh-CN"/>
        </w:rPr>
        <w:t>2</w:t>
      </w:r>
      <w:r>
        <w:rPr>
          <w:rFonts w:hint="eastAsia" w:ascii="宋体" w:hAnsi="宋体" w:eastAsia="宋体" w:cs="宋体"/>
          <w:kern w:val="0"/>
          <w:sz w:val="24"/>
          <w:highlight w:val="none"/>
        </w:rPr>
        <w:t>.</w:t>
      </w:r>
      <w:r>
        <w:rPr>
          <w:rFonts w:hint="eastAsia" w:ascii="宋体" w:hAnsi="宋体" w:eastAsia="宋体" w:cs="宋体"/>
          <w:kern w:val="0"/>
          <w:sz w:val="24"/>
          <w:highlight w:val="none"/>
          <w:lang w:val="en-US" w:eastAsia="zh-CN"/>
        </w:rPr>
        <w:t>61个百分点</w:t>
      </w:r>
      <w:r>
        <w:rPr>
          <w:rFonts w:hint="eastAsia" w:ascii="宋体" w:hAnsi="宋体" w:eastAsia="宋体" w:cs="宋体"/>
          <w:kern w:val="0"/>
          <w:sz w:val="24"/>
          <w:highlight w:val="none"/>
        </w:rPr>
        <w:t>。截止20</w:t>
      </w:r>
      <w:r>
        <w:rPr>
          <w:rFonts w:hint="eastAsia" w:ascii="宋体" w:hAnsi="宋体" w:eastAsia="宋体" w:cs="宋体"/>
          <w:kern w:val="0"/>
          <w:sz w:val="24"/>
          <w:highlight w:val="none"/>
          <w:lang w:val="en-US" w:eastAsia="zh-CN"/>
        </w:rPr>
        <w:t>21</w:t>
      </w:r>
      <w:r>
        <w:rPr>
          <w:rFonts w:hint="eastAsia" w:ascii="宋体" w:hAnsi="宋体" w:eastAsia="宋体" w:cs="宋体"/>
          <w:kern w:val="0"/>
          <w:sz w:val="24"/>
          <w:highlight w:val="none"/>
        </w:rPr>
        <w:t>年末，</w:t>
      </w:r>
      <w:r>
        <w:rPr>
          <w:rFonts w:hint="eastAsia" w:ascii="宋体" w:hAnsi="宋体" w:eastAsia="宋体" w:cs="宋体"/>
          <w:kern w:val="0"/>
          <w:sz w:val="24"/>
          <w:highlight w:val="none"/>
          <w:lang w:val="en-US" w:eastAsia="zh-CN"/>
        </w:rPr>
        <w:t>公司</w:t>
      </w:r>
      <w:r>
        <w:rPr>
          <w:rFonts w:hint="eastAsia" w:ascii="宋体" w:hAnsi="宋体" w:eastAsia="宋体" w:cs="宋体"/>
          <w:kern w:val="0"/>
          <w:sz w:val="24"/>
          <w:highlight w:val="none"/>
        </w:rPr>
        <w:t>各项主要监管财务指标均符合监管要求，资信评级</w:t>
      </w:r>
      <w:r>
        <w:rPr>
          <w:rFonts w:hint="eastAsia" w:ascii="宋体" w:hAnsi="宋体" w:eastAsia="宋体" w:cs="宋体"/>
          <w:kern w:val="0"/>
          <w:sz w:val="24"/>
          <w:highlight w:val="none"/>
          <w:lang w:val="en-US" w:eastAsia="zh-CN"/>
        </w:rPr>
        <w:t>继续维持</w:t>
      </w:r>
      <w:r>
        <w:rPr>
          <w:rFonts w:hint="eastAsia" w:ascii="宋体" w:hAnsi="宋体" w:eastAsia="宋体" w:cs="宋体"/>
          <w:kern w:val="0"/>
          <w:sz w:val="24"/>
          <w:highlight w:val="none"/>
        </w:rPr>
        <w:t>AA</w:t>
      </w:r>
      <w:r>
        <w:rPr>
          <w:rFonts w:hint="eastAsia" w:ascii="宋体" w:hAnsi="宋体" w:eastAsia="宋体" w:cs="宋体"/>
          <w:kern w:val="0"/>
          <w:sz w:val="24"/>
          <w:highlight w:val="none"/>
          <w:lang w:val="en-US" w:eastAsia="zh-CN"/>
        </w:rPr>
        <w:t>A</w:t>
      </w:r>
      <w:r>
        <w:rPr>
          <w:rFonts w:hint="eastAsia" w:ascii="宋体" w:hAnsi="宋体" w:eastAsia="宋体" w:cs="宋体"/>
          <w:kern w:val="0"/>
          <w:sz w:val="24"/>
          <w:highlight w:val="none"/>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2" w:firstLineChars="200"/>
        <w:jc w:val="left"/>
        <w:textAlignment w:val="auto"/>
        <w:rPr>
          <w:rFonts w:hint="eastAsia" w:ascii="宋体" w:hAnsi="宋体" w:eastAsia="宋体" w:cs="宋体"/>
          <w:kern w:val="0"/>
          <w:sz w:val="24"/>
          <w:szCs w:val="22"/>
          <w:lang w:val="en-US" w:eastAsia="zh-CN"/>
        </w:rPr>
      </w:pPr>
      <w:r>
        <w:rPr>
          <w:rFonts w:hint="eastAsia" w:ascii="宋体" w:hAnsi="宋体" w:eastAsia="宋体" w:cs="宋体"/>
          <w:b/>
          <w:kern w:val="0"/>
          <w:sz w:val="24"/>
          <w:highlight w:val="none"/>
          <w:lang w:val="en-US" w:eastAsia="zh-CN"/>
        </w:rPr>
        <w:t>二是不断提升小微企业服务能力，助力小微企业高质量发展</w:t>
      </w:r>
      <w:r>
        <w:rPr>
          <w:rFonts w:hint="eastAsia" w:ascii="宋体" w:hAnsi="宋体" w:eastAsia="宋体" w:cs="宋体"/>
          <w:b/>
          <w:bCs/>
          <w:kern w:val="0"/>
          <w:sz w:val="24"/>
          <w:highlight w:val="none"/>
          <w:lang w:val="en-US" w:eastAsia="zh-CN"/>
        </w:rPr>
        <w:t>。</w:t>
      </w:r>
      <w:r>
        <w:rPr>
          <w:rFonts w:hint="eastAsia" w:ascii="宋体" w:hAnsi="宋体" w:eastAsia="宋体" w:cs="宋体"/>
          <w:b w:val="0"/>
          <w:bCs w:val="0"/>
          <w:kern w:val="0"/>
          <w:sz w:val="24"/>
          <w:highlight w:val="none"/>
          <w:lang w:val="en-US" w:eastAsia="zh-CN"/>
        </w:rPr>
        <w:t>2021年度，</w:t>
      </w:r>
      <w:r>
        <w:rPr>
          <w:rFonts w:hint="eastAsia" w:ascii="宋体" w:hAnsi="宋体" w:eastAsia="宋体" w:cs="宋体"/>
          <w:kern w:val="0"/>
          <w:sz w:val="24"/>
          <w:szCs w:val="22"/>
          <w:lang w:val="en-US" w:eastAsia="zh-CN"/>
        </w:rPr>
        <w:t>在董事会的引领下，公司高度重视小微金融服务业务的工作推进及落地，</w:t>
      </w:r>
      <w:r>
        <w:rPr>
          <w:rFonts w:hint="eastAsia" w:ascii="宋体" w:hAnsi="宋体" w:eastAsia="宋体" w:cs="宋体"/>
          <w:b w:val="0"/>
          <w:bCs w:val="0"/>
          <w:kern w:val="0"/>
          <w:sz w:val="24"/>
          <w:highlight w:val="none"/>
          <w:lang w:val="en-US" w:eastAsia="zh-CN"/>
        </w:rPr>
        <w:t>面对反复无常的疫情，公司</w:t>
      </w:r>
      <w:r>
        <w:rPr>
          <w:rFonts w:hint="eastAsia" w:ascii="宋体" w:hAnsi="宋体" w:eastAsia="宋体" w:cs="宋体"/>
          <w:kern w:val="0"/>
          <w:sz w:val="24"/>
          <w:szCs w:val="22"/>
          <w:lang w:val="en-US" w:eastAsia="zh-CN"/>
        </w:rPr>
        <w:t>灵活运用支小再贷款、信用贷款、延期还本付息等金融政策，积极支持小微企业复工复产，助力地方经济复苏。截至2021年末，本公司普惠型小微企业贷款余额（银保监口径，含个人经营性贷款）444.35亿元，较年初增加100.44亿元，增幅29.20%；普惠型小微企业贷款增速保持高于全行各项贷款增速，普惠型小微企业贷款客户数较年初增幅为22.17%。同时，公司不忘服务实体经济、助力小微发展的初心，不断深耕地方经济，连续3年达成两增两控监管指标，连续7年荣获“厦门市银行业金融机构服务小微企业优秀机构”、连续2年荣获厦门市“服务民营企业突出贡献银行一等奖”。</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2" w:firstLineChars="200"/>
        <w:jc w:val="left"/>
        <w:textAlignment w:val="auto"/>
        <w:rPr>
          <w:rFonts w:hint="eastAsia" w:ascii="宋体" w:hAnsi="宋体" w:eastAsia="宋体" w:cs="宋体"/>
          <w:b/>
          <w:kern w:val="0"/>
          <w:sz w:val="24"/>
          <w:szCs w:val="22"/>
          <w:highlight w:val="yellow"/>
          <w:lang w:val="en-US" w:eastAsia="zh-CN"/>
        </w:rPr>
      </w:pPr>
      <w:r>
        <w:rPr>
          <w:rFonts w:hint="eastAsia" w:ascii="宋体" w:hAnsi="宋体" w:eastAsia="宋体" w:cs="宋体"/>
          <w:b/>
          <w:kern w:val="0"/>
          <w:sz w:val="24"/>
          <w:szCs w:val="22"/>
          <w:lang w:val="en-US" w:eastAsia="zh-CN"/>
        </w:rPr>
        <w:t>（三）发挥战略引领作用，持续推进转型升级</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2" w:firstLineChars="200"/>
        <w:jc w:val="left"/>
        <w:textAlignment w:val="auto"/>
        <w:rPr>
          <w:rFonts w:hint="eastAsia" w:ascii="宋体" w:hAnsi="宋体" w:eastAsia="宋体" w:cs="宋体"/>
          <w:b/>
          <w:bCs/>
          <w:sz w:val="24"/>
          <w:szCs w:val="22"/>
          <w:lang w:val="en-US" w:eastAsia="zh-CN"/>
        </w:rPr>
      </w:pPr>
      <w:r>
        <w:rPr>
          <w:rFonts w:hint="eastAsia" w:ascii="宋体" w:hAnsi="宋体" w:eastAsia="宋体" w:cs="宋体"/>
          <w:b/>
          <w:bCs/>
          <w:kern w:val="0"/>
          <w:sz w:val="24"/>
          <w:szCs w:val="22"/>
          <w:lang w:val="en-US" w:eastAsia="zh-CN"/>
        </w:rPr>
        <w:t>一是启动新三年发展战略规划落地。</w:t>
      </w:r>
      <w:r>
        <w:rPr>
          <w:rFonts w:hint="eastAsia" w:ascii="宋体" w:hAnsi="宋体" w:eastAsia="宋体" w:cs="宋体"/>
          <w:kern w:val="0"/>
          <w:sz w:val="24"/>
          <w:szCs w:val="22"/>
          <w:lang w:val="en-US" w:eastAsia="zh-CN"/>
        </w:rPr>
        <w:t>2021年是公司第五轮三年发展战略规划的开启之年。公司以客户体验、数字科技、人与机制为战略驱动力，通过业务战略、区域战略和综合金融三大发展战略，为经济高质量发展提供金融活水。从业务导向转变为客户经营导向，以客户体验为优先考量，着力解决业务与管理的架构和流程痛点；采用科技派驻主动、全面赋能前端业务，提高IT资源配置效率；构建创利中心，压实总行部门职责，设置专业化客户经营团队，下沉产品销售团队，通过联席会议机制、按月督导考核等方式加强各条线之间的协同。稳步向“聚焦中小、深耕海西、融汇两岸，打造价值领先的综合金融服务商”的战略愿景迈进。</w:t>
      </w:r>
    </w:p>
    <w:p>
      <w:pPr>
        <w:keepNext w:val="0"/>
        <w:keepLines w:val="0"/>
        <w:pageBreakBefore w:val="0"/>
        <w:widowControl w:val="0"/>
        <w:kinsoku/>
        <w:wordWrap/>
        <w:overflowPunct/>
        <w:topLinePunct w:val="0"/>
        <w:autoSpaceDE/>
        <w:autoSpaceDN/>
        <w:bidi w:val="0"/>
        <w:adjustRightInd/>
        <w:snapToGrid w:val="0"/>
        <w:spacing w:line="360" w:lineRule="auto"/>
        <w:ind w:left="0" w:firstLine="482" w:firstLineChars="200"/>
        <w:textAlignment w:val="auto"/>
        <w:rPr>
          <w:rFonts w:hint="eastAsia" w:ascii="宋体" w:hAnsi="宋体" w:eastAsia="宋体" w:cs="宋体"/>
          <w:b/>
          <w:bCs/>
          <w:sz w:val="24"/>
          <w:szCs w:val="22"/>
          <w:lang w:val="en-US" w:eastAsia="zh-CN"/>
        </w:rPr>
      </w:pPr>
      <w:r>
        <w:rPr>
          <w:rFonts w:hint="eastAsia" w:ascii="宋体" w:hAnsi="宋体" w:eastAsia="宋体" w:cs="宋体"/>
          <w:b/>
          <w:bCs/>
          <w:sz w:val="24"/>
          <w:szCs w:val="22"/>
          <w:lang w:val="en-US" w:eastAsia="zh-CN"/>
        </w:rPr>
        <w:t>二是优化升级对台组织架构建设。</w:t>
      </w:r>
      <w:r>
        <w:rPr>
          <w:rFonts w:hint="eastAsia" w:ascii="宋体" w:hAnsi="宋体" w:eastAsia="宋体" w:cs="宋体"/>
          <w:kern w:val="0"/>
          <w:sz w:val="24"/>
          <w:highlight w:val="none"/>
        </w:rPr>
        <w:t>202</w:t>
      </w:r>
      <w:r>
        <w:rPr>
          <w:rFonts w:hint="eastAsia" w:ascii="宋体" w:hAnsi="宋体" w:eastAsia="宋体" w:cs="宋体"/>
          <w:kern w:val="0"/>
          <w:sz w:val="24"/>
          <w:highlight w:val="none"/>
          <w:lang w:val="en-US" w:eastAsia="zh-CN"/>
        </w:rPr>
        <w:t>1</w:t>
      </w:r>
      <w:r>
        <w:rPr>
          <w:rFonts w:hint="eastAsia" w:ascii="宋体" w:hAnsi="宋体" w:eastAsia="宋体" w:cs="宋体"/>
          <w:kern w:val="0"/>
          <w:sz w:val="24"/>
          <w:highlight w:val="none"/>
        </w:rPr>
        <w:t>年度，在董事会</w:t>
      </w:r>
      <w:r>
        <w:rPr>
          <w:rFonts w:hint="eastAsia" w:ascii="宋体" w:hAnsi="宋体" w:eastAsia="宋体" w:cs="宋体"/>
          <w:kern w:val="0"/>
          <w:sz w:val="24"/>
          <w:highlight w:val="none"/>
          <w:lang w:val="en-US" w:eastAsia="zh-CN"/>
        </w:rPr>
        <w:t>引</w:t>
      </w:r>
      <w:r>
        <w:rPr>
          <w:rFonts w:hint="eastAsia" w:ascii="宋体" w:hAnsi="宋体" w:eastAsia="宋体" w:cs="宋体"/>
          <w:kern w:val="0"/>
          <w:sz w:val="24"/>
          <w:highlight w:val="none"/>
        </w:rPr>
        <w:t>领下</w:t>
      </w:r>
      <w:r>
        <w:rPr>
          <w:rFonts w:hint="eastAsia" w:ascii="宋体" w:hAnsi="宋体" w:eastAsia="宋体" w:cs="宋体"/>
          <w:kern w:val="0"/>
          <w:sz w:val="24"/>
          <w:highlight w:val="none"/>
          <w:lang w:eastAsia="zh-CN"/>
        </w:rPr>
        <w:t>，</w:t>
      </w:r>
      <w:r>
        <w:rPr>
          <w:rFonts w:hint="eastAsia" w:ascii="宋体" w:hAnsi="宋体" w:eastAsia="宋体" w:cs="宋体"/>
          <w:kern w:val="0"/>
          <w:sz w:val="24"/>
          <w:highlight w:val="none"/>
          <w:lang w:val="en-US" w:eastAsia="zh-CN"/>
        </w:rPr>
        <w:t>公司</w:t>
      </w:r>
      <w:r>
        <w:rPr>
          <w:rFonts w:hint="eastAsia" w:ascii="宋体" w:hAnsi="宋体" w:eastAsia="宋体" w:cs="宋体"/>
          <w:kern w:val="0"/>
          <w:sz w:val="24"/>
          <w:highlight w:val="none"/>
        </w:rPr>
        <w:t>整合了各业务条线的对台业务，</w:t>
      </w:r>
      <w:r>
        <w:rPr>
          <w:rFonts w:hint="eastAsia" w:ascii="宋体" w:hAnsi="宋体" w:eastAsia="宋体" w:cs="宋体"/>
          <w:kern w:val="0"/>
          <w:sz w:val="24"/>
          <w:highlight w:val="none"/>
          <w:lang w:val="en-US" w:eastAsia="zh-CN"/>
        </w:rPr>
        <w:t>并自上而下针对总分支各层面对台组织架构进行优化升级。设立跨全行各条线业务的“台商金融部”，负责两岸台胞、台资企业、台湾同业客群的统筹经营以及涉台机构、金融同业的合作推动；在分支机构设立管理部门台商业务部，负责分支机构台商对公和零售业务的管理；同时，将20家网点挂牌为对台特色支行，多措并举共同落实对台金融服务。</w:t>
      </w:r>
    </w:p>
    <w:p>
      <w:pPr>
        <w:keepNext w:val="0"/>
        <w:keepLines w:val="0"/>
        <w:pageBreakBefore w:val="0"/>
        <w:widowControl w:val="0"/>
        <w:kinsoku/>
        <w:wordWrap/>
        <w:overflowPunct/>
        <w:topLinePunct w:val="0"/>
        <w:autoSpaceDE/>
        <w:autoSpaceDN/>
        <w:bidi w:val="0"/>
        <w:adjustRightInd/>
        <w:snapToGrid w:val="0"/>
        <w:spacing w:line="360" w:lineRule="auto"/>
        <w:ind w:left="0" w:firstLine="482" w:firstLineChars="200"/>
        <w:textAlignment w:val="auto"/>
        <w:rPr>
          <w:rFonts w:hint="eastAsia" w:ascii="宋体" w:hAnsi="宋体" w:eastAsia="宋体" w:cs="宋体"/>
          <w:b w:val="0"/>
          <w:bCs w:val="0"/>
          <w:sz w:val="24"/>
          <w:szCs w:val="22"/>
          <w:lang w:val="en-US" w:eastAsia="zh-CN"/>
        </w:rPr>
      </w:pPr>
      <w:r>
        <w:rPr>
          <w:rFonts w:hint="eastAsia" w:ascii="宋体" w:hAnsi="宋体" w:eastAsia="宋体" w:cs="宋体"/>
          <w:b/>
          <w:bCs/>
          <w:sz w:val="24"/>
          <w:szCs w:val="22"/>
          <w:lang w:val="en-US" w:eastAsia="zh-CN"/>
        </w:rPr>
        <w:t>三是持续推进大零售业务发展与转型。</w:t>
      </w:r>
      <w:r>
        <w:rPr>
          <w:rFonts w:hint="eastAsia" w:ascii="宋体" w:hAnsi="宋体" w:eastAsia="宋体" w:cs="宋体"/>
          <w:b w:val="0"/>
          <w:bCs w:val="0"/>
          <w:sz w:val="24"/>
          <w:szCs w:val="22"/>
          <w:lang w:val="en-US" w:eastAsia="zh-CN"/>
        </w:rPr>
        <w:t>2021年度，公司进一步增设下沉网点，全年新增网点19个，至2021年末全行共有87个网点。同时，不断加速数字化转型，提升发展零售业务的“软”实力，以专业团队、专业能力做实做大大众客户，通过网点厅堂运营智能化、迭代优化手机银行APP、融合线上线下场景扩大基础客群、大力发展财富管理等举措，提升零售金融服务能力，打造“零售”精品银行。</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2" w:firstLineChars="200"/>
        <w:jc w:val="left"/>
        <w:textAlignment w:val="auto"/>
        <w:rPr>
          <w:rFonts w:hint="eastAsia" w:ascii="宋体" w:hAnsi="宋体" w:eastAsia="宋体" w:cs="宋体"/>
          <w:b/>
          <w:kern w:val="0"/>
          <w:sz w:val="24"/>
          <w:szCs w:val="22"/>
          <w:highlight w:val="none"/>
          <w:lang w:val="en-US" w:eastAsia="zh-CN"/>
        </w:rPr>
      </w:pPr>
      <w:r>
        <w:rPr>
          <w:rFonts w:hint="eastAsia" w:ascii="宋体" w:hAnsi="宋体" w:eastAsia="宋体" w:cs="宋体"/>
          <w:b/>
          <w:kern w:val="0"/>
          <w:sz w:val="24"/>
          <w:szCs w:val="22"/>
          <w:highlight w:val="none"/>
          <w:lang w:val="en-US" w:eastAsia="zh-CN"/>
        </w:rPr>
        <w:t>（四）</w:t>
      </w:r>
      <w:r>
        <w:rPr>
          <w:rFonts w:hint="eastAsia" w:ascii="宋体" w:hAnsi="宋体" w:eastAsia="宋体" w:cs="宋体"/>
          <w:b/>
          <w:sz w:val="24"/>
        </w:rPr>
        <w:t>着力夯实基础平台，促进</w:t>
      </w:r>
      <w:r>
        <w:rPr>
          <w:rFonts w:hint="eastAsia" w:ascii="宋体" w:hAnsi="宋体" w:eastAsia="宋体" w:cs="宋体"/>
          <w:b/>
          <w:sz w:val="24"/>
          <w:lang w:val="en-US" w:eastAsia="zh-CN"/>
        </w:rPr>
        <w:t>公司更好</w:t>
      </w:r>
      <w:r>
        <w:rPr>
          <w:rFonts w:hint="eastAsia" w:ascii="宋体" w:hAnsi="宋体" w:eastAsia="宋体" w:cs="宋体"/>
          <w:b/>
          <w:sz w:val="24"/>
        </w:rPr>
        <w:t>发展</w:t>
      </w:r>
    </w:p>
    <w:p>
      <w:pPr>
        <w:keepNext w:val="0"/>
        <w:keepLines w:val="0"/>
        <w:pageBreakBefore w:val="0"/>
        <w:widowControl w:val="0"/>
        <w:kinsoku/>
        <w:wordWrap/>
        <w:overflowPunct/>
        <w:topLinePunct w:val="0"/>
        <w:autoSpaceDE/>
        <w:autoSpaceDN/>
        <w:bidi w:val="0"/>
        <w:adjustRightInd/>
        <w:snapToGrid w:val="0"/>
        <w:spacing w:line="360" w:lineRule="auto"/>
        <w:ind w:left="0" w:firstLine="482" w:firstLineChars="200"/>
        <w:textAlignment w:val="auto"/>
        <w:rPr>
          <w:rFonts w:hint="eastAsia" w:ascii="宋体" w:hAnsi="宋体" w:eastAsia="宋体" w:cs="宋体"/>
          <w:b w:val="0"/>
          <w:bCs w:val="0"/>
          <w:sz w:val="24"/>
          <w:szCs w:val="22"/>
          <w:highlight w:val="none"/>
          <w:lang w:val="en-US" w:eastAsia="zh-CN"/>
        </w:rPr>
      </w:pPr>
      <w:r>
        <w:rPr>
          <w:rFonts w:hint="eastAsia" w:ascii="宋体" w:hAnsi="宋体" w:eastAsia="宋体" w:cs="宋体"/>
          <w:b/>
          <w:bCs/>
          <w:sz w:val="24"/>
          <w:szCs w:val="22"/>
          <w:highlight w:val="none"/>
          <w:lang w:val="en-US" w:eastAsia="zh-CN"/>
        </w:rPr>
        <w:t>一是资债财务管理全面加强。</w:t>
      </w:r>
      <w:r>
        <w:rPr>
          <w:rFonts w:hint="eastAsia" w:ascii="宋体" w:hAnsi="宋体" w:eastAsia="宋体" w:cs="宋体"/>
          <w:b w:val="0"/>
          <w:bCs w:val="0"/>
          <w:sz w:val="24"/>
          <w:szCs w:val="22"/>
          <w:highlight w:val="none"/>
          <w:lang w:val="en-US" w:eastAsia="zh-CN"/>
        </w:rPr>
        <w:t>2021年度，公司</w:t>
      </w:r>
      <w:r>
        <w:rPr>
          <w:rFonts w:hint="eastAsia" w:ascii="宋体" w:hAnsi="宋体" w:eastAsia="宋体" w:cs="宋体"/>
          <w:kern w:val="0"/>
          <w:sz w:val="24"/>
          <w:highlight w:val="none"/>
        </w:rPr>
        <w:t>在董事会</w:t>
      </w:r>
      <w:r>
        <w:rPr>
          <w:rFonts w:hint="eastAsia" w:ascii="宋体" w:hAnsi="宋体" w:eastAsia="宋体" w:cs="宋体"/>
          <w:kern w:val="0"/>
          <w:sz w:val="24"/>
          <w:highlight w:val="none"/>
          <w:lang w:val="en-US" w:eastAsia="zh-CN"/>
        </w:rPr>
        <w:t>引</w:t>
      </w:r>
      <w:r>
        <w:rPr>
          <w:rFonts w:hint="eastAsia" w:ascii="宋体" w:hAnsi="宋体" w:eastAsia="宋体" w:cs="宋体"/>
          <w:kern w:val="0"/>
          <w:sz w:val="24"/>
          <w:highlight w:val="none"/>
        </w:rPr>
        <w:t>领下</w:t>
      </w:r>
      <w:r>
        <w:rPr>
          <w:rFonts w:hint="eastAsia" w:ascii="宋体" w:hAnsi="宋体" w:eastAsia="宋体" w:cs="宋体"/>
          <w:kern w:val="0"/>
          <w:sz w:val="24"/>
          <w:highlight w:val="none"/>
          <w:lang w:eastAsia="zh-CN"/>
        </w:rPr>
        <w:t>，</w:t>
      </w:r>
      <w:r>
        <w:rPr>
          <w:rFonts w:hint="eastAsia" w:ascii="宋体" w:hAnsi="宋体" w:eastAsia="宋体" w:cs="宋体"/>
          <w:b w:val="0"/>
          <w:bCs w:val="0"/>
          <w:sz w:val="24"/>
          <w:szCs w:val="22"/>
          <w:highlight w:val="none"/>
          <w:lang w:val="en-US" w:eastAsia="zh-CN"/>
        </w:rPr>
        <w:t>全面完成预算目标，积极组织业绩督导会，不断提升对分行和创利中心的业绩督导质效；优化广义信贷等资源分配，对美元等重点业务进行定价和考核优惠，持续加强对业务的支持；完成新财务系统和管理会计的主体功能，并持续完善优化。</w:t>
      </w:r>
    </w:p>
    <w:p>
      <w:pPr>
        <w:keepNext w:val="0"/>
        <w:keepLines w:val="0"/>
        <w:pageBreakBefore w:val="0"/>
        <w:widowControl w:val="0"/>
        <w:kinsoku/>
        <w:wordWrap/>
        <w:overflowPunct/>
        <w:topLinePunct w:val="0"/>
        <w:autoSpaceDE/>
        <w:autoSpaceDN/>
        <w:bidi w:val="0"/>
        <w:adjustRightInd/>
        <w:snapToGrid w:val="0"/>
        <w:spacing w:line="360" w:lineRule="auto"/>
        <w:ind w:left="0" w:firstLine="482" w:firstLineChars="200"/>
        <w:textAlignment w:val="auto"/>
        <w:rPr>
          <w:rFonts w:hint="eastAsia" w:ascii="宋体" w:hAnsi="宋体" w:eastAsia="宋体" w:cs="宋体"/>
          <w:b/>
          <w:bCs/>
          <w:sz w:val="24"/>
          <w:szCs w:val="22"/>
          <w:highlight w:val="none"/>
          <w:lang w:val="en-US" w:eastAsia="zh-CN"/>
        </w:rPr>
      </w:pPr>
      <w:r>
        <w:rPr>
          <w:rFonts w:hint="eastAsia" w:ascii="宋体" w:hAnsi="宋体" w:eastAsia="宋体" w:cs="宋体"/>
          <w:b/>
          <w:bCs/>
          <w:sz w:val="24"/>
          <w:szCs w:val="22"/>
          <w:highlight w:val="none"/>
          <w:lang w:val="en-US" w:eastAsia="zh-CN"/>
        </w:rPr>
        <w:t>二是</w:t>
      </w:r>
      <w:r>
        <w:rPr>
          <w:rFonts w:hint="eastAsia" w:ascii="宋体" w:hAnsi="宋体" w:eastAsia="宋体" w:cs="宋体"/>
          <w:b/>
          <w:sz w:val="24"/>
        </w:rPr>
        <w:t>人力资源管理</w:t>
      </w:r>
      <w:r>
        <w:rPr>
          <w:rFonts w:hint="eastAsia" w:ascii="宋体" w:hAnsi="宋体" w:eastAsia="宋体" w:cs="宋体"/>
          <w:b/>
          <w:sz w:val="24"/>
          <w:lang w:val="en-US" w:eastAsia="zh-CN"/>
        </w:rPr>
        <w:t>持续优化。</w:t>
      </w:r>
      <w:r>
        <w:rPr>
          <w:rFonts w:hint="eastAsia" w:ascii="宋体" w:hAnsi="宋体" w:eastAsia="宋体" w:cs="宋体"/>
          <w:b w:val="0"/>
          <w:bCs/>
          <w:sz w:val="24"/>
          <w:lang w:val="en-US" w:eastAsia="zh-CN"/>
        </w:rPr>
        <w:t>2021年度，公司</w:t>
      </w:r>
      <w:r>
        <w:rPr>
          <w:rFonts w:hint="eastAsia" w:ascii="宋体" w:hAnsi="宋体" w:eastAsia="宋体" w:cs="宋体"/>
          <w:kern w:val="0"/>
          <w:sz w:val="24"/>
        </w:rPr>
        <w:t>在队伍建设与人才培养方面，多措并举，提高整体人员素质、打造优</w:t>
      </w:r>
      <w:r>
        <w:rPr>
          <w:rFonts w:hint="eastAsia" w:ascii="宋体" w:hAnsi="宋体" w:eastAsia="宋体" w:cs="宋体"/>
          <w:kern w:val="0"/>
          <w:sz w:val="24"/>
          <w:lang w:val="zh-CN" w:eastAsia="zh-CN"/>
        </w:rPr>
        <w:t>秀队伍。</w:t>
      </w:r>
      <w:r>
        <w:rPr>
          <w:rFonts w:hint="eastAsia" w:ascii="宋体" w:hAnsi="宋体" w:eastAsia="宋体" w:cs="宋体"/>
          <w:kern w:val="0"/>
          <w:sz w:val="24"/>
          <w:lang w:val="en-US" w:eastAsia="zh-CN"/>
        </w:rPr>
        <w:t>实施了创利中心改革及相应管理机制的建设，</w:t>
      </w:r>
      <w:r>
        <w:rPr>
          <w:rFonts w:hint="eastAsia" w:ascii="宋体" w:hAnsi="宋体" w:eastAsia="宋体" w:cs="宋体"/>
          <w:kern w:val="0"/>
          <w:sz w:val="24"/>
          <w:lang w:val="zh-CN" w:eastAsia="zh-CN"/>
        </w:rPr>
        <w:t>明晰创利中心组织定位及差异化管控模式，从联动机制、绩效考核和资源分配等方面构建总分同频共振的协同机制；推动学习型组织建设，持续提升员工素质，共开展近1</w:t>
      </w:r>
      <w:r>
        <w:rPr>
          <w:rFonts w:hint="eastAsia" w:ascii="宋体" w:hAnsi="宋体" w:eastAsia="宋体" w:cs="宋体"/>
          <w:kern w:val="0"/>
          <w:sz w:val="24"/>
          <w:lang w:val="en-US" w:eastAsia="zh-CN"/>
        </w:rPr>
        <w:t>,</w:t>
      </w:r>
      <w:r>
        <w:rPr>
          <w:rFonts w:hint="eastAsia" w:ascii="宋体" w:hAnsi="宋体" w:eastAsia="宋体" w:cs="宋体"/>
          <w:kern w:val="0"/>
          <w:sz w:val="24"/>
          <w:lang w:val="zh-CN" w:eastAsia="zh-CN"/>
        </w:rPr>
        <w:t>291场内外部培训；匹配战略落点，完成薪酬改革和落地；构建与战略执行相匹配的绩效考核体系。</w:t>
      </w:r>
    </w:p>
    <w:p>
      <w:pPr>
        <w:keepNext w:val="0"/>
        <w:keepLines w:val="0"/>
        <w:pageBreakBefore w:val="0"/>
        <w:widowControl w:val="0"/>
        <w:kinsoku/>
        <w:wordWrap/>
        <w:overflowPunct/>
        <w:topLinePunct w:val="0"/>
        <w:autoSpaceDE/>
        <w:autoSpaceDN/>
        <w:bidi w:val="0"/>
        <w:adjustRightInd/>
        <w:snapToGrid w:val="0"/>
        <w:spacing w:line="360" w:lineRule="auto"/>
        <w:ind w:left="0" w:firstLine="482" w:firstLineChars="200"/>
        <w:textAlignment w:val="auto"/>
        <w:rPr>
          <w:rFonts w:hint="eastAsia" w:ascii="宋体" w:hAnsi="宋体" w:eastAsia="宋体" w:cs="宋体"/>
          <w:sz w:val="24"/>
          <w:lang w:val="en-US" w:eastAsia="zh-CN"/>
        </w:rPr>
      </w:pPr>
      <w:r>
        <w:rPr>
          <w:rFonts w:hint="eastAsia" w:ascii="宋体" w:hAnsi="宋体" w:eastAsia="宋体" w:cs="宋体"/>
          <w:b/>
          <w:bCs/>
          <w:sz w:val="24"/>
          <w:szCs w:val="22"/>
          <w:highlight w:val="none"/>
          <w:lang w:val="en-US" w:eastAsia="zh-CN"/>
        </w:rPr>
        <w:t>三是科技基础不断夯实。</w:t>
      </w:r>
      <w:r>
        <w:rPr>
          <w:rFonts w:hint="eastAsia" w:ascii="宋体" w:hAnsi="宋体" w:eastAsia="宋体" w:cs="宋体"/>
          <w:b w:val="0"/>
          <w:bCs w:val="0"/>
          <w:sz w:val="24"/>
          <w:szCs w:val="22"/>
          <w:highlight w:val="none"/>
          <w:lang w:val="en-US" w:eastAsia="zh-CN"/>
        </w:rPr>
        <w:t>2021年度，</w:t>
      </w:r>
      <w:r>
        <w:rPr>
          <w:rFonts w:hint="eastAsia" w:ascii="宋体" w:hAnsi="宋体" w:eastAsia="宋体" w:cs="宋体"/>
          <w:sz w:val="24"/>
          <w:lang w:val="en-US" w:eastAsia="zh-CN"/>
        </w:rPr>
        <w:t>公司实行科技派驻制，将信息技术部下的公司、零售、金融市场三大科技中心分别派驻到相应的业务板块，直接融入业务前端进行需求解决方案设计和开发；完善全行基础数据架构、启动新一轮IT战略规划、构建科技赋能的资源配置机制、提高基础设施保障能力、健全信息安全体系等方面都取得丰硕成果，为公司业务发展提供更加全面有效的IT支撑。</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2" w:firstLineChars="200"/>
        <w:jc w:val="left"/>
        <w:textAlignment w:val="auto"/>
        <w:rPr>
          <w:rFonts w:hint="eastAsia" w:ascii="宋体" w:hAnsi="宋体" w:eastAsia="宋体" w:cs="宋体"/>
          <w:sz w:val="24"/>
          <w:lang w:val="en-US" w:eastAsia="zh-CN"/>
        </w:rPr>
      </w:pPr>
      <w:r>
        <w:rPr>
          <w:rFonts w:hint="eastAsia" w:ascii="宋体" w:hAnsi="宋体" w:eastAsia="宋体" w:cs="宋体"/>
          <w:b/>
          <w:kern w:val="0"/>
          <w:sz w:val="24"/>
          <w:szCs w:val="22"/>
          <w:highlight w:val="none"/>
          <w:lang w:val="en-US" w:eastAsia="zh-CN"/>
        </w:rPr>
        <w:t>（五）提升风险防控能力，健全内控合规机制</w:t>
      </w:r>
    </w:p>
    <w:p>
      <w:pPr>
        <w:keepNext w:val="0"/>
        <w:keepLines w:val="0"/>
        <w:pageBreakBefore w:val="0"/>
        <w:widowControl w:val="0"/>
        <w:kinsoku/>
        <w:wordWrap/>
        <w:overflowPunct/>
        <w:topLinePunct w:val="0"/>
        <w:autoSpaceDE/>
        <w:autoSpaceDN/>
        <w:bidi w:val="0"/>
        <w:adjustRightInd/>
        <w:snapToGrid w:val="0"/>
        <w:spacing w:line="360" w:lineRule="auto"/>
        <w:ind w:left="0" w:firstLine="482" w:firstLineChars="200"/>
        <w:textAlignment w:val="auto"/>
        <w:rPr>
          <w:rFonts w:hint="eastAsia" w:ascii="宋体" w:hAnsi="宋体" w:eastAsia="宋体" w:cs="宋体"/>
          <w:b/>
          <w:bCs/>
          <w:sz w:val="24"/>
          <w:szCs w:val="22"/>
          <w:highlight w:val="none"/>
          <w:lang w:val="en-US" w:eastAsia="zh-CN"/>
        </w:rPr>
      </w:pPr>
      <w:r>
        <w:rPr>
          <w:rFonts w:hint="eastAsia" w:ascii="宋体" w:hAnsi="宋体" w:eastAsia="宋体" w:cs="宋体"/>
          <w:b/>
          <w:bCs/>
          <w:sz w:val="24"/>
          <w:szCs w:val="22"/>
          <w:highlight w:val="none"/>
          <w:lang w:val="en-US" w:eastAsia="zh-CN"/>
        </w:rPr>
        <w:t>一是风险管理加速转型。</w:t>
      </w:r>
      <w:r>
        <w:rPr>
          <w:rFonts w:hint="eastAsia" w:ascii="宋体" w:hAnsi="宋体" w:eastAsia="宋体" w:cs="宋体"/>
          <w:b w:val="0"/>
          <w:bCs w:val="0"/>
          <w:sz w:val="24"/>
          <w:szCs w:val="22"/>
          <w:highlight w:val="none"/>
          <w:lang w:val="en-US" w:eastAsia="zh-CN"/>
        </w:rPr>
        <w:t>公司董事会密切关注公司的风险管理状况，结合公司战略规划和风险管理实际需要，</w:t>
      </w:r>
      <w:r>
        <w:rPr>
          <w:rFonts w:hint="eastAsia" w:ascii="宋体" w:hAnsi="宋体" w:eastAsia="宋体" w:cs="宋体"/>
          <w:b w:val="0"/>
          <w:bCs w:val="0"/>
          <w:sz w:val="24"/>
          <w:szCs w:val="24"/>
          <w:lang w:val="en-US" w:eastAsia="zh-CN"/>
        </w:rPr>
        <w:t>不断完善全面风险管理体系，</w:t>
      </w:r>
      <w:r>
        <w:rPr>
          <w:rFonts w:hint="eastAsia" w:ascii="宋体" w:hAnsi="宋体" w:eastAsia="宋体" w:cs="宋体"/>
          <w:sz w:val="24"/>
          <w:lang w:val="en-US" w:eastAsia="zh-CN"/>
        </w:rPr>
        <w:t>健全</w:t>
      </w:r>
      <w:r>
        <w:rPr>
          <w:rFonts w:hint="eastAsia" w:ascii="宋体" w:hAnsi="宋体" w:eastAsia="宋体" w:cs="宋体"/>
          <w:sz w:val="24"/>
        </w:rPr>
        <w:t>内控管理制度体系</w:t>
      </w:r>
      <w:r>
        <w:rPr>
          <w:rFonts w:hint="eastAsia" w:ascii="宋体" w:hAnsi="宋体" w:eastAsia="宋体" w:cs="宋体"/>
          <w:sz w:val="24"/>
          <w:lang w:eastAsia="zh-CN"/>
        </w:rPr>
        <w:t>。</w:t>
      </w:r>
      <w:r>
        <w:rPr>
          <w:rFonts w:hint="eastAsia" w:ascii="宋体" w:hAnsi="宋体" w:eastAsia="宋体" w:cs="宋体"/>
          <w:sz w:val="24"/>
          <w:lang w:val="en-US" w:eastAsia="zh-CN"/>
        </w:rPr>
        <w:t>2021年度，公司</w:t>
      </w:r>
      <w:r>
        <w:rPr>
          <w:rFonts w:hint="eastAsia" w:ascii="宋体" w:hAnsi="宋体" w:eastAsia="宋体" w:cs="宋体"/>
          <w:b w:val="0"/>
          <w:bCs w:val="0"/>
          <w:sz w:val="24"/>
          <w:szCs w:val="24"/>
          <w:lang w:val="en-US" w:eastAsia="zh-CN"/>
        </w:rPr>
        <w:t>遵循“风险管理创造价值、全覆盖、独立性、有效性、匹配性”的原则，</w:t>
      </w:r>
      <w:r>
        <w:rPr>
          <w:rFonts w:hint="eastAsia" w:ascii="宋体" w:hAnsi="宋体" w:eastAsia="宋体" w:cs="宋体"/>
          <w:sz w:val="24"/>
          <w:lang w:val="en-US" w:eastAsia="zh-CN"/>
        </w:rPr>
        <w:t>发布了全面风险管理政策，确立风险管理领域统领性制度，</w:t>
      </w:r>
      <w:r>
        <w:rPr>
          <w:rFonts w:hint="eastAsia" w:ascii="宋体" w:hAnsi="宋体" w:eastAsia="宋体" w:cs="宋体"/>
          <w:b w:val="0"/>
          <w:bCs w:val="0"/>
          <w:sz w:val="24"/>
          <w:szCs w:val="24"/>
          <w:lang w:val="en-US" w:eastAsia="zh-CN"/>
        </w:rPr>
        <w:t>改进信用风险等传统风险的管理流程，全面落实全流程风险管理，提高风险管控效率；制定恢复计划及处置计划建议，不断强化公司审慎经营意识；开展分支机构合规管理现场督导检查，进一步规范诉讼（仲裁）案件台账和行政处罚信息报送工作；持续加强对员工的内控合规管理，有计划、有组织地对全体员工开展不同层级和不同项目的合规培训，将合规履职考核结果纳入相关员工绩效考核范畴。</w:t>
      </w:r>
    </w:p>
    <w:p>
      <w:pPr>
        <w:keepNext w:val="0"/>
        <w:keepLines w:val="0"/>
        <w:pageBreakBefore w:val="0"/>
        <w:widowControl w:val="0"/>
        <w:kinsoku/>
        <w:wordWrap/>
        <w:overflowPunct/>
        <w:topLinePunct w:val="0"/>
        <w:autoSpaceDE/>
        <w:autoSpaceDN/>
        <w:bidi w:val="0"/>
        <w:adjustRightInd/>
        <w:snapToGrid w:val="0"/>
        <w:spacing w:line="360" w:lineRule="auto"/>
        <w:ind w:left="0" w:firstLine="482" w:firstLineChars="200"/>
        <w:textAlignment w:val="auto"/>
        <w:rPr>
          <w:rFonts w:hint="eastAsia" w:ascii="宋体" w:hAnsi="宋体" w:eastAsia="宋体" w:cs="宋体"/>
          <w:sz w:val="24"/>
          <w:szCs w:val="22"/>
          <w:highlight w:val="none"/>
          <w:lang w:val="en-US" w:eastAsia="zh-CN"/>
        </w:rPr>
      </w:pPr>
      <w:r>
        <w:rPr>
          <w:rFonts w:hint="eastAsia" w:ascii="宋体" w:hAnsi="宋体" w:eastAsia="宋体" w:cs="宋体"/>
          <w:b/>
          <w:bCs/>
          <w:sz w:val="24"/>
          <w:szCs w:val="22"/>
          <w:highlight w:val="none"/>
          <w:lang w:val="en-US" w:eastAsia="zh-CN"/>
        </w:rPr>
        <w:t>二是授信管理规范高效。</w:t>
      </w:r>
      <w:r>
        <w:rPr>
          <w:rFonts w:hint="eastAsia" w:ascii="宋体" w:hAnsi="宋体" w:eastAsia="宋体" w:cs="宋体"/>
          <w:sz w:val="24"/>
          <w:szCs w:val="22"/>
          <w:highlight w:val="none"/>
          <w:lang w:val="en-US" w:eastAsia="zh-CN"/>
        </w:rPr>
        <w:t>2021年度，公司严格执行授信政策，把握信贷投向，支持实体经济，控制房地产领域贷款集中度，规范授信业务管理。逐步建设新一代信贷流程管理系统，将业务由线下审批升级为线上审批，提高业务审批时效。并充分运用大数据信息提升贷前、贷中、贷后环节，协助审查人员判断企业风险，提升工作效率。同时，成立供应链金融专业化评审团队，开通供应链金融业务绿色通道，建立优先审批机制。</w:t>
      </w:r>
      <w:r>
        <w:rPr>
          <w:rFonts w:hint="eastAsia" w:ascii="宋体" w:hAnsi="宋体" w:eastAsia="宋体" w:cs="宋体"/>
          <w:sz w:val="24"/>
          <w:szCs w:val="22"/>
          <w:highlight w:val="none"/>
          <w:lang w:val="en-US" w:eastAsia="zh-CN"/>
        </w:rPr>
        <w:tab/>
      </w:r>
    </w:p>
    <w:p>
      <w:pPr>
        <w:keepNext w:val="0"/>
        <w:keepLines w:val="0"/>
        <w:pageBreakBefore w:val="0"/>
        <w:widowControl w:val="0"/>
        <w:kinsoku/>
        <w:wordWrap/>
        <w:overflowPunct/>
        <w:topLinePunct w:val="0"/>
        <w:autoSpaceDE/>
        <w:autoSpaceDN/>
        <w:bidi w:val="0"/>
        <w:adjustRightInd/>
        <w:snapToGrid w:val="0"/>
        <w:spacing w:line="360" w:lineRule="auto"/>
        <w:ind w:left="0" w:firstLine="482" w:firstLineChars="200"/>
        <w:textAlignment w:val="auto"/>
        <w:rPr>
          <w:rFonts w:hint="eastAsia" w:ascii="宋体" w:hAnsi="宋体" w:eastAsia="宋体" w:cs="宋体"/>
          <w:sz w:val="24"/>
          <w:szCs w:val="22"/>
          <w:highlight w:val="none"/>
          <w:lang w:val="en-US" w:eastAsia="zh-CN"/>
        </w:rPr>
      </w:pPr>
      <w:r>
        <w:rPr>
          <w:rFonts w:hint="eastAsia" w:ascii="宋体" w:hAnsi="宋体" w:eastAsia="宋体" w:cs="宋体"/>
          <w:b/>
          <w:bCs/>
          <w:sz w:val="24"/>
          <w:szCs w:val="22"/>
          <w:highlight w:val="none"/>
          <w:lang w:val="en-US" w:eastAsia="zh-CN"/>
        </w:rPr>
        <w:t>三是审计监督扎实有效。</w:t>
      </w:r>
      <w:r>
        <w:rPr>
          <w:rFonts w:hint="eastAsia" w:ascii="宋体" w:hAnsi="宋体" w:eastAsia="宋体" w:cs="宋体"/>
          <w:b w:val="0"/>
          <w:bCs w:val="0"/>
          <w:sz w:val="24"/>
          <w:szCs w:val="22"/>
          <w:highlight w:val="none"/>
          <w:lang w:val="en-US" w:eastAsia="zh-CN"/>
        </w:rPr>
        <w:t>董事会充分发挥内部审计的职能作用，</w:t>
      </w:r>
      <w:r>
        <w:rPr>
          <w:rFonts w:hint="eastAsia" w:ascii="宋体" w:hAnsi="宋体" w:eastAsia="宋体" w:cs="宋体"/>
          <w:sz w:val="24"/>
          <w:szCs w:val="22"/>
          <w:highlight w:val="none"/>
          <w:lang w:val="en-US" w:eastAsia="zh-CN"/>
        </w:rPr>
        <w:t>积极组织开展专项业务审计，</w:t>
      </w:r>
      <w:r>
        <w:rPr>
          <w:rFonts w:hint="eastAsia" w:ascii="宋体" w:hAnsi="宋体" w:eastAsia="宋体" w:cs="宋体"/>
          <w:sz w:val="24"/>
        </w:rPr>
        <w:t>推动</w:t>
      </w:r>
      <w:r>
        <w:rPr>
          <w:rFonts w:hint="eastAsia" w:ascii="宋体" w:hAnsi="宋体" w:eastAsia="宋体" w:cs="宋体"/>
          <w:sz w:val="24"/>
          <w:lang w:val="en-US" w:eastAsia="zh-CN"/>
        </w:rPr>
        <w:t>公司</w:t>
      </w:r>
      <w:r>
        <w:rPr>
          <w:rFonts w:hint="eastAsia" w:ascii="宋体" w:hAnsi="宋体" w:eastAsia="宋体" w:cs="宋体"/>
          <w:sz w:val="24"/>
        </w:rPr>
        <w:t>合规文化建设、提升内控管理水平</w:t>
      </w:r>
      <w:r>
        <w:rPr>
          <w:rFonts w:hint="eastAsia" w:ascii="宋体" w:hAnsi="宋体" w:eastAsia="宋体" w:cs="宋体"/>
          <w:sz w:val="24"/>
          <w:lang w:eastAsia="zh-CN"/>
        </w:rPr>
        <w:t>。</w:t>
      </w:r>
      <w:r>
        <w:rPr>
          <w:rFonts w:hint="eastAsia" w:ascii="宋体" w:hAnsi="宋体" w:eastAsia="宋体" w:cs="宋体"/>
          <w:sz w:val="24"/>
          <w:lang w:val="en-US" w:eastAsia="zh-CN"/>
        </w:rPr>
        <w:t>2021年，就公司治理、风险管理、数据治理、业务全流程及分行内控管理等审计项目开展了共计13项34次，持续强化对内外部检查发现问题的整改跟踪，推进审计成果转化运用。组织开展8项业务自查，加强内部监督协同配合，</w:t>
      </w:r>
      <w:r>
        <w:rPr>
          <w:rFonts w:hint="eastAsia" w:ascii="宋体" w:hAnsi="宋体" w:eastAsia="宋体" w:cs="宋体"/>
          <w:sz w:val="24"/>
          <w:szCs w:val="22"/>
          <w:highlight w:val="none"/>
          <w:lang w:val="en-US" w:eastAsia="zh-CN"/>
        </w:rPr>
        <w:t>发挥</w:t>
      </w:r>
      <w:r>
        <w:rPr>
          <w:rFonts w:hint="eastAsia" w:ascii="宋体" w:hAnsi="宋体" w:eastAsia="宋体" w:cs="宋体"/>
          <w:sz w:val="24"/>
          <w:szCs w:val="22"/>
          <w:highlight w:val="none"/>
          <w:lang w:val="zh-CN" w:eastAsia="zh-CN"/>
        </w:rPr>
        <w:t>各道内控防线</w:t>
      </w:r>
      <w:r>
        <w:rPr>
          <w:rFonts w:hint="eastAsia" w:ascii="宋体" w:hAnsi="宋体" w:eastAsia="宋体" w:cs="宋体"/>
          <w:sz w:val="24"/>
          <w:szCs w:val="22"/>
          <w:highlight w:val="none"/>
          <w:lang w:val="en-US" w:eastAsia="zh-CN"/>
        </w:rPr>
        <w:t>合力作用。同时，创新打造科技审计辅助工具，实现了审计系统从无到有的过程，提升了非现场审计分析的效率。</w:t>
      </w:r>
    </w:p>
    <w:p>
      <w:pPr>
        <w:pStyle w:val="23"/>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0" w:firstLine="482" w:firstLineChars="200"/>
        <w:jc w:val="left"/>
        <w:textAlignment w:val="auto"/>
        <w:rPr>
          <w:rFonts w:hint="eastAsia" w:ascii="宋体" w:hAnsi="宋体" w:eastAsia="宋体" w:cs="宋体"/>
          <w:kern w:val="2"/>
          <w:sz w:val="24"/>
          <w:szCs w:val="22"/>
          <w:highlight w:val="none"/>
          <w:lang w:val="en-US" w:eastAsia="zh-CN" w:bidi="ar-SA"/>
        </w:rPr>
      </w:pPr>
      <w:r>
        <w:rPr>
          <w:rFonts w:hint="eastAsia" w:ascii="宋体" w:hAnsi="宋体" w:eastAsia="宋体" w:cs="宋体"/>
          <w:b/>
          <w:bCs/>
          <w:sz w:val="24"/>
          <w:szCs w:val="22"/>
          <w:highlight w:val="none"/>
          <w:lang w:val="en-US" w:eastAsia="zh-CN"/>
        </w:rPr>
        <w:t>四是加强关联交易管理。</w:t>
      </w:r>
      <w:r>
        <w:rPr>
          <w:rFonts w:hint="eastAsia" w:ascii="宋体" w:hAnsi="宋体" w:eastAsia="宋体" w:cs="宋体"/>
          <w:kern w:val="2"/>
          <w:sz w:val="24"/>
          <w:szCs w:val="22"/>
          <w:highlight w:val="none"/>
          <w:lang w:val="zh-CN" w:eastAsia="zh-CN" w:bidi="ar-SA"/>
        </w:rPr>
        <w:t>202</w:t>
      </w:r>
      <w:r>
        <w:rPr>
          <w:rFonts w:hint="eastAsia" w:ascii="宋体" w:hAnsi="宋体" w:eastAsia="宋体" w:cs="宋体"/>
          <w:kern w:val="2"/>
          <w:sz w:val="24"/>
          <w:szCs w:val="22"/>
          <w:highlight w:val="none"/>
          <w:lang w:val="en-US" w:eastAsia="zh-CN" w:bidi="ar-SA"/>
        </w:rPr>
        <w:t>1</w:t>
      </w:r>
      <w:r>
        <w:rPr>
          <w:rFonts w:hint="eastAsia" w:ascii="宋体" w:hAnsi="宋体" w:eastAsia="宋体" w:cs="宋体"/>
          <w:kern w:val="2"/>
          <w:sz w:val="24"/>
          <w:szCs w:val="22"/>
          <w:highlight w:val="none"/>
          <w:lang w:val="zh-CN" w:eastAsia="zh-CN" w:bidi="ar-SA"/>
        </w:rPr>
        <w:t>年</w:t>
      </w:r>
      <w:r>
        <w:rPr>
          <w:rFonts w:hint="eastAsia" w:ascii="宋体" w:hAnsi="宋体" w:eastAsia="宋体" w:cs="宋体"/>
          <w:kern w:val="2"/>
          <w:sz w:val="24"/>
          <w:szCs w:val="22"/>
          <w:highlight w:val="none"/>
          <w:lang w:val="en-US" w:eastAsia="zh-CN" w:bidi="ar-SA"/>
        </w:rPr>
        <w:t>度</w:t>
      </w:r>
      <w:r>
        <w:rPr>
          <w:rFonts w:hint="eastAsia" w:ascii="宋体" w:hAnsi="宋体" w:eastAsia="宋体" w:cs="宋体"/>
          <w:kern w:val="2"/>
          <w:sz w:val="24"/>
          <w:szCs w:val="22"/>
          <w:highlight w:val="none"/>
          <w:lang w:val="zh-CN" w:eastAsia="zh-CN" w:bidi="ar-SA"/>
        </w:rPr>
        <w:t>，</w:t>
      </w:r>
      <w:r>
        <w:rPr>
          <w:rFonts w:hint="eastAsia" w:ascii="宋体" w:hAnsi="宋体" w:eastAsia="宋体" w:cs="宋体"/>
          <w:kern w:val="2"/>
          <w:sz w:val="24"/>
          <w:szCs w:val="22"/>
          <w:highlight w:val="none"/>
          <w:lang w:val="en-US" w:eastAsia="zh-CN" w:bidi="ar-SA"/>
        </w:rPr>
        <w:t>董事会始终重视公司关联交易管理水平，推动公司进一步强化关联方信息收集、完善关联方名单、关联交易数据监测、报表报送等，完成关联交易管理系统开发并上线试运行，切实控制关联交易风险。</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2" w:firstLineChars="200"/>
        <w:jc w:val="left"/>
        <w:textAlignment w:val="auto"/>
        <w:rPr>
          <w:rFonts w:hint="eastAsia" w:ascii="宋体" w:hAnsi="宋体" w:eastAsia="宋体" w:cs="宋体"/>
          <w:b/>
          <w:kern w:val="0"/>
          <w:sz w:val="24"/>
          <w:highlight w:val="none"/>
          <w:lang w:val="en-US"/>
        </w:rPr>
      </w:pPr>
      <w:r>
        <w:rPr>
          <w:rFonts w:hint="eastAsia" w:ascii="宋体" w:hAnsi="宋体" w:eastAsia="宋体" w:cs="宋体"/>
          <w:b/>
          <w:kern w:val="0"/>
          <w:sz w:val="24"/>
          <w:szCs w:val="22"/>
          <w:highlight w:val="none"/>
          <w:lang w:val="en-US" w:eastAsia="zh-CN"/>
        </w:rPr>
        <w:t>（六）规范开展信息披露，有效维护投资者权益</w:t>
      </w:r>
    </w:p>
    <w:p>
      <w:pPr>
        <w:pStyle w:val="23"/>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0" w:firstLine="482" w:firstLineChars="200"/>
        <w:jc w:val="left"/>
        <w:textAlignment w:val="auto"/>
        <w:rPr>
          <w:rFonts w:hint="eastAsia" w:ascii="宋体" w:hAnsi="宋体" w:eastAsia="宋体" w:cs="宋体"/>
          <w:kern w:val="2"/>
          <w:sz w:val="24"/>
          <w:szCs w:val="22"/>
          <w:highlight w:val="none"/>
          <w:lang w:val="zh-CN" w:eastAsia="zh-CN" w:bidi="ar-SA"/>
        </w:rPr>
      </w:pPr>
      <w:r>
        <w:rPr>
          <w:rFonts w:hint="eastAsia" w:ascii="宋体" w:hAnsi="宋体" w:eastAsia="宋体" w:cs="宋体"/>
          <w:b/>
          <w:bCs/>
          <w:kern w:val="2"/>
          <w:sz w:val="24"/>
          <w:szCs w:val="22"/>
          <w:highlight w:val="none"/>
          <w:lang w:val="zh-CN" w:eastAsia="zh-CN" w:bidi="ar-SA"/>
        </w:rPr>
        <w:t>一是不断提升信息披露质量。</w:t>
      </w:r>
      <w:r>
        <w:rPr>
          <w:rFonts w:hint="eastAsia" w:ascii="宋体" w:hAnsi="宋体" w:eastAsia="宋体" w:cs="宋体"/>
          <w:kern w:val="2"/>
          <w:sz w:val="24"/>
          <w:szCs w:val="22"/>
          <w:highlight w:val="none"/>
          <w:lang w:val="zh-CN" w:eastAsia="zh-CN" w:bidi="ar-SA"/>
        </w:rPr>
        <w:t>公司持续完善信息披露制度体系建设，优化信息披露运行机制，遵循真实、准确、完整、及时和公平的原则，依法合规编制信息披露公告，2021年在</w:t>
      </w:r>
      <w:r>
        <w:rPr>
          <w:rFonts w:hint="eastAsia" w:ascii="宋体" w:hAnsi="宋体" w:eastAsia="宋体" w:cs="宋体"/>
          <w:kern w:val="2"/>
          <w:sz w:val="24"/>
          <w:szCs w:val="22"/>
          <w:highlight w:val="none"/>
          <w:lang w:val="en-US" w:eastAsia="zh-CN" w:bidi="ar-SA"/>
        </w:rPr>
        <w:t>上交所</w:t>
      </w:r>
      <w:r>
        <w:rPr>
          <w:rFonts w:hint="eastAsia" w:ascii="宋体" w:hAnsi="宋体" w:eastAsia="宋体" w:cs="宋体"/>
          <w:kern w:val="2"/>
          <w:sz w:val="24"/>
          <w:szCs w:val="22"/>
          <w:highlight w:val="none"/>
          <w:lang w:val="zh-CN" w:eastAsia="zh-CN" w:bidi="ar-SA"/>
        </w:rPr>
        <w:t>网站及《中国证券报》《上海证券报》《证券时报》《证券日报》等媒体披露78份文件，内容包括定期报告、临时公告、公司治理文件等，信息披露的全面性、及时性、有效性、主动性不断提升。</w:t>
      </w:r>
    </w:p>
    <w:p>
      <w:pPr>
        <w:pStyle w:val="23"/>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0" w:firstLine="482" w:firstLineChars="200"/>
        <w:jc w:val="left"/>
        <w:textAlignment w:val="auto"/>
        <w:rPr>
          <w:rFonts w:hint="eastAsia" w:ascii="宋体" w:hAnsi="宋体" w:eastAsia="宋体" w:cs="宋体"/>
          <w:kern w:val="2"/>
          <w:sz w:val="24"/>
          <w:szCs w:val="22"/>
          <w:highlight w:val="none"/>
          <w:lang w:val="zh-CN" w:eastAsia="zh-CN" w:bidi="ar-SA"/>
        </w:rPr>
      </w:pPr>
      <w:r>
        <w:rPr>
          <w:rFonts w:hint="eastAsia" w:ascii="宋体" w:hAnsi="宋体" w:eastAsia="宋体" w:cs="宋体"/>
          <w:b/>
          <w:bCs/>
          <w:kern w:val="2"/>
          <w:sz w:val="24"/>
          <w:szCs w:val="22"/>
          <w:highlight w:val="none"/>
          <w:lang w:val="en-US" w:eastAsia="zh-CN" w:bidi="ar-SA"/>
        </w:rPr>
        <w:t>二是持续优化投资者关系管理。</w:t>
      </w:r>
      <w:r>
        <w:rPr>
          <w:rFonts w:hint="eastAsia" w:ascii="宋体" w:hAnsi="宋体" w:eastAsia="宋体" w:cs="宋体"/>
          <w:kern w:val="2"/>
          <w:sz w:val="24"/>
          <w:szCs w:val="22"/>
          <w:highlight w:val="none"/>
          <w:lang w:val="en-US" w:eastAsia="zh-CN" w:bidi="ar-SA"/>
        </w:rPr>
        <w:t>公司持续加强投资者关系管理，不断推进工作机制建设。设立投资者邮箱和投资者热线，及时回复E互动平台投资者提问，举办了业绩说明会，保持与投资者的有效沟通。同时，不定期举办投资者调研活动，实现与资本市场的良好互动</w:t>
      </w:r>
      <w:r>
        <w:rPr>
          <w:rFonts w:hint="eastAsia" w:ascii="宋体" w:hAnsi="宋体" w:eastAsia="宋体" w:cs="宋体"/>
          <w:kern w:val="2"/>
          <w:sz w:val="24"/>
          <w:szCs w:val="22"/>
          <w:highlight w:val="none"/>
          <w:lang w:val="zh-CN" w:eastAsia="zh-CN" w:bidi="ar-SA"/>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2" w:firstLineChars="200"/>
        <w:jc w:val="left"/>
        <w:textAlignment w:val="auto"/>
        <w:rPr>
          <w:rFonts w:hint="eastAsia" w:ascii="宋体" w:hAnsi="宋体" w:eastAsia="宋体" w:cs="宋体"/>
          <w:b/>
          <w:kern w:val="0"/>
          <w:sz w:val="24"/>
          <w:szCs w:val="22"/>
          <w:lang w:val="en-US" w:eastAsia="zh-CN"/>
        </w:rPr>
      </w:pPr>
      <w:r>
        <w:rPr>
          <w:rFonts w:hint="eastAsia" w:ascii="宋体" w:hAnsi="宋体" w:eastAsia="宋体" w:cs="宋体"/>
          <w:b/>
          <w:kern w:val="0"/>
          <w:sz w:val="24"/>
          <w:szCs w:val="22"/>
          <w:lang w:val="en-US" w:eastAsia="zh-CN"/>
        </w:rPr>
        <w:t>（七）积极践行社会责任，树立企业品牌形象</w:t>
      </w:r>
    </w:p>
    <w:p>
      <w:pPr>
        <w:keepNext w:val="0"/>
        <w:keepLines w:val="0"/>
        <w:pageBreakBefore w:val="0"/>
        <w:widowControl w:val="0"/>
        <w:kinsoku/>
        <w:wordWrap/>
        <w:overflowPunct/>
        <w:topLinePunct w:val="0"/>
        <w:bidi w:val="0"/>
        <w:snapToGrid w:val="0"/>
        <w:spacing w:line="360" w:lineRule="auto"/>
        <w:ind w:left="0" w:firstLine="482" w:firstLineChars="200"/>
        <w:textAlignment w:val="auto"/>
        <w:rPr>
          <w:rFonts w:hint="eastAsia" w:ascii="宋体" w:hAnsi="宋体" w:eastAsia="宋体" w:cs="宋体"/>
          <w:b w:val="0"/>
          <w:bCs w:val="0"/>
          <w:kern w:val="2"/>
          <w:sz w:val="24"/>
          <w:szCs w:val="22"/>
          <w:lang w:val="en-US" w:eastAsia="zh-CN" w:bidi="ar-SA"/>
        </w:rPr>
      </w:pPr>
      <w:r>
        <w:rPr>
          <w:rFonts w:hint="eastAsia" w:ascii="宋体" w:hAnsi="宋体" w:eastAsia="宋体" w:cs="宋体"/>
          <w:b/>
          <w:bCs/>
          <w:kern w:val="2"/>
          <w:sz w:val="24"/>
          <w:szCs w:val="22"/>
          <w:lang w:val="zh-CN" w:eastAsia="zh-CN" w:bidi="ar-SA"/>
        </w:rPr>
        <w:t>一是助力</w:t>
      </w:r>
      <w:r>
        <w:rPr>
          <w:rFonts w:hint="eastAsia" w:ascii="宋体" w:hAnsi="宋体" w:eastAsia="宋体" w:cs="宋体"/>
          <w:b/>
          <w:bCs/>
          <w:kern w:val="2"/>
          <w:sz w:val="24"/>
          <w:szCs w:val="22"/>
          <w:lang w:val="en-US" w:eastAsia="zh-CN" w:bidi="ar-SA"/>
        </w:rPr>
        <w:t>打赢</w:t>
      </w:r>
      <w:r>
        <w:rPr>
          <w:rFonts w:hint="eastAsia" w:ascii="宋体" w:hAnsi="宋体" w:eastAsia="宋体" w:cs="宋体"/>
          <w:b/>
          <w:bCs/>
          <w:kern w:val="2"/>
          <w:sz w:val="24"/>
          <w:szCs w:val="22"/>
          <w:lang w:val="zh-CN" w:eastAsia="zh-CN" w:bidi="ar-SA"/>
        </w:rPr>
        <w:t>疫情</w:t>
      </w:r>
      <w:r>
        <w:rPr>
          <w:rFonts w:hint="eastAsia" w:ascii="宋体" w:hAnsi="宋体" w:eastAsia="宋体" w:cs="宋体"/>
          <w:b/>
          <w:bCs/>
          <w:kern w:val="2"/>
          <w:sz w:val="24"/>
          <w:szCs w:val="22"/>
          <w:lang w:val="en-US" w:eastAsia="zh-CN" w:bidi="ar-SA"/>
        </w:rPr>
        <w:t>歼灭战</w:t>
      </w:r>
      <w:r>
        <w:rPr>
          <w:rFonts w:hint="eastAsia" w:ascii="宋体" w:hAnsi="宋体" w:eastAsia="宋体" w:cs="宋体"/>
          <w:b/>
          <w:bCs/>
          <w:kern w:val="2"/>
          <w:sz w:val="24"/>
          <w:szCs w:val="22"/>
          <w:lang w:val="zh-CN" w:eastAsia="zh-CN" w:bidi="ar-SA"/>
        </w:rPr>
        <w:t>。</w:t>
      </w:r>
      <w:r>
        <w:rPr>
          <w:rFonts w:hint="eastAsia" w:ascii="宋体" w:hAnsi="宋体" w:eastAsia="宋体" w:cs="宋体"/>
          <w:b w:val="0"/>
          <w:bCs w:val="0"/>
          <w:kern w:val="2"/>
          <w:sz w:val="24"/>
          <w:szCs w:val="22"/>
          <w:lang w:val="en-US" w:eastAsia="zh-CN" w:bidi="ar-SA"/>
        </w:rPr>
        <w:t>2021年</w:t>
      </w:r>
      <w:r>
        <w:rPr>
          <w:rFonts w:hint="eastAsia" w:ascii="宋体" w:hAnsi="宋体" w:eastAsia="宋体" w:cs="宋体"/>
          <w:kern w:val="2"/>
          <w:sz w:val="24"/>
          <w:szCs w:val="22"/>
          <w:highlight w:val="none"/>
          <w:lang w:val="en-US" w:eastAsia="zh-CN" w:bidi="ar-SA"/>
        </w:rPr>
        <w:t>度</w:t>
      </w:r>
      <w:r>
        <w:rPr>
          <w:rFonts w:hint="eastAsia" w:ascii="宋体" w:hAnsi="宋体" w:eastAsia="宋体" w:cs="宋体"/>
          <w:b w:val="0"/>
          <w:bCs w:val="0"/>
          <w:kern w:val="2"/>
          <w:sz w:val="24"/>
          <w:szCs w:val="22"/>
          <w:lang w:val="en-US" w:eastAsia="zh-CN" w:bidi="ar-SA"/>
        </w:rPr>
        <w:t>，面对此起彼伏的疫情，公司</w:t>
      </w:r>
      <w:r>
        <w:rPr>
          <w:rFonts w:hint="eastAsia" w:ascii="宋体" w:hAnsi="宋体" w:eastAsia="宋体" w:cs="宋体"/>
          <w:b w:val="0"/>
          <w:bCs w:val="0"/>
          <w:kern w:val="2"/>
          <w:sz w:val="24"/>
          <w:szCs w:val="22"/>
          <w:lang w:val="zh-CN" w:eastAsia="zh-CN" w:bidi="ar-SA"/>
        </w:rPr>
        <w:t>凝心聚力，快速行动</w:t>
      </w:r>
      <w:r>
        <w:rPr>
          <w:rFonts w:hint="eastAsia" w:ascii="宋体" w:hAnsi="宋体" w:eastAsia="宋体" w:cs="宋体"/>
          <w:b w:val="0"/>
          <w:bCs w:val="0"/>
          <w:kern w:val="2"/>
          <w:sz w:val="24"/>
          <w:szCs w:val="22"/>
          <w:lang w:val="en-US" w:eastAsia="zh-CN" w:bidi="ar-SA"/>
        </w:rPr>
        <w:t>，</w:t>
      </w:r>
      <w:r>
        <w:rPr>
          <w:rFonts w:hint="eastAsia" w:ascii="宋体" w:hAnsi="宋体" w:eastAsia="宋体" w:cs="宋体"/>
          <w:b w:val="0"/>
          <w:bCs w:val="0"/>
          <w:kern w:val="2"/>
          <w:sz w:val="24"/>
          <w:szCs w:val="22"/>
          <w:lang w:val="zh-CN" w:eastAsia="zh-CN" w:bidi="ar-SA"/>
        </w:rPr>
        <w:t>迅速组建起“抗疫青年突击队”驰援同安抗疫一线，</w:t>
      </w:r>
      <w:r>
        <w:rPr>
          <w:rFonts w:hint="eastAsia" w:ascii="宋体" w:hAnsi="宋体" w:eastAsia="宋体" w:cs="宋体"/>
          <w:b w:val="0"/>
          <w:bCs w:val="0"/>
          <w:kern w:val="2"/>
          <w:sz w:val="24"/>
          <w:szCs w:val="22"/>
          <w:lang w:val="en-US" w:eastAsia="zh-CN" w:bidi="ar-SA"/>
        </w:rPr>
        <w:t>协助</w:t>
      </w:r>
      <w:r>
        <w:rPr>
          <w:rFonts w:hint="eastAsia" w:ascii="宋体" w:hAnsi="宋体" w:eastAsia="宋体" w:cs="宋体"/>
          <w:b w:val="0"/>
          <w:bCs w:val="0"/>
          <w:kern w:val="2"/>
          <w:sz w:val="24"/>
          <w:szCs w:val="22"/>
          <w:lang w:val="zh-CN" w:eastAsia="zh-CN" w:bidi="ar-SA"/>
        </w:rPr>
        <w:t>社区分时分段驻扎执勤点，</w:t>
      </w:r>
      <w:r>
        <w:rPr>
          <w:rFonts w:hint="eastAsia" w:ascii="宋体" w:hAnsi="宋体" w:eastAsia="宋体" w:cs="宋体"/>
          <w:b w:val="0"/>
          <w:bCs w:val="0"/>
          <w:kern w:val="2"/>
          <w:sz w:val="24"/>
          <w:szCs w:val="22"/>
          <w:lang w:val="en-US" w:eastAsia="zh-CN" w:bidi="ar-SA"/>
        </w:rPr>
        <w:t>进行</w:t>
      </w:r>
      <w:r>
        <w:rPr>
          <w:rFonts w:hint="eastAsia" w:ascii="宋体" w:hAnsi="宋体" w:eastAsia="宋体" w:cs="宋体"/>
          <w:b w:val="0"/>
          <w:bCs w:val="0"/>
          <w:kern w:val="2"/>
          <w:sz w:val="24"/>
          <w:szCs w:val="22"/>
          <w:lang w:val="zh-CN" w:eastAsia="zh-CN" w:bidi="ar-SA"/>
        </w:rPr>
        <w:t>体温测量、通行证、行程码检查、</w:t>
      </w:r>
      <w:r>
        <w:rPr>
          <w:rFonts w:hint="eastAsia" w:ascii="宋体" w:hAnsi="宋体" w:eastAsia="宋体" w:cs="宋体"/>
          <w:b w:val="0"/>
          <w:bCs w:val="0"/>
          <w:kern w:val="2"/>
          <w:sz w:val="24"/>
          <w:szCs w:val="22"/>
          <w:lang w:val="en-US" w:eastAsia="zh-CN" w:bidi="ar-SA"/>
        </w:rPr>
        <w:t>做好</w:t>
      </w:r>
      <w:r>
        <w:rPr>
          <w:rFonts w:hint="eastAsia" w:ascii="宋体" w:hAnsi="宋体" w:eastAsia="宋体" w:cs="宋体"/>
          <w:b w:val="0"/>
          <w:bCs w:val="0"/>
          <w:kern w:val="2"/>
          <w:sz w:val="24"/>
          <w:szCs w:val="22"/>
          <w:lang w:val="zh-CN" w:eastAsia="zh-CN" w:bidi="ar-SA"/>
        </w:rPr>
        <w:t>疫情防控宣传、排查、维稳等工作，</w:t>
      </w:r>
      <w:r>
        <w:rPr>
          <w:rFonts w:hint="eastAsia" w:ascii="宋体" w:hAnsi="宋体" w:eastAsia="宋体" w:cs="宋体"/>
          <w:b w:val="0"/>
          <w:bCs w:val="0"/>
          <w:kern w:val="2"/>
          <w:sz w:val="24"/>
          <w:szCs w:val="22"/>
          <w:lang w:val="en-US" w:eastAsia="zh-CN" w:bidi="ar-SA"/>
        </w:rPr>
        <w:t>为打赢疫情防控歼灭战贡献力量。</w:t>
      </w:r>
    </w:p>
    <w:p>
      <w:pPr>
        <w:keepNext w:val="0"/>
        <w:keepLines w:val="0"/>
        <w:pageBreakBefore w:val="0"/>
        <w:widowControl w:val="0"/>
        <w:kinsoku/>
        <w:wordWrap/>
        <w:overflowPunct/>
        <w:topLinePunct w:val="0"/>
        <w:bidi w:val="0"/>
        <w:snapToGrid w:val="0"/>
        <w:spacing w:line="360" w:lineRule="auto"/>
        <w:ind w:left="0" w:firstLine="482" w:firstLineChars="200"/>
        <w:textAlignment w:val="auto"/>
        <w:rPr>
          <w:rFonts w:hint="eastAsia" w:ascii="宋体" w:hAnsi="宋体" w:eastAsia="宋体" w:cs="宋体"/>
          <w:b/>
          <w:bCs/>
          <w:kern w:val="2"/>
          <w:sz w:val="24"/>
          <w:szCs w:val="22"/>
          <w:lang w:val="zh-CN" w:eastAsia="zh-CN" w:bidi="ar-SA"/>
        </w:rPr>
      </w:pPr>
      <w:r>
        <w:rPr>
          <w:rFonts w:hint="eastAsia" w:ascii="宋体" w:hAnsi="宋体" w:eastAsia="宋体" w:cs="宋体"/>
          <w:b/>
          <w:bCs/>
          <w:kern w:val="2"/>
          <w:sz w:val="24"/>
          <w:szCs w:val="22"/>
          <w:lang w:val="zh-CN" w:eastAsia="zh-CN" w:bidi="ar-SA"/>
        </w:rPr>
        <w:t>二是</w:t>
      </w:r>
      <w:r>
        <w:rPr>
          <w:rFonts w:hint="eastAsia" w:ascii="宋体" w:hAnsi="宋体" w:eastAsia="宋体" w:cs="宋体"/>
          <w:b/>
          <w:bCs/>
          <w:kern w:val="2"/>
          <w:sz w:val="24"/>
          <w:szCs w:val="22"/>
          <w:lang w:val="en-US" w:eastAsia="zh-CN" w:bidi="ar-SA"/>
        </w:rPr>
        <w:t>为社会公益奉献力量</w:t>
      </w:r>
      <w:r>
        <w:rPr>
          <w:rFonts w:hint="eastAsia" w:ascii="宋体" w:hAnsi="宋体" w:eastAsia="宋体" w:cs="宋体"/>
          <w:b/>
          <w:bCs/>
          <w:kern w:val="2"/>
          <w:sz w:val="24"/>
          <w:szCs w:val="22"/>
          <w:lang w:val="zh-CN" w:eastAsia="zh-CN" w:bidi="ar-SA"/>
        </w:rPr>
        <w:t>。</w:t>
      </w:r>
      <w:r>
        <w:rPr>
          <w:rFonts w:hint="eastAsia" w:ascii="宋体" w:hAnsi="宋体" w:eastAsia="宋体" w:cs="宋体"/>
          <w:b w:val="0"/>
          <w:bCs w:val="0"/>
          <w:kern w:val="2"/>
          <w:sz w:val="24"/>
          <w:szCs w:val="22"/>
          <w:lang w:val="en-US" w:eastAsia="zh-CN" w:bidi="ar-SA"/>
        </w:rPr>
        <w:t>2021年</w:t>
      </w:r>
      <w:r>
        <w:rPr>
          <w:rFonts w:hint="eastAsia" w:ascii="宋体" w:hAnsi="宋体" w:eastAsia="宋体" w:cs="宋体"/>
          <w:kern w:val="2"/>
          <w:sz w:val="24"/>
          <w:szCs w:val="22"/>
          <w:highlight w:val="none"/>
          <w:lang w:val="en-US" w:eastAsia="zh-CN" w:bidi="ar-SA"/>
        </w:rPr>
        <w:t>度</w:t>
      </w:r>
      <w:r>
        <w:rPr>
          <w:rFonts w:hint="eastAsia" w:ascii="宋体" w:hAnsi="宋体" w:eastAsia="宋体" w:cs="宋体"/>
          <w:b w:val="0"/>
          <w:bCs w:val="0"/>
          <w:kern w:val="2"/>
          <w:sz w:val="24"/>
          <w:szCs w:val="22"/>
          <w:lang w:val="en-US" w:eastAsia="zh-CN" w:bidi="ar-SA"/>
        </w:rPr>
        <w:t>，公司通过“金融知识宣传月”及各类社会公益活动，开展职工志愿者服务活动；深化结对共建，认真落实“爱心厦门”、金融扶贫、消费扶贫、“向日葵”微公益等结对共建；深耕“手拉手”爱心服务站建设，持续升级31个服务站的服务内容，鼓励各分支网点建设“手拉手”爱心服务站，践行服务共享理念；</w:t>
      </w:r>
      <w:r>
        <w:rPr>
          <w:rFonts w:hint="eastAsia" w:ascii="宋体" w:hAnsi="宋体" w:eastAsia="宋体" w:cs="宋体"/>
          <w:kern w:val="2"/>
          <w:sz w:val="24"/>
          <w:szCs w:val="22"/>
          <w:lang w:val="en-US" w:eastAsia="zh-CN" w:bidi="ar-SA"/>
        </w:rPr>
        <w:t>再次向老年基金会捐赠100万元，近年来已累计捐赠900万元；举办第十一届“赠人玫瑰，手留余香”无偿献血活动，并合计献血超20000毫升，为爱心厦门建设做出贡献。</w:t>
      </w:r>
    </w:p>
    <w:p>
      <w:pPr>
        <w:keepNext w:val="0"/>
        <w:keepLines w:val="0"/>
        <w:pageBreakBefore w:val="0"/>
        <w:widowControl w:val="0"/>
        <w:kinsoku/>
        <w:wordWrap/>
        <w:overflowPunct/>
        <w:topLinePunct w:val="0"/>
        <w:bidi w:val="0"/>
        <w:snapToGrid w:val="0"/>
        <w:spacing w:line="360" w:lineRule="auto"/>
        <w:ind w:left="0" w:firstLine="482" w:firstLineChars="200"/>
        <w:textAlignment w:val="auto"/>
        <w:rPr>
          <w:rFonts w:hint="eastAsia" w:ascii="宋体" w:hAnsi="宋体" w:eastAsia="宋体" w:cs="宋体"/>
          <w:b w:val="0"/>
          <w:bCs w:val="0"/>
          <w:kern w:val="2"/>
          <w:sz w:val="24"/>
          <w:szCs w:val="22"/>
          <w:lang w:val="en-US" w:eastAsia="zh-CN" w:bidi="ar-SA"/>
        </w:rPr>
      </w:pPr>
      <w:r>
        <w:rPr>
          <w:rFonts w:hint="eastAsia" w:ascii="宋体" w:hAnsi="宋体" w:eastAsia="宋体" w:cs="宋体"/>
          <w:b/>
          <w:bCs/>
          <w:kern w:val="2"/>
          <w:sz w:val="24"/>
          <w:szCs w:val="22"/>
          <w:lang w:val="zh-CN" w:eastAsia="zh-CN" w:bidi="ar-SA"/>
        </w:rPr>
        <w:t>三是</w:t>
      </w:r>
      <w:r>
        <w:rPr>
          <w:rFonts w:hint="eastAsia" w:ascii="宋体" w:hAnsi="宋体" w:eastAsia="宋体" w:cs="宋体"/>
          <w:b/>
          <w:bCs/>
          <w:kern w:val="2"/>
          <w:sz w:val="24"/>
          <w:szCs w:val="22"/>
          <w:lang w:val="en-US" w:eastAsia="zh-CN" w:bidi="ar-SA"/>
        </w:rPr>
        <w:t>为绿色发展添砖加瓦</w:t>
      </w:r>
      <w:r>
        <w:rPr>
          <w:rFonts w:hint="eastAsia" w:ascii="宋体" w:hAnsi="宋体" w:eastAsia="宋体" w:cs="宋体"/>
          <w:b/>
          <w:bCs/>
          <w:kern w:val="2"/>
          <w:sz w:val="24"/>
          <w:szCs w:val="22"/>
          <w:lang w:val="zh-CN" w:eastAsia="zh-CN" w:bidi="ar-SA"/>
        </w:rPr>
        <w:t>。</w:t>
      </w:r>
      <w:r>
        <w:rPr>
          <w:rFonts w:hint="eastAsia" w:ascii="宋体" w:hAnsi="宋体" w:eastAsia="宋体" w:cs="宋体"/>
          <w:b w:val="0"/>
          <w:bCs w:val="0"/>
          <w:kern w:val="2"/>
          <w:sz w:val="24"/>
          <w:szCs w:val="22"/>
          <w:lang w:val="en-US" w:eastAsia="zh-CN" w:bidi="ar-SA"/>
        </w:rPr>
        <w:t>2021年</w:t>
      </w:r>
      <w:r>
        <w:rPr>
          <w:rFonts w:hint="eastAsia" w:ascii="宋体" w:hAnsi="宋体" w:eastAsia="宋体" w:cs="宋体"/>
          <w:kern w:val="2"/>
          <w:sz w:val="24"/>
          <w:szCs w:val="22"/>
          <w:highlight w:val="none"/>
          <w:lang w:val="en-US" w:eastAsia="zh-CN" w:bidi="ar-SA"/>
        </w:rPr>
        <w:t>度</w:t>
      </w:r>
      <w:r>
        <w:rPr>
          <w:rFonts w:hint="eastAsia" w:ascii="宋体" w:hAnsi="宋体" w:eastAsia="宋体" w:cs="宋体"/>
          <w:b w:val="0"/>
          <w:bCs w:val="0"/>
          <w:kern w:val="2"/>
          <w:sz w:val="24"/>
          <w:szCs w:val="22"/>
          <w:lang w:val="en-US" w:eastAsia="zh-CN" w:bidi="ar-SA"/>
        </w:rPr>
        <w:t>，公司持续打造绿色发展理念，发展绿色金融，大力发展电子银行业务，推进无纸化办公，不断完善绿色运营体系，构建低碳环保银行，为助力经济可持续发展、构建生态文明贡献金融力量。</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2" w:firstLineChars="200"/>
        <w:jc w:val="left"/>
        <w:textAlignment w:val="auto"/>
        <w:rPr>
          <w:rFonts w:hint="eastAsia" w:ascii="宋体" w:hAnsi="宋体" w:eastAsia="宋体" w:cs="宋体"/>
          <w:b/>
          <w:kern w:val="0"/>
          <w:sz w:val="24"/>
          <w:szCs w:val="22"/>
          <w:highlight w:val="none"/>
          <w:lang w:val="en-US" w:eastAsia="zh-CN"/>
        </w:rPr>
      </w:pPr>
      <w:r>
        <w:rPr>
          <w:rFonts w:hint="eastAsia" w:ascii="宋体" w:hAnsi="宋体" w:eastAsia="宋体" w:cs="宋体"/>
          <w:b/>
          <w:kern w:val="0"/>
          <w:sz w:val="24"/>
          <w:szCs w:val="22"/>
          <w:highlight w:val="none"/>
          <w:lang w:val="en-US" w:eastAsia="zh-CN"/>
        </w:rPr>
        <w:t>二、2022年重点工作安排</w:t>
      </w:r>
    </w:p>
    <w:p>
      <w:pPr>
        <w:keepNext w:val="0"/>
        <w:keepLines w:val="0"/>
        <w:pageBreakBefore w:val="0"/>
        <w:widowControl w:val="0"/>
        <w:kinsoku/>
        <w:wordWrap/>
        <w:overflowPunct/>
        <w:topLinePunct w:val="0"/>
        <w:bidi w:val="0"/>
        <w:snapToGrid w:val="0"/>
        <w:spacing w:line="360" w:lineRule="auto"/>
        <w:ind w:left="0" w:firstLine="480" w:firstLineChars="200"/>
        <w:textAlignment w:val="auto"/>
        <w:rPr>
          <w:rFonts w:hint="eastAsia" w:ascii="宋体" w:hAnsi="宋体" w:eastAsia="宋体" w:cs="宋体"/>
          <w:kern w:val="2"/>
          <w:sz w:val="24"/>
          <w:szCs w:val="22"/>
          <w:highlight w:val="none"/>
          <w:lang w:val="en-US" w:eastAsia="zh-CN" w:bidi="ar-SA"/>
        </w:rPr>
      </w:pPr>
      <w:r>
        <w:rPr>
          <w:rFonts w:hint="eastAsia" w:ascii="宋体" w:hAnsi="宋体" w:eastAsia="宋体" w:cs="宋体"/>
          <w:kern w:val="2"/>
          <w:sz w:val="24"/>
          <w:szCs w:val="22"/>
          <w:highlight w:val="none"/>
          <w:lang w:val="en-US" w:eastAsia="zh-CN" w:bidi="ar-SA"/>
        </w:rPr>
        <w:t>2022年，</w:t>
      </w:r>
      <w:r>
        <w:rPr>
          <w:rFonts w:hint="eastAsia" w:ascii="宋体" w:hAnsi="宋体" w:eastAsia="宋体" w:cs="宋体"/>
          <w:sz w:val="24"/>
        </w:rPr>
        <w:t>是公司</w:t>
      </w:r>
      <w:r>
        <w:rPr>
          <w:rFonts w:hint="eastAsia" w:ascii="宋体" w:hAnsi="宋体" w:eastAsia="宋体" w:cs="宋体"/>
          <w:sz w:val="24"/>
          <w:lang w:val="en-US" w:eastAsia="zh-CN"/>
        </w:rPr>
        <w:t>新三年</w:t>
      </w:r>
      <w:r>
        <w:rPr>
          <w:rFonts w:hint="eastAsia" w:ascii="宋体" w:hAnsi="宋体" w:eastAsia="宋体" w:cs="宋体"/>
          <w:sz w:val="24"/>
        </w:rPr>
        <w:t>发展战略规划的</w:t>
      </w:r>
      <w:r>
        <w:rPr>
          <w:rFonts w:hint="eastAsia" w:ascii="宋体" w:hAnsi="宋体" w:eastAsia="宋体" w:cs="宋体"/>
          <w:sz w:val="24"/>
          <w:lang w:val="en-US" w:eastAsia="zh-CN"/>
        </w:rPr>
        <w:t>承上启下</w:t>
      </w:r>
      <w:r>
        <w:rPr>
          <w:rFonts w:hint="eastAsia" w:ascii="宋体" w:hAnsi="宋体" w:eastAsia="宋体" w:cs="宋体"/>
          <w:sz w:val="24"/>
        </w:rPr>
        <w:t>之年</w:t>
      </w:r>
      <w:r>
        <w:rPr>
          <w:rFonts w:hint="eastAsia" w:ascii="宋体" w:hAnsi="宋体" w:eastAsia="宋体" w:cs="宋体"/>
          <w:sz w:val="24"/>
          <w:lang w:eastAsia="zh-CN"/>
        </w:rPr>
        <w:t>，</w:t>
      </w:r>
      <w:r>
        <w:rPr>
          <w:rFonts w:hint="eastAsia" w:ascii="宋体" w:hAnsi="宋体" w:eastAsia="宋体" w:cs="宋体"/>
          <w:sz w:val="24"/>
        </w:rPr>
        <w:t>在新的一年里</w:t>
      </w:r>
      <w:r>
        <w:rPr>
          <w:rFonts w:hint="eastAsia" w:ascii="宋体" w:hAnsi="宋体" w:eastAsia="宋体" w:cs="宋体"/>
          <w:sz w:val="24"/>
          <w:lang w:eastAsia="zh-CN"/>
        </w:rPr>
        <w:t>，</w:t>
      </w:r>
      <w:r>
        <w:rPr>
          <w:rFonts w:hint="eastAsia" w:ascii="宋体" w:hAnsi="宋体" w:eastAsia="宋体" w:cs="宋体"/>
          <w:sz w:val="24"/>
          <w:lang w:val="en-US" w:eastAsia="zh-CN"/>
        </w:rPr>
        <w:t>公司</w:t>
      </w:r>
      <w:r>
        <w:rPr>
          <w:rFonts w:hint="eastAsia" w:ascii="宋体" w:hAnsi="宋体" w:eastAsia="宋体" w:cs="宋体"/>
          <w:kern w:val="2"/>
          <w:sz w:val="24"/>
          <w:szCs w:val="22"/>
          <w:highlight w:val="none"/>
          <w:lang w:val="en-US" w:eastAsia="zh-CN" w:bidi="ar-SA"/>
        </w:rPr>
        <w:t>董事会将坚持以党的政治建设为统领，习近平新时代中国特色社会主义思想为指导，深入贯彻落实党的十九届六中全会精神，进一步强化战略引领，持续“做大零售、做强对公、做深两岸、做优资金”的经营之路，抓紧抓实“客户体验、数字科技、人与机制”三大战略驱动力，</w:t>
      </w:r>
      <w:r>
        <w:rPr>
          <w:rFonts w:hint="eastAsia" w:ascii="宋体" w:hAnsi="宋体" w:eastAsia="宋体" w:cs="宋体"/>
          <w:sz w:val="24"/>
        </w:rPr>
        <w:t>扎扎实实做好各项工作</w:t>
      </w:r>
      <w:r>
        <w:rPr>
          <w:rFonts w:hint="eastAsia" w:ascii="宋体" w:hAnsi="宋体" w:eastAsia="宋体" w:cs="宋体"/>
          <w:sz w:val="24"/>
          <w:lang w:eastAsia="zh-CN"/>
        </w:rPr>
        <w:t>，</w:t>
      </w:r>
      <w:r>
        <w:rPr>
          <w:rFonts w:hint="eastAsia" w:ascii="宋体" w:hAnsi="宋体" w:eastAsia="宋体" w:cs="宋体"/>
          <w:kern w:val="2"/>
          <w:sz w:val="24"/>
          <w:szCs w:val="22"/>
          <w:highlight w:val="none"/>
          <w:lang w:val="en-US" w:eastAsia="zh-CN" w:bidi="ar-SA"/>
        </w:rPr>
        <w:t>提高科学决策水平，推动公司高质量发展。</w:t>
      </w:r>
    </w:p>
    <w:p>
      <w:pPr>
        <w:pStyle w:val="23"/>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Chars="0" w:firstLine="482" w:firstLineChars="200"/>
        <w:textAlignment w:val="auto"/>
        <w:rPr>
          <w:rFonts w:hint="eastAsia" w:ascii="宋体" w:hAnsi="宋体" w:eastAsia="宋体" w:cs="宋体"/>
          <w:b/>
          <w:kern w:val="0"/>
          <w:sz w:val="24"/>
          <w:szCs w:val="22"/>
          <w:highlight w:val="none"/>
          <w:lang w:val="en-US" w:eastAsia="zh-CN" w:bidi="ar-SA"/>
        </w:rPr>
      </w:pPr>
      <w:r>
        <w:rPr>
          <w:rFonts w:hint="eastAsia" w:ascii="宋体" w:hAnsi="宋体" w:eastAsia="宋体" w:cs="宋体"/>
          <w:b/>
          <w:kern w:val="0"/>
          <w:sz w:val="24"/>
          <w:szCs w:val="22"/>
          <w:highlight w:val="none"/>
          <w:lang w:val="en-US" w:eastAsia="zh-CN" w:bidi="ar-SA"/>
        </w:rPr>
        <w:t>董事会重点工作计划</w:t>
      </w:r>
    </w:p>
    <w:p>
      <w:pPr>
        <w:pStyle w:val="2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textAlignment w:val="auto"/>
        <w:rPr>
          <w:rFonts w:hint="eastAsia" w:ascii="宋体" w:hAnsi="宋体" w:eastAsia="宋体" w:cs="宋体"/>
          <w:kern w:val="2"/>
          <w:sz w:val="24"/>
          <w:szCs w:val="22"/>
          <w:highlight w:val="none"/>
          <w:lang w:val="en-US" w:eastAsia="zh-CN" w:bidi="ar-SA"/>
        </w:rPr>
      </w:pPr>
      <w:r>
        <w:rPr>
          <w:rFonts w:hint="eastAsia" w:ascii="宋体" w:hAnsi="宋体" w:eastAsia="宋体" w:cs="宋体"/>
          <w:kern w:val="2"/>
          <w:sz w:val="24"/>
          <w:szCs w:val="22"/>
          <w:highlight w:val="none"/>
          <w:lang w:val="en-US" w:eastAsia="zh-CN" w:bidi="ar-SA"/>
        </w:rPr>
        <w:t>2022年，董事会将严格遵照相关法律法规及《公司章程》《厦门银行股份有限公司董事会议事规则》的规定，勤勉尽责地履行各项职责。</w:t>
      </w:r>
    </w:p>
    <w:p>
      <w:pPr>
        <w:pStyle w:val="2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2" w:firstLineChars="200"/>
        <w:textAlignment w:val="auto"/>
        <w:rPr>
          <w:rFonts w:hint="eastAsia" w:ascii="宋体" w:hAnsi="宋体" w:eastAsia="宋体" w:cs="宋体"/>
          <w:b/>
          <w:kern w:val="0"/>
          <w:sz w:val="24"/>
          <w:szCs w:val="22"/>
          <w:highlight w:val="none"/>
          <w:lang w:val="en-US" w:eastAsia="zh-CN" w:bidi="ar-SA"/>
        </w:rPr>
      </w:pPr>
      <w:r>
        <w:rPr>
          <w:rFonts w:hint="eastAsia" w:ascii="宋体" w:hAnsi="宋体" w:eastAsia="宋体" w:cs="宋体"/>
          <w:b/>
          <w:kern w:val="0"/>
          <w:sz w:val="24"/>
          <w:szCs w:val="22"/>
          <w:highlight w:val="none"/>
          <w:lang w:val="en-US" w:eastAsia="zh-CN" w:bidi="ar-SA"/>
        </w:rPr>
        <w:t>一是持续推动公司治理机制完善。</w:t>
      </w:r>
      <w:r>
        <w:rPr>
          <w:rFonts w:hint="eastAsia" w:ascii="宋体" w:hAnsi="宋体" w:eastAsia="宋体" w:cs="宋体"/>
          <w:kern w:val="2"/>
          <w:sz w:val="24"/>
          <w:szCs w:val="22"/>
          <w:highlight w:val="none"/>
          <w:lang w:val="en-US" w:eastAsia="zh-CN" w:bidi="ar-SA"/>
        </w:rPr>
        <w:t>认真贯彻落实银保监会《</w:t>
      </w:r>
      <w:r>
        <w:rPr>
          <w:rFonts w:hint="eastAsia" w:ascii="宋体" w:hAnsi="宋体" w:eastAsia="宋体" w:cs="宋体"/>
          <w:kern w:val="2"/>
          <w:sz w:val="24"/>
          <w:szCs w:val="22"/>
          <w:highlight w:val="none"/>
          <w:lang w:val="zh-CN" w:eastAsia="zh-CN" w:bidi="ar-SA"/>
        </w:rPr>
        <w:t>健全银行业保险业公司治理三年行动方案(2020—2022年）</w:t>
      </w:r>
      <w:r>
        <w:rPr>
          <w:rFonts w:hint="eastAsia" w:ascii="宋体" w:hAnsi="宋体" w:eastAsia="宋体" w:cs="宋体"/>
          <w:kern w:val="2"/>
          <w:sz w:val="24"/>
          <w:szCs w:val="22"/>
          <w:highlight w:val="none"/>
          <w:lang w:val="en-US" w:eastAsia="zh-CN" w:bidi="ar-SA"/>
        </w:rPr>
        <w:t>》《银行保险机构公司治理准则》等文件精神</w:t>
      </w:r>
      <w:r>
        <w:rPr>
          <w:rFonts w:hint="eastAsia" w:ascii="宋体" w:hAnsi="宋体" w:eastAsia="宋体" w:cs="宋体"/>
          <w:sz w:val="24"/>
        </w:rPr>
        <w:t>，</w:t>
      </w:r>
      <w:r>
        <w:rPr>
          <w:rFonts w:hint="eastAsia" w:ascii="宋体" w:hAnsi="宋体" w:eastAsia="宋体" w:cs="宋体"/>
          <w:sz w:val="24"/>
          <w:lang w:val="en-US" w:eastAsia="zh-CN"/>
        </w:rPr>
        <w:t>严格执行人民银行、</w:t>
      </w:r>
      <w:r>
        <w:rPr>
          <w:rFonts w:hint="eastAsia" w:ascii="宋体" w:hAnsi="宋体" w:eastAsia="宋体" w:cs="宋体"/>
          <w:kern w:val="2"/>
          <w:sz w:val="24"/>
          <w:szCs w:val="22"/>
          <w:highlight w:val="none"/>
          <w:lang w:val="en-US" w:eastAsia="zh-CN" w:bidi="ar-SA"/>
        </w:rPr>
        <w:t>银保监会、证监会、上交所等监督管理机构的部署要求</w:t>
      </w:r>
      <w:r>
        <w:rPr>
          <w:rFonts w:hint="eastAsia" w:ascii="宋体" w:hAnsi="宋体" w:eastAsia="宋体" w:cs="宋体"/>
          <w:sz w:val="24"/>
        </w:rPr>
        <w:t>，进一步促进“三会一层”之间的沟通协作</w:t>
      </w:r>
      <w:r>
        <w:rPr>
          <w:rFonts w:hint="eastAsia" w:ascii="宋体" w:hAnsi="宋体" w:eastAsia="宋体" w:cs="宋体"/>
          <w:sz w:val="24"/>
          <w:lang w:eastAsia="zh-CN"/>
        </w:rPr>
        <w:t>，</w:t>
      </w:r>
      <w:r>
        <w:rPr>
          <w:rFonts w:hint="eastAsia" w:ascii="宋体" w:hAnsi="宋体" w:eastAsia="宋体" w:cs="宋体"/>
          <w:sz w:val="24"/>
        </w:rPr>
        <w:t>推动公司治理水平的持续提升</w:t>
      </w:r>
      <w:r>
        <w:rPr>
          <w:rFonts w:hint="eastAsia" w:ascii="宋体" w:hAnsi="宋体" w:eastAsia="宋体" w:cs="宋体"/>
          <w:sz w:val="24"/>
          <w:lang w:eastAsia="zh-CN"/>
        </w:rPr>
        <w:t>；</w:t>
      </w:r>
      <w:r>
        <w:rPr>
          <w:rFonts w:hint="eastAsia" w:ascii="宋体" w:hAnsi="宋体" w:eastAsia="宋体" w:cs="宋体"/>
          <w:sz w:val="24"/>
          <w:lang w:val="en-US" w:eastAsia="zh-CN"/>
        </w:rPr>
        <w:t>始终</w:t>
      </w:r>
      <w:r>
        <w:rPr>
          <w:rFonts w:hint="eastAsia" w:ascii="宋体" w:hAnsi="宋体" w:eastAsia="宋体" w:cs="宋体"/>
          <w:sz w:val="24"/>
          <w:lang w:eastAsia="zh-CN"/>
        </w:rPr>
        <w:t>严谨编制披露定期报告、临时公告，提高经营透明度，持续规范内幕信息及知情人管理，防范内幕交易风险；</w:t>
      </w:r>
      <w:r>
        <w:rPr>
          <w:rFonts w:hint="eastAsia" w:ascii="宋体" w:hAnsi="宋体" w:eastAsia="宋体" w:cs="宋体"/>
          <w:sz w:val="24"/>
          <w:lang w:val="en-US" w:eastAsia="zh-CN"/>
        </w:rPr>
        <w:t>同时，持</w:t>
      </w:r>
      <w:r>
        <w:rPr>
          <w:rFonts w:hint="eastAsia" w:ascii="宋体" w:hAnsi="宋体" w:eastAsia="宋体" w:cs="宋体"/>
          <w:sz w:val="24"/>
        </w:rPr>
        <w:t>续加强董事会自身建设，强化董事会履职能力，提升董事会决策传导和执行的质效和时效，促进公司经营发展</w:t>
      </w:r>
      <w:r>
        <w:rPr>
          <w:rFonts w:hint="eastAsia" w:ascii="宋体" w:hAnsi="宋体" w:eastAsia="宋体" w:cs="宋体"/>
          <w:sz w:val="24"/>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2" w:firstLineChars="200"/>
        <w:jc w:val="left"/>
        <w:textAlignment w:val="auto"/>
        <w:rPr>
          <w:rFonts w:hint="eastAsia" w:ascii="宋体" w:hAnsi="宋体" w:eastAsia="宋体" w:cs="宋体"/>
          <w:b/>
          <w:kern w:val="0"/>
          <w:sz w:val="24"/>
          <w:szCs w:val="22"/>
          <w:highlight w:val="none"/>
          <w:lang w:val="en-US" w:eastAsia="zh-CN"/>
        </w:rPr>
      </w:pPr>
      <w:r>
        <w:rPr>
          <w:rFonts w:hint="eastAsia" w:ascii="宋体" w:hAnsi="宋体" w:eastAsia="宋体" w:cs="宋体"/>
          <w:b/>
          <w:kern w:val="0"/>
          <w:sz w:val="24"/>
          <w:szCs w:val="22"/>
          <w:highlight w:val="none"/>
          <w:lang w:val="en-US" w:eastAsia="zh-CN"/>
        </w:rPr>
        <w:t>二是深入推进战略规划落地实施。</w:t>
      </w:r>
      <w:r>
        <w:rPr>
          <w:rFonts w:hint="eastAsia" w:ascii="宋体" w:hAnsi="宋体" w:eastAsia="宋体" w:cs="宋体"/>
          <w:b w:val="0"/>
          <w:bCs w:val="0"/>
          <w:kern w:val="2"/>
          <w:sz w:val="24"/>
          <w:szCs w:val="22"/>
          <w:highlight w:val="none"/>
          <w:lang w:val="en-US" w:eastAsia="zh-CN" w:bidi="ar-SA"/>
        </w:rPr>
        <w:t>始终坚守</w:t>
      </w:r>
      <w:r>
        <w:rPr>
          <w:rFonts w:hint="eastAsia" w:ascii="宋体" w:hAnsi="宋体" w:eastAsia="宋体" w:cs="宋体"/>
          <w:kern w:val="2"/>
          <w:sz w:val="24"/>
          <w:szCs w:val="22"/>
          <w:highlight w:val="none"/>
          <w:lang w:val="en-US" w:eastAsia="zh-CN" w:bidi="ar-SA"/>
        </w:rPr>
        <w:t>战略规划的引领决策作用</w:t>
      </w:r>
      <w:r>
        <w:rPr>
          <w:rFonts w:hint="eastAsia" w:ascii="宋体" w:hAnsi="宋体" w:eastAsia="宋体" w:cs="宋体"/>
          <w:b w:val="0"/>
          <w:bCs w:val="0"/>
          <w:kern w:val="2"/>
          <w:sz w:val="24"/>
          <w:szCs w:val="22"/>
          <w:highlight w:val="none"/>
          <w:lang w:val="en-US" w:eastAsia="zh-CN" w:bidi="ar-SA"/>
        </w:rPr>
        <w:t>，保持稳健的经营理念、发展战略和风险偏好。梳理战略落地各项工作，明确工作侧重点，合理制定任务计划，提升战略规划执行力，确保落地成效；结合发展战略及资本需求，研究我行资本补充可行的方式，做好债券发行、再融资方案制定及实施；持续强化数字科技规划实施与业务战略规划相结合，积极探索符合我行特点及业务发展方向的数字化应用能力，寻找突破口，以创新促转型。</w:t>
      </w:r>
      <w:r>
        <w:rPr>
          <w:rFonts w:hint="eastAsia" w:ascii="宋体" w:hAnsi="宋体" w:eastAsia="宋体" w:cs="宋体"/>
          <w:kern w:val="2"/>
          <w:sz w:val="24"/>
          <w:szCs w:val="22"/>
          <w:highlight w:val="none"/>
          <w:lang w:val="en-US" w:eastAsia="zh-CN" w:bidi="ar-SA"/>
        </w:rPr>
        <w:t xml:space="preserve"> </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482" w:firstLineChars="200"/>
        <w:jc w:val="both"/>
        <w:textAlignment w:val="auto"/>
        <w:rPr>
          <w:rFonts w:hint="eastAsia" w:ascii="宋体" w:hAnsi="宋体" w:eastAsia="宋体" w:cs="宋体"/>
          <w:b/>
          <w:kern w:val="0"/>
          <w:sz w:val="24"/>
          <w:szCs w:val="22"/>
          <w:highlight w:val="none"/>
          <w:lang w:val="en-US" w:eastAsia="zh-CN" w:bidi="ar-SA"/>
        </w:rPr>
      </w:pPr>
      <w:r>
        <w:rPr>
          <w:rFonts w:hint="eastAsia" w:ascii="宋体" w:hAnsi="宋体" w:eastAsia="宋体" w:cs="宋体"/>
          <w:b/>
          <w:kern w:val="0"/>
          <w:sz w:val="24"/>
          <w:szCs w:val="22"/>
          <w:highlight w:val="none"/>
          <w:lang w:val="en-US" w:eastAsia="zh-CN" w:bidi="ar-SA"/>
        </w:rPr>
        <w:t>三是持续完善全面风险管理体系。</w:t>
      </w:r>
      <w:r>
        <w:rPr>
          <w:rFonts w:hint="eastAsia" w:ascii="宋体" w:hAnsi="宋体" w:eastAsia="宋体" w:cs="宋体"/>
          <w:b w:val="0"/>
          <w:bCs w:val="0"/>
          <w:sz w:val="24"/>
          <w:szCs w:val="24"/>
          <w:lang w:val="en-US" w:eastAsia="zh-CN"/>
        </w:rPr>
        <w:t>进一步健全全面风险管理机制，落实全流程风险管理，提高风险管控效率；在统一的风险偏好框架下，执行风险策略和风险限额管理，有序开展对各类风险的评估分析工作，聚焦重点领域潜在风险，提升风险应急管理能力；同时，加大管理信息化监测手段的投入，通过大数据提高风控能力。</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both"/>
        <w:textAlignment w:val="auto"/>
        <w:rPr>
          <w:rFonts w:hint="eastAsia" w:ascii="宋体" w:hAnsi="宋体" w:eastAsia="宋体" w:cs="宋体"/>
          <w:b/>
          <w:kern w:val="0"/>
          <w:sz w:val="24"/>
          <w:szCs w:val="22"/>
          <w:highlight w:val="none"/>
          <w:lang w:val="en-US" w:eastAsia="zh-CN" w:bidi="ar-SA"/>
        </w:rPr>
      </w:pPr>
      <w:r>
        <w:rPr>
          <w:rFonts w:hint="eastAsia" w:ascii="宋体" w:hAnsi="宋体" w:eastAsia="宋体" w:cs="宋体"/>
          <w:b/>
          <w:kern w:val="0"/>
          <w:sz w:val="24"/>
          <w:szCs w:val="22"/>
          <w:highlight w:val="none"/>
          <w:lang w:val="en-US" w:eastAsia="zh-CN" w:bidi="ar-SA"/>
        </w:rPr>
        <w:t>四是不忘初心积极践行社会责任。</w:t>
      </w:r>
      <w:r>
        <w:rPr>
          <w:rFonts w:hint="eastAsia" w:ascii="宋体" w:hAnsi="宋体" w:eastAsia="宋体" w:cs="宋体"/>
          <w:kern w:val="2"/>
          <w:sz w:val="24"/>
          <w:szCs w:val="22"/>
          <w:highlight w:val="none"/>
          <w:lang w:val="en-US" w:eastAsia="zh-CN" w:bidi="ar-SA"/>
        </w:rPr>
        <w:t>持续发挥党建引领作用，开展丰富多彩的群团活动；切实关心员工生活，提升员工获得感；加强媒体宣传，持续支持两岸品牌活动；做好声誉风险管理，为公司营造良好舆论氛围。</w:t>
      </w:r>
    </w:p>
    <w:p>
      <w:pPr>
        <w:pStyle w:val="2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2" w:firstLineChars="200"/>
        <w:textAlignment w:val="auto"/>
        <w:rPr>
          <w:rFonts w:hint="eastAsia" w:ascii="宋体" w:hAnsi="宋体" w:eastAsia="宋体" w:cs="宋体"/>
          <w:b/>
          <w:kern w:val="0"/>
          <w:sz w:val="24"/>
          <w:szCs w:val="22"/>
          <w:highlight w:val="none"/>
          <w:lang w:val="en-US" w:eastAsia="zh-CN" w:bidi="ar-SA"/>
        </w:rPr>
      </w:pPr>
      <w:r>
        <w:rPr>
          <w:rFonts w:hint="eastAsia" w:ascii="宋体" w:hAnsi="宋体" w:eastAsia="宋体" w:cs="宋体"/>
          <w:b/>
          <w:kern w:val="0"/>
          <w:sz w:val="24"/>
          <w:szCs w:val="22"/>
          <w:highlight w:val="none"/>
          <w:lang w:val="en-US" w:eastAsia="zh-CN" w:bidi="ar-SA"/>
        </w:rPr>
        <w:t>（二）董事会专业委员会重点工作计划</w:t>
      </w:r>
    </w:p>
    <w:p>
      <w:pPr>
        <w:pStyle w:val="2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textAlignment w:val="auto"/>
        <w:rPr>
          <w:rFonts w:hint="eastAsia" w:ascii="宋体" w:hAnsi="宋体" w:eastAsia="宋体" w:cs="宋体"/>
          <w:b/>
          <w:kern w:val="0"/>
          <w:sz w:val="24"/>
          <w:szCs w:val="22"/>
          <w:highlight w:val="none"/>
          <w:lang w:val="en-US" w:eastAsia="zh-CN" w:bidi="ar-SA"/>
        </w:rPr>
      </w:pPr>
      <w:r>
        <w:rPr>
          <w:rFonts w:hint="eastAsia" w:ascii="宋体" w:hAnsi="宋体" w:eastAsia="宋体" w:cs="宋体"/>
          <w:kern w:val="2"/>
          <w:sz w:val="24"/>
          <w:szCs w:val="22"/>
          <w:highlight w:val="none"/>
          <w:lang w:val="en-US" w:eastAsia="zh-CN" w:bidi="ar-SA"/>
        </w:rPr>
        <w:t>2022年，各专业委员会将始终依据相关法律法规和《公司章程》、厦门银行股份有限公司董事会下设各委员会议事规则的相关规定，勤恳、踏实的完成各项任务。</w:t>
      </w:r>
    </w:p>
    <w:p>
      <w:pPr>
        <w:keepNext w:val="0"/>
        <w:keepLines w:val="0"/>
        <w:pageBreakBefore w:val="0"/>
        <w:widowControl w:val="0"/>
        <w:kinsoku/>
        <w:wordWrap/>
        <w:overflowPunct/>
        <w:topLinePunct w:val="0"/>
        <w:autoSpaceDE/>
        <w:autoSpaceDN/>
        <w:bidi w:val="0"/>
        <w:adjustRightInd/>
        <w:snapToGrid w:val="0"/>
        <w:spacing w:line="360" w:lineRule="auto"/>
        <w:ind w:left="0" w:firstLine="482" w:firstLineChars="200"/>
        <w:textAlignment w:val="auto"/>
        <w:rPr>
          <w:rFonts w:hint="eastAsia" w:ascii="宋体" w:hAnsi="宋体" w:eastAsia="宋体" w:cs="宋体"/>
          <w:b/>
          <w:kern w:val="0"/>
          <w:sz w:val="24"/>
          <w:szCs w:val="22"/>
          <w:highlight w:val="none"/>
          <w:lang w:val="zh-CN" w:eastAsia="zh-CN" w:bidi="ar-SA"/>
        </w:rPr>
      </w:pPr>
      <w:r>
        <w:rPr>
          <w:rFonts w:hint="eastAsia" w:ascii="宋体" w:hAnsi="宋体" w:eastAsia="宋体" w:cs="宋体"/>
          <w:b/>
          <w:kern w:val="0"/>
          <w:sz w:val="24"/>
          <w:szCs w:val="22"/>
          <w:highlight w:val="none"/>
          <w:lang w:val="en-US" w:eastAsia="zh-CN" w:bidi="ar-SA"/>
        </w:rPr>
        <w:t>1.</w:t>
      </w:r>
      <w:r>
        <w:rPr>
          <w:rFonts w:hint="eastAsia" w:ascii="宋体" w:hAnsi="宋体" w:eastAsia="宋体" w:cs="宋体"/>
          <w:b/>
          <w:kern w:val="0"/>
          <w:sz w:val="24"/>
          <w:szCs w:val="22"/>
          <w:highlight w:val="none"/>
          <w:lang w:val="zh-CN" w:eastAsia="zh-CN" w:bidi="ar-SA"/>
        </w:rPr>
        <w:t>战略委员会</w:t>
      </w:r>
    </w:p>
    <w:p>
      <w:pPr>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rPr>
          <w:rFonts w:hint="eastAsia" w:ascii="宋体" w:hAnsi="宋体" w:eastAsia="宋体" w:cs="宋体"/>
          <w:kern w:val="2"/>
          <w:sz w:val="24"/>
          <w:szCs w:val="22"/>
          <w:highlight w:val="none"/>
          <w:lang w:val="en-US" w:eastAsia="zh-CN" w:bidi="ar-SA"/>
        </w:rPr>
      </w:pPr>
      <w:r>
        <w:rPr>
          <w:rFonts w:hint="eastAsia" w:ascii="宋体" w:hAnsi="宋体" w:eastAsia="宋体" w:cs="宋体"/>
          <w:kern w:val="2"/>
          <w:sz w:val="24"/>
          <w:szCs w:val="22"/>
          <w:highlight w:val="none"/>
          <w:lang w:val="en-US" w:eastAsia="zh-CN" w:bidi="ar-SA"/>
        </w:rPr>
        <w:t>为保证公司持续稳定发展，切实发挥战略规划的引领决策作用，持续强化战略评估与监督，全力推动各项战略任务目标。一是对2021年战略执行情况进行总结，科学研究和规划2022年战略执行目标。二是对2021年度集团经营情况进行全面分析，合理制定2021年全面工作计划。三是结合宏观市场变化和金融工作发展形势，以公司三年战略规划为抓手，积极对标同业先进银行，打造价值领先的综合金融服务商。</w:t>
      </w:r>
    </w:p>
    <w:p>
      <w:pPr>
        <w:keepNext w:val="0"/>
        <w:keepLines w:val="0"/>
        <w:pageBreakBefore w:val="0"/>
        <w:widowControl w:val="0"/>
        <w:kinsoku/>
        <w:wordWrap/>
        <w:overflowPunct/>
        <w:topLinePunct w:val="0"/>
        <w:autoSpaceDE/>
        <w:autoSpaceDN/>
        <w:bidi w:val="0"/>
        <w:adjustRightInd/>
        <w:snapToGrid w:val="0"/>
        <w:spacing w:line="360" w:lineRule="auto"/>
        <w:ind w:left="0" w:firstLine="482" w:firstLineChars="200"/>
        <w:textAlignment w:val="auto"/>
        <w:rPr>
          <w:rFonts w:hint="eastAsia" w:ascii="宋体" w:hAnsi="宋体" w:eastAsia="宋体" w:cs="宋体"/>
          <w:b/>
          <w:kern w:val="0"/>
          <w:sz w:val="24"/>
          <w:szCs w:val="22"/>
          <w:highlight w:val="none"/>
          <w:lang w:val="zh-CN" w:eastAsia="zh-CN" w:bidi="ar-SA"/>
        </w:rPr>
      </w:pPr>
      <w:r>
        <w:rPr>
          <w:rFonts w:hint="eastAsia" w:ascii="宋体" w:hAnsi="宋体" w:eastAsia="宋体" w:cs="宋体"/>
          <w:b/>
          <w:kern w:val="0"/>
          <w:sz w:val="24"/>
          <w:szCs w:val="22"/>
          <w:highlight w:val="none"/>
          <w:lang w:val="en-US" w:eastAsia="zh-CN" w:bidi="ar-SA"/>
        </w:rPr>
        <w:t>2.</w:t>
      </w:r>
      <w:r>
        <w:rPr>
          <w:rFonts w:hint="eastAsia" w:ascii="宋体" w:hAnsi="宋体" w:eastAsia="宋体" w:cs="宋体"/>
          <w:b/>
          <w:kern w:val="0"/>
          <w:sz w:val="24"/>
          <w:szCs w:val="22"/>
          <w:highlight w:val="none"/>
          <w:lang w:val="zh-CN" w:eastAsia="zh-CN" w:bidi="ar-SA"/>
        </w:rPr>
        <w:t>提名委员会</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kern w:val="2"/>
          <w:sz w:val="24"/>
          <w:szCs w:val="22"/>
          <w:highlight w:val="none"/>
          <w:lang w:val="en-US" w:eastAsia="zh-CN" w:bidi="ar-SA"/>
        </w:rPr>
      </w:pPr>
      <w:r>
        <w:rPr>
          <w:rFonts w:hint="eastAsia" w:ascii="宋体" w:hAnsi="宋体" w:eastAsia="宋体" w:cs="宋体"/>
          <w:kern w:val="2"/>
          <w:sz w:val="24"/>
          <w:szCs w:val="22"/>
          <w:highlight w:val="none"/>
          <w:lang w:val="en-US" w:eastAsia="zh-CN" w:bidi="ar-SA"/>
        </w:rPr>
        <w:t>进一步研究与完善董事、高级管理人员的选任程序和标准。一是持续优化董事会、董事会下设专业委员会、高级管理层结构，持续做好对董事、委员、高级管理人员的初步审查工作并提出建议。二是合理评价董事、高级管理人员履职情况，对未能尽职的董事和高级管理人员，向董事会提出撤换的建议。</w:t>
      </w:r>
    </w:p>
    <w:p>
      <w:pPr>
        <w:keepNext w:val="0"/>
        <w:keepLines w:val="0"/>
        <w:pageBreakBefore w:val="0"/>
        <w:widowControl w:val="0"/>
        <w:kinsoku/>
        <w:wordWrap/>
        <w:overflowPunct/>
        <w:topLinePunct w:val="0"/>
        <w:autoSpaceDE/>
        <w:autoSpaceDN/>
        <w:bidi w:val="0"/>
        <w:adjustRightInd/>
        <w:snapToGrid w:val="0"/>
        <w:spacing w:line="360" w:lineRule="auto"/>
        <w:ind w:left="0" w:firstLine="482" w:firstLineChars="200"/>
        <w:textAlignment w:val="auto"/>
        <w:rPr>
          <w:rFonts w:hint="eastAsia" w:ascii="宋体" w:hAnsi="宋体" w:eastAsia="宋体" w:cs="宋体"/>
          <w:b/>
          <w:kern w:val="0"/>
          <w:sz w:val="24"/>
          <w:szCs w:val="22"/>
          <w:highlight w:val="none"/>
          <w:lang w:val="zh-CN" w:eastAsia="zh-CN" w:bidi="ar-SA"/>
        </w:rPr>
      </w:pPr>
      <w:r>
        <w:rPr>
          <w:rFonts w:hint="eastAsia" w:ascii="宋体" w:hAnsi="宋体" w:eastAsia="宋体" w:cs="宋体"/>
          <w:b/>
          <w:kern w:val="0"/>
          <w:sz w:val="24"/>
          <w:szCs w:val="22"/>
          <w:highlight w:val="none"/>
          <w:lang w:val="en-US" w:eastAsia="zh-CN" w:bidi="ar-SA"/>
        </w:rPr>
        <w:t>3.</w:t>
      </w:r>
      <w:r>
        <w:rPr>
          <w:rFonts w:hint="eastAsia" w:ascii="宋体" w:hAnsi="宋体" w:eastAsia="宋体" w:cs="宋体"/>
          <w:b/>
          <w:kern w:val="0"/>
          <w:sz w:val="24"/>
          <w:szCs w:val="22"/>
          <w:highlight w:val="none"/>
          <w:lang w:val="zh-CN" w:eastAsia="zh-CN" w:bidi="ar-SA"/>
        </w:rPr>
        <w:t>薪酬委员会</w:t>
      </w:r>
    </w:p>
    <w:p>
      <w:pPr>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rPr>
          <w:rFonts w:hint="eastAsia" w:ascii="宋体" w:hAnsi="宋体" w:eastAsia="宋体" w:cs="宋体"/>
          <w:b w:val="0"/>
          <w:bCs/>
          <w:kern w:val="0"/>
          <w:sz w:val="24"/>
          <w:szCs w:val="22"/>
          <w:highlight w:val="none"/>
          <w:lang w:val="en-US" w:eastAsia="zh-CN" w:bidi="ar-SA"/>
        </w:rPr>
      </w:pPr>
      <w:r>
        <w:rPr>
          <w:rFonts w:hint="eastAsia" w:ascii="宋体" w:hAnsi="宋体" w:eastAsia="宋体" w:cs="宋体"/>
          <w:b w:val="0"/>
          <w:bCs/>
          <w:kern w:val="0"/>
          <w:sz w:val="24"/>
          <w:szCs w:val="22"/>
          <w:highlight w:val="none"/>
          <w:lang w:val="en-US" w:eastAsia="zh-CN" w:bidi="ar-SA"/>
        </w:rPr>
        <w:t>进一步健全公司现行薪酬管理体系及高级管理人员的考核标准。一是检视、完善公司董事、高级管理人员的考核架构，根据公司实际情况提出提升建议。二是对高级管理人员履行职责的情况进行年度绩效考评</w:t>
      </w:r>
      <w:r>
        <w:rPr>
          <w:rFonts w:hint="eastAsia" w:ascii="宋体" w:hAnsi="宋体" w:eastAsia="宋体" w:cs="宋体"/>
          <w:kern w:val="2"/>
          <w:sz w:val="24"/>
          <w:szCs w:val="22"/>
          <w:highlight w:val="none"/>
          <w:lang w:val="en-US" w:eastAsia="zh-CN" w:bidi="ar-SA"/>
        </w:rPr>
        <w:t>及当年度考核任务下达。</w:t>
      </w:r>
    </w:p>
    <w:p>
      <w:pPr>
        <w:keepNext w:val="0"/>
        <w:keepLines w:val="0"/>
        <w:pageBreakBefore w:val="0"/>
        <w:widowControl w:val="0"/>
        <w:kinsoku/>
        <w:wordWrap/>
        <w:overflowPunct/>
        <w:topLinePunct w:val="0"/>
        <w:autoSpaceDE/>
        <w:autoSpaceDN/>
        <w:bidi w:val="0"/>
        <w:adjustRightInd/>
        <w:snapToGrid w:val="0"/>
        <w:spacing w:line="360" w:lineRule="auto"/>
        <w:ind w:left="0" w:firstLine="482" w:firstLineChars="200"/>
        <w:textAlignment w:val="auto"/>
        <w:rPr>
          <w:rFonts w:hint="eastAsia" w:ascii="宋体" w:hAnsi="宋体" w:eastAsia="宋体" w:cs="宋体"/>
          <w:b/>
          <w:kern w:val="0"/>
          <w:sz w:val="24"/>
          <w:szCs w:val="22"/>
          <w:highlight w:val="none"/>
          <w:lang w:val="zh-CN" w:eastAsia="zh-CN" w:bidi="ar-SA"/>
        </w:rPr>
      </w:pPr>
      <w:r>
        <w:rPr>
          <w:rFonts w:hint="eastAsia" w:ascii="宋体" w:hAnsi="宋体" w:eastAsia="宋体" w:cs="宋体"/>
          <w:b/>
          <w:kern w:val="0"/>
          <w:sz w:val="24"/>
          <w:szCs w:val="22"/>
          <w:highlight w:val="none"/>
          <w:lang w:val="en-US" w:eastAsia="zh-CN" w:bidi="ar-SA"/>
        </w:rPr>
        <w:t>4.</w:t>
      </w:r>
      <w:r>
        <w:rPr>
          <w:rFonts w:hint="eastAsia" w:ascii="宋体" w:hAnsi="宋体" w:eastAsia="宋体" w:cs="宋体"/>
          <w:b/>
          <w:kern w:val="0"/>
          <w:sz w:val="24"/>
          <w:szCs w:val="22"/>
          <w:highlight w:val="none"/>
          <w:lang w:val="zh-CN" w:eastAsia="zh-CN" w:bidi="ar-SA"/>
        </w:rPr>
        <w:t>审计与消费者权益保护委员会</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kern w:val="2"/>
          <w:sz w:val="24"/>
          <w:szCs w:val="22"/>
          <w:highlight w:val="none"/>
          <w:lang w:val="en-US" w:eastAsia="zh-CN" w:bidi="ar-SA"/>
        </w:rPr>
        <w:t>进一步提升审计和消费者权益保护工作。一</w:t>
      </w:r>
      <w:r>
        <w:rPr>
          <w:rFonts w:hint="eastAsia" w:ascii="宋体" w:hAnsi="宋体" w:eastAsia="宋体" w:cs="宋体"/>
          <w:sz w:val="24"/>
          <w:szCs w:val="24"/>
          <w:lang w:val="en-US" w:eastAsia="zh-CN"/>
        </w:rPr>
        <w:t>是加强与外部审计师的沟通交流，听取外部审计意见，检查外部审计的独立客观性及审计程序的有效性，</w:t>
      </w:r>
      <w:r>
        <w:rPr>
          <w:rFonts w:hint="eastAsia" w:ascii="宋体" w:hAnsi="宋体" w:eastAsia="宋体" w:cs="宋体"/>
          <w:kern w:val="2"/>
          <w:sz w:val="24"/>
          <w:szCs w:val="22"/>
          <w:lang w:val="en-US" w:eastAsia="zh-CN" w:bidi="ar-SA"/>
        </w:rPr>
        <w:t>向董事会提出外部审计机构的解聘与更换建议。</w:t>
      </w:r>
      <w:r>
        <w:rPr>
          <w:rFonts w:hint="eastAsia" w:ascii="宋体" w:hAnsi="宋体" w:eastAsia="宋体" w:cs="宋体"/>
          <w:sz w:val="24"/>
          <w:szCs w:val="24"/>
          <w:lang w:val="en-US" w:eastAsia="zh-CN"/>
        </w:rPr>
        <w:t>二是持续关注公司经营管理信息、财务信息，监督定期报告编制、审计和披露情况，针对财务报告信息真实性、准确性、完整性和及时性作出判断性报告，向董事会提出专业建议。三是指导公司内部审计工作，仔细审议年度内部审计工作情况和计划，督促公司内部审计计划的实施，评价公司内部审计部门的工作程序和工作效果。四是定期听取消费者权益保护工作开展情况的专题报告，指导高级管理层加强消费者权益保护的体制机制建设，督促高级管理层有效执行和落实消费者权益保护的相关工作。</w:t>
      </w:r>
    </w:p>
    <w:p>
      <w:pPr>
        <w:keepNext w:val="0"/>
        <w:keepLines w:val="0"/>
        <w:pageBreakBefore w:val="0"/>
        <w:widowControl w:val="0"/>
        <w:kinsoku/>
        <w:wordWrap/>
        <w:overflowPunct/>
        <w:topLinePunct w:val="0"/>
        <w:autoSpaceDE/>
        <w:autoSpaceDN/>
        <w:bidi w:val="0"/>
        <w:adjustRightInd/>
        <w:snapToGrid w:val="0"/>
        <w:spacing w:line="360" w:lineRule="auto"/>
        <w:ind w:left="0" w:firstLine="482" w:firstLineChars="200"/>
        <w:textAlignment w:val="auto"/>
        <w:rPr>
          <w:rFonts w:hint="eastAsia" w:ascii="宋体" w:hAnsi="宋体" w:eastAsia="宋体" w:cs="宋体"/>
          <w:b/>
          <w:kern w:val="0"/>
          <w:sz w:val="24"/>
          <w:szCs w:val="22"/>
          <w:highlight w:val="none"/>
          <w:lang w:val="zh-CN" w:eastAsia="zh-CN" w:bidi="ar-SA"/>
        </w:rPr>
      </w:pPr>
      <w:r>
        <w:rPr>
          <w:rFonts w:hint="eastAsia" w:ascii="宋体" w:hAnsi="宋体" w:eastAsia="宋体" w:cs="宋体"/>
          <w:b/>
          <w:kern w:val="0"/>
          <w:sz w:val="24"/>
          <w:szCs w:val="22"/>
          <w:highlight w:val="none"/>
          <w:lang w:val="en-US" w:eastAsia="zh-CN" w:bidi="ar-SA"/>
        </w:rPr>
        <w:t>5.</w:t>
      </w:r>
      <w:r>
        <w:rPr>
          <w:rFonts w:hint="eastAsia" w:ascii="宋体" w:hAnsi="宋体" w:eastAsia="宋体" w:cs="宋体"/>
          <w:b/>
          <w:kern w:val="0"/>
          <w:sz w:val="24"/>
          <w:szCs w:val="22"/>
          <w:highlight w:val="none"/>
          <w:lang w:val="zh-CN" w:eastAsia="zh-CN" w:bidi="ar-SA"/>
        </w:rPr>
        <w:t>风险控制与关联交易管理委员会</w:t>
      </w:r>
    </w:p>
    <w:p>
      <w:pPr>
        <w:keepNext w:val="0"/>
        <w:keepLines w:val="0"/>
        <w:pageBreakBefore w:val="0"/>
        <w:kinsoku/>
        <w:wordWrap/>
        <w:overflowPunct/>
        <w:topLinePunct w:val="0"/>
        <w:bidi w:val="0"/>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szCs w:val="24"/>
          <w:lang w:val="en-US" w:eastAsia="zh-CN"/>
        </w:rPr>
        <w:t>始终</w:t>
      </w:r>
      <w:r>
        <w:rPr>
          <w:rFonts w:hint="eastAsia" w:ascii="宋体" w:hAnsi="宋体" w:eastAsia="宋体" w:cs="宋体"/>
          <w:b w:val="0"/>
          <w:bCs w:val="0"/>
          <w:sz w:val="24"/>
          <w:szCs w:val="24"/>
          <w:lang w:val="en-US" w:eastAsia="zh-CN"/>
        </w:rPr>
        <w:t>坚持稳健的风险文化</w:t>
      </w:r>
      <w:r>
        <w:rPr>
          <w:rFonts w:hint="eastAsia" w:ascii="宋体" w:hAnsi="宋体" w:eastAsia="宋体" w:cs="宋体"/>
          <w:kern w:val="2"/>
          <w:sz w:val="24"/>
          <w:szCs w:val="22"/>
          <w:highlight w:val="none"/>
          <w:lang w:val="en-US" w:eastAsia="zh-CN" w:bidi="ar-SA"/>
        </w:rPr>
        <w:t>，</w:t>
      </w:r>
      <w:r>
        <w:rPr>
          <w:rFonts w:hint="eastAsia" w:ascii="宋体" w:hAnsi="宋体" w:eastAsia="宋体" w:cs="宋体"/>
          <w:b w:val="0"/>
          <w:bCs w:val="0"/>
          <w:sz w:val="24"/>
          <w:szCs w:val="24"/>
          <w:lang w:val="en-US" w:eastAsia="zh-CN"/>
        </w:rPr>
        <w:t>着力提升风险管理能力和</w:t>
      </w:r>
      <w:r>
        <w:rPr>
          <w:rFonts w:hint="eastAsia" w:ascii="宋体" w:hAnsi="宋体" w:eastAsia="宋体" w:cs="宋体"/>
          <w:kern w:val="2"/>
          <w:sz w:val="24"/>
          <w:szCs w:val="22"/>
          <w:highlight w:val="none"/>
          <w:lang w:val="en-US" w:eastAsia="zh-CN" w:bidi="ar-SA"/>
        </w:rPr>
        <w:t>关联交易管理水平，积极防范各类风险。一是审阅集团层面全面风险报告、洗钱风险评估报告、信息科技风险管理报告等各项报告，及时掌握各类风险情况，提升全面风险管理水平。二是持续优化业务连续性计划及各类应急预案，了解重点领域潜在风险，提升风险应急管理能力。三是加强关联交易制度体系建设，完善关联交易管理系统，做好关联交易事前审核和事后监督职责，有效防范关联交易风险。</w:t>
      </w:r>
    </w:p>
    <w:p>
      <w:pPr>
        <w:keepNext w:val="0"/>
        <w:keepLines w:val="0"/>
        <w:pageBreakBefore w:val="0"/>
        <w:kinsoku/>
        <w:wordWrap/>
        <w:overflowPunct/>
        <w:topLinePunct w:val="0"/>
        <w:bidi w:val="0"/>
        <w:snapToGrid w:val="0"/>
        <w:spacing w:line="360" w:lineRule="auto"/>
        <w:ind w:firstLine="480" w:firstLineChars="200"/>
        <w:textAlignment w:val="auto"/>
        <w:rPr>
          <w:rFonts w:hint="eastAsia" w:ascii="宋体" w:hAnsi="宋体" w:eastAsia="宋体" w:cs="宋体"/>
          <w:sz w:val="24"/>
        </w:rPr>
      </w:pPr>
    </w:p>
    <w:p>
      <w:pPr>
        <w:keepNext w:val="0"/>
        <w:keepLines w:val="0"/>
        <w:pageBreakBefore w:val="0"/>
        <w:kinsoku/>
        <w:wordWrap/>
        <w:overflowPunct/>
        <w:topLinePunct w:val="0"/>
        <w:bidi w:val="0"/>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本议案已经第八届董事会第十</w:t>
      </w:r>
      <w:r>
        <w:rPr>
          <w:rFonts w:hint="eastAsia" w:ascii="宋体" w:hAnsi="宋体" w:eastAsia="宋体" w:cs="宋体"/>
          <w:sz w:val="24"/>
          <w:lang w:val="en-US" w:eastAsia="zh-CN"/>
        </w:rPr>
        <w:t>六</w:t>
      </w:r>
      <w:r>
        <w:rPr>
          <w:rFonts w:hint="eastAsia" w:ascii="宋体" w:hAnsi="宋体" w:eastAsia="宋体" w:cs="宋体"/>
          <w:sz w:val="24"/>
        </w:rPr>
        <w:t>次会议审议通过，请各位股东审议。</w:t>
      </w:r>
    </w:p>
    <w:p>
      <w:pPr>
        <w:keepNext w:val="0"/>
        <w:keepLines w:val="0"/>
        <w:pageBreakBefore w:val="0"/>
        <w:kinsoku/>
        <w:wordWrap/>
        <w:overflowPunct/>
        <w:topLinePunct w:val="0"/>
        <w:bidi w:val="0"/>
        <w:snapToGrid w:val="0"/>
        <w:spacing w:line="360" w:lineRule="auto"/>
        <w:ind w:firstLine="480" w:firstLineChars="200"/>
        <w:jc w:val="right"/>
        <w:textAlignment w:val="auto"/>
        <w:rPr>
          <w:rFonts w:hint="eastAsia" w:ascii="宋体" w:hAnsi="宋体" w:eastAsia="宋体" w:cs="宋体"/>
          <w:sz w:val="24"/>
        </w:rPr>
      </w:pPr>
    </w:p>
    <w:p>
      <w:pPr>
        <w:keepNext w:val="0"/>
        <w:keepLines w:val="0"/>
        <w:pageBreakBefore w:val="0"/>
        <w:kinsoku/>
        <w:wordWrap/>
        <w:overflowPunct/>
        <w:topLinePunct w:val="0"/>
        <w:bidi w:val="0"/>
        <w:snapToGrid w:val="0"/>
        <w:spacing w:line="360" w:lineRule="auto"/>
        <w:ind w:firstLine="480" w:firstLineChars="200"/>
        <w:jc w:val="right"/>
        <w:textAlignment w:val="auto"/>
        <w:rPr>
          <w:rFonts w:hint="eastAsia" w:ascii="宋体" w:hAnsi="宋体" w:eastAsia="宋体" w:cs="宋体"/>
          <w:sz w:val="24"/>
        </w:rPr>
      </w:pPr>
    </w:p>
    <w:p>
      <w:pPr>
        <w:keepNext w:val="0"/>
        <w:keepLines w:val="0"/>
        <w:pageBreakBefore w:val="0"/>
        <w:kinsoku/>
        <w:wordWrap/>
        <w:overflowPunct/>
        <w:topLinePunct w:val="0"/>
        <w:bidi w:val="0"/>
        <w:snapToGrid w:val="0"/>
        <w:spacing w:line="360" w:lineRule="auto"/>
        <w:ind w:firstLine="480" w:firstLineChars="200"/>
        <w:jc w:val="right"/>
        <w:textAlignment w:val="auto"/>
        <w:rPr>
          <w:rFonts w:hint="eastAsia" w:ascii="宋体" w:hAnsi="宋体" w:eastAsia="宋体" w:cs="宋体"/>
          <w:sz w:val="24"/>
        </w:rPr>
      </w:pPr>
      <w:r>
        <w:rPr>
          <w:rFonts w:hint="eastAsia" w:ascii="宋体" w:hAnsi="宋体" w:eastAsia="宋体" w:cs="宋体"/>
          <w:sz w:val="24"/>
        </w:rPr>
        <w:t>厦门银行股份有限公司</w:t>
      </w:r>
    </w:p>
    <w:p>
      <w:pPr>
        <w:pStyle w:val="19"/>
        <w:keepNext w:val="0"/>
        <w:keepLines w:val="0"/>
        <w:pageBreakBefore w:val="0"/>
        <w:kinsoku/>
        <w:wordWrap/>
        <w:overflowPunct/>
        <w:topLinePunct w:val="0"/>
        <w:bidi w:val="0"/>
        <w:snapToGrid w:val="0"/>
        <w:spacing w:line="360" w:lineRule="auto"/>
        <w:jc w:val="right"/>
        <w:textAlignment w:val="auto"/>
        <w:rPr>
          <w:rFonts w:ascii="宋体" w:hAnsi="宋体" w:eastAsia="宋体" w:cs="宋体"/>
          <w:color w:val="000000"/>
          <w:kern w:val="0"/>
          <w:sz w:val="24"/>
          <w:szCs w:val="24"/>
        </w:rPr>
      </w:pPr>
      <w:r>
        <w:rPr>
          <w:rFonts w:hint="eastAsia" w:ascii="宋体" w:hAnsi="宋体" w:eastAsia="宋体" w:cs="宋体"/>
          <w:sz w:val="24"/>
        </w:rPr>
        <w:t>20</w:t>
      </w:r>
      <w:r>
        <w:rPr>
          <w:rFonts w:hint="eastAsia" w:ascii="宋体" w:hAnsi="宋体" w:eastAsia="宋体" w:cs="宋体"/>
          <w:sz w:val="24"/>
          <w:lang w:val="en-US" w:eastAsia="zh-CN"/>
        </w:rPr>
        <w:t>22</w:t>
      </w:r>
      <w:r>
        <w:rPr>
          <w:rFonts w:hint="eastAsia" w:ascii="宋体" w:hAnsi="宋体" w:eastAsia="宋体" w:cs="宋体"/>
          <w:sz w:val="24"/>
        </w:rPr>
        <w:t>年</w:t>
      </w:r>
      <w:r>
        <w:rPr>
          <w:rFonts w:hint="eastAsia" w:ascii="宋体" w:hAnsi="宋体" w:eastAsia="宋体" w:cs="宋体"/>
          <w:sz w:val="24"/>
          <w:lang w:val="en-US" w:eastAsia="zh-CN"/>
        </w:rPr>
        <w:t>6</w:t>
      </w:r>
      <w:r>
        <w:rPr>
          <w:rFonts w:hint="eastAsia" w:ascii="宋体" w:hAnsi="宋体" w:eastAsia="宋体" w:cs="宋体"/>
          <w:sz w:val="24"/>
        </w:rPr>
        <w:t>月</w:t>
      </w:r>
      <w:r>
        <w:rPr>
          <w:rFonts w:hint="eastAsia" w:ascii="宋体" w:hAnsi="宋体" w:eastAsia="宋体" w:cs="宋体"/>
          <w:sz w:val="24"/>
          <w:lang w:val="en-US" w:eastAsia="zh-CN"/>
        </w:rPr>
        <w:t>2</w:t>
      </w:r>
      <w:r>
        <w:rPr>
          <w:rFonts w:hint="eastAsia" w:ascii="宋体" w:hAnsi="宋体" w:eastAsia="宋体" w:cs="宋体"/>
          <w:sz w:val="24"/>
        </w:rPr>
        <w:t>日</w:t>
      </w:r>
    </w:p>
    <w:p>
      <w:pPr>
        <w:rPr>
          <w:rFonts w:hint="eastAsia" w:ascii="宋体" w:hAnsi="宋体" w:eastAsia="宋体" w:cs="宋体"/>
          <w:b/>
          <w:color w:val="000000"/>
          <w:kern w:val="0"/>
          <w:sz w:val="24"/>
        </w:rPr>
      </w:pPr>
      <w:r>
        <w:rPr>
          <w:rFonts w:hint="eastAsia" w:ascii="宋体" w:hAnsi="宋体" w:eastAsia="宋体" w:cs="宋体"/>
          <w:b/>
          <w:color w:val="000000"/>
          <w:kern w:val="0"/>
          <w:sz w:val="24"/>
        </w:rPr>
        <w:br w:type="page"/>
      </w:r>
    </w:p>
    <w:p>
      <w:pPr>
        <w:pStyle w:val="19"/>
      </w:pPr>
    </w:p>
    <w:bookmarkEnd w:id="15"/>
    <w:p>
      <w:pPr>
        <w:spacing w:line="360" w:lineRule="auto"/>
        <w:jc w:val="center"/>
        <w:rPr>
          <w:rFonts w:ascii="宋体" w:hAnsi="宋体" w:eastAsia="宋体" w:cs="宋体"/>
          <w:b/>
          <w:bCs/>
          <w:sz w:val="28"/>
          <w:szCs w:val="36"/>
        </w:rPr>
      </w:pPr>
      <w:r>
        <w:rPr>
          <w:rFonts w:hint="eastAsia" w:ascii="宋体" w:hAnsi="宋体" w:eastAsia="宋体" w:cs="宋体"/>
          <w:b/>
          <w:bCs/>
          <w:color w:val="000000"/>
          <w:sz w:val="30"/>
          <w:szCs w:val="30"/>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494915" cy="676275"/>
                <wp:effectExtent l="5080" t="4445" r="14605" b="5080"/>
                <wp:wrapNone/>
                <wp:docPr id="8" name="文本框 3"/>
                <wp:cNvGraphicFramePr/>
                <a:graphic xmlns:a="http://schemas.openxmlformats.org/drawingml/2006/main">
                  <a:graphicData uri="http://schemas.microsoft.com/office/word/2010/wordprocessingShape">
                    <wps:wsp>
                      <wps:cNvSpPr txBox="1"/>
                      <wps:spPr>
                        <a:xfrm>
                          <a:off x="0" y="0"/>
                          <a:ext cx="2494915" cy="676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ascii="宋体" w:hAnsi="宋体" w:eastAsia="宋体" w:cs="宋体"/>
                              </w:rPr>
                            </w:pPr>
                            <w:r>
                              <w:rPr>
                                <w:rFonts w:hint="eastAsia" w:ascii="宋体" w:hAnsi="宋体" w:eastAsia="宋体" w:cs="宋体"/>
                              </w:rPr>
                              <w:t>议案4</w:t>
                            </w:r>
                          </w:p>
                        </w:txbxContent>
                      </wps:txbx>
                      <wps:bodyPr wrap="square" upright="1"/>
                    </wps:wsp>
                  </a:graphicData>
                </a:graphic>
              </wp:anchor>
            </w:drawing>
          </mc:Choice>
          <mc:Fallback>
            <w:pict>
              <v:shape id="文本框 3" o:spid="_x0000_s1026" o:spt="202" type="#_x0000_t202" style="position:absolute;left:0pt;margin-left:0pt;margin-top:0pt;height:53.25pt;width:196.45pt;z-index:251662336;mso-width-relative:page;mso-height-relative:page;" fillcolor="#FFFFFF" filled="t" stroked="t" coordsize="21600,21600" o:gfxdata="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hXBbWAAAABQEAAA8AAAAAAAAAAQAgAAAAIgAAAGRycy9kb3ducmV2Lnht&#10;bFBLAQIUABQAAAAIAIdO4kBk9kQd+wEAAPYDAAAOAAAAAAAAAAEAIAAAACUBAABkcnMvZTJvRG9j&#10;LnhtbFBLBQYAAAAABgAGAFkBAACSBQ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ascii="宋体" w:hAnsi="宋体" w:eastAsia="宋体" w:cs="宋体"/>
                        </w:rPr>
                      </w:pPr>
                      <w:r>
                        <w:rPr>
                          <w:rFonts w:hint="eastAsia" w:ascii="宋体" w:hAnsi="宋体" w:eastAsia="宋体" w:cs="宋体"/>
                        </w:rPr>
                        <w:t>议案4</w:t>
                      </w:r>
                    </w:p>
                  </w:txbxContent>
                </v:textbox>
              </v:shape>
            </w:pict>
          </mc:Fallback>
        </mc:AlternateContent>
      </w:r>
    </w:p>
    <w:p>
      <w:pPr>
        <w:spacing w:line="360" w:lineRule="auto"/>
        <w:jc w:val="center"/>
        <w:rPr>
          <w:rFonts w:ascii="宋体" w:hAnsi="宋体" w:eastAsia="宋体" w:cs="宋体"/>
          <w:b/>
          <w:bCs/>
          <w:sz w:val="28"/>
          <w:szCs w:val="36"/>
        </w:rPr>
      </w:pPr>
    </w:p>
    <w:p>
      <w:pPr>
        <w:pStyle w:val="2"/>
      </w:pPr>
    </w:p>
    <w:p>
      <w:pPr>
        <w:spacing w:line="360" w:lineRule="auto"/>
        <w:jc w:val="center"/>
        <w:outlineLvl w:val="0"/>
        <w:rPr>
          <w:rFonts w:ascii="宋体" w:hAnsi="宋体" w:eastAsia="宋体" w:cs="宋体"/>
          <w:bCs/>
          <w:color w:val="000000"/>
          <w:kern w:val="36"/>
          <w:sz w:val="24"/>
        </w:rPr>
      </w:pPr>
      <w:r>
        <w:rPr>
          <w:rFonts w:hint="eastAsia" w:ascii="宋体" w:hAnsi="宋体" w:eastAsia="宋体" w:cs="宋体"/>
          <w:b/>
          <w:bCs/>
          <w:sz w:val="28"/>
          <w:szCs w:val="36"/>
        </w:rPr>
        <w:t>厦门银行股份有限公司关于2021年度监事会工作报告的议案</w:t>
      </w:r>
    </w:p>
    <w:p>
      <w:pPr>
        <w:snapToGrid w:val="0"/>
        <w:spacing w:line="360" w:lineRule="auto"/>
        <w:rPr>
          <w:rFonts w:hint="eastAsia" w:ascii="宋体" w:hAnsi="宋体" w:eastAsia="宋体" w:cs="宋体"/>
          <w:bCs/>
          <w:color w:val="000000"/>
          <w:kern w:val="36"/>
          <w:sz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sz w:val="24"/>
        </w:rPr>
      </w:pPr>
      <w:r>
        <w:rPr>
          <w:rFonts w:hint="eastAsia" w:ascii="宋体" w:hAnsi="宋体" w:eastAsia="宋体" w:cs="宋体"/>
          <w:bCs/>
          <w:color w:val="000000"/>
          <w:kern w:val="36"/>
          <w:sz w:val="24"/>
        </w:rPr>
        <w:t>尊敬的各位</w:t>
      </w:r>
      <w:r>
        <w:rPr>
          <w:rFonts w:hint="eastAsia" w:ascii="宋体" w:hAnsi="宋体" w:eastAsia="宋体" w:cs="宋体"/>
          <w:sz w:val="24"/>
        </w:rPr>
        <w:t>股东</w:t>
      </w:r>
      <w:r>
        <w:rPr>
          <w:rFonts w:hint="eastAsia" w:ascii="宋体" w:hAnsi="宋体" w:eastAsia="宋体" w:cs="宋体"/>
          <w:bCs/>
          <w:color w:val="000000"/>
          <w:kern w:val="36"/>
          <w:sz w:val="24"/>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2021年，</w:t>
      </w:r>
      <w:r>
        <w:rPr>
          <w:rFonts w:hint="eastAsia" w:ascii="宋体" w:hAnsi="宋体" w:eastAsia="宋体" w:cs="宋体"/>
          <w:sz w:val="24"/>
          <w:lang w:val="en-US" w:eastAsia="zh-CN"/>
        </w:rPr>
        <w:t>本行</w:t>
      </w:r>
      <w:r>
        <w:rPr>
          <w:rFonts w:hint="eastAsia" w:ascii="宋体" w:hAnsi="宋体" w:eastAsia="宋体" w:cs="宋体"/>
          <w:sz w:val="24"/>
        </w:rPr>
        <w:t>监事会根据《公司法》《证券法》《银行保险机构公司治理准则》《商业银行监事会工作指引》及《公司章程》的规定和要求，在各级监管部门及主管机构的监督、指导下，在股东大会的正确领导下，在董事会和高级管理层的支持配合下，紧紧围绕公司战略发展目标和年度中心工作，全面对接上市公司要求，忠实履行法律法规和《公司章程》赋予的职责，认真落实监管要求，有效发挥监事会在公司治理中的监督作用，助力公司稳健合规发展。现将2021年度监事会主要工作及2022年度工作计划报告如下：</w:t>
      </w:r>
    </w:p>
    <w:p>
      <w:pPr>
        <w:keepNext w:val="0"/>
        <w:keepLines w:val="0"/>
        <w:pageBreakBefore w:val="0"/>
        <w:widowControl w:val="0"/>
        <w:numPr>
          <w:ilvl w:val="0"/>
          <w:numId w:val="6"/>
        </w:numPr>
        <w:kinsoku/>
        <w:wordWrap/>
        <w:overflowPunct/>
        <w:topLinePunct w:val="0"/>
        <w:autoSpaceDE/>
        <w:autoSpaceDN/>
        <w:bidi w:val="0"/>
        <w:adjustRightInd/>
        <w:snapToGrid w:val="0"/>
        <w:spacing w:line="360" w:lineRule="auto"/>
        <w:textAlignment w:val="auto"/>
        <w:rPr>
          <w:rFonts w:hint="eastAsia" w:ascii="宋体" w:hAnsi="宋体" w:eastAsia="宋体" w:cs="宋体"/>
          <w:b/>
          <w:sz w:val="24"/>
        </w:rPr>
      </w:pPr>
      <w:r>
        <w:rPr>
          <w:rFonts w:hint="eastAsia" w:ascii="宋体" w:hAnsi="宋体" w:eastAsia="宋体" w:cs="宋体"/>
          <w:b/>
          <w:sz w:val="24"/>
        </w:rPr>
        <w:t>2021年主要工作情况</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rPr>
      </w:pPr>
      <w:r>
        <w:rPr>
          <w:rFonts w:hint="eastAsia" w:ascii="宋体" w:hAnsi="宋体" w:eastAsia="宋体" w:cs="宋体"/>
          <w:b/>
          <w:sz w:val="24"/>
        </w:rPr>
        <w:t>（一）</w:t>
      </w:r>
      <w:r>
        <w:rPr>
          <w:rFonts w:hint="eastAsia" w:ascii="宋体" w:hAnsi="宋体" w:eastAsia="宋体" w:cs="宋体"/>
          <w:b/>
          <w:kern w:val="0"/>
          <w:sz w:val="24"/>
        </w:rPr>
        <w:t>规范运作，有序组织参与各项会议</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一是高效召开监事会会议，持续提升议事质效。2021年，公司监事会共召开会议8次，其中现场会议7次，通讯会议1次，共审议43项议案，听取3项报告，依法依规对公司重大财务活动、风险管理、内控合规管理、薪酬考核、落实监管意见及整改问责情况以及董事会、高级管理层及其成员履职情况等事项进行监督。监事积极发表审议意见，依法审慎行使表决权，监事会议事程序规范、注重效率，有效保障了监事会决议的合法、合规及合理性，较好地发挥了监督职能。</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二是监事会下设委员会积极开展各项工作，强化监事会工作职能。2021年，监事会提名委员会共召开会议3次，对公司董事会、监事会、高级管理层及其成员2020年度履职评价报告、行领导薪酬分配方案、2021年绩效任务书、履职评价办法及监事会提名委员会议事规则的修订等9项议案进行了审议，组织保障监事会顺利完成换届，持续规范对董事、监事、高级管理人员的履职监督，强化薪酬管理监督，有效履行了监事会赋予的职责；监事会审计委员会共召开会议7次，对公司2020年年度报告及其摘要、半年度报告及其摘要、全面风险报告、内部控制评价报告、2021年度风险偏好陈述书、聘请2021年度会计师事务所、监事会审计委员会议事规则的修订等14项议案进行了审议，积极协助监事会开展各项监督调研活动，推动监事会创新监督方式、提升监督效能。</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三是积极列席相关会议，对重大决策事项进行监督。2021年，监事会组织监事出席股东大会、列席董事会及其专门委员会。通过参加上述会议，监事会对涉及全行经营管理、内控合规、风险防控和发展战略等重大事项的研究决策过程及各类议案的审议过程进行监督，并就重点关注事项发表监督意见或建议；派员参加了总行党委会、行务会、周例会等全行各类重要经营管理会议，全面了解经营管理层执行董事会决议、履行财务、内控和风险管理职责的情况，积极提出客观、独立的意见和建议，严格履行了监事会的监督职责，体现了监事会对全体股东及利益相关者的保护责任。</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kern w:val="0"/>
          <w:sz w:val="24"/>
        </w:rPr>
      </w:pPr>
      <w:r>
        <w:rPr>
          <w:rFonts w:hint="eastAsia" w:ascii="宋体" w:hAnsi="宋体" w:eastAsia="宋体" w:cs="宋体"/>
          <w:b/>
          <w:kern w:val="0"/>
          <w:sz w:val="24"/>
        </w:rPr>
        <w:t>（二）深化履职监督，提升监督质效</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一是持续强化履职监测。加强对董事和高级管理人员的履职监测，持续收集分析日常履职信息，对重点关注事项进行提示。2021年，监事会共发布《监事会重点关注事项的通知》（以下</w:t>
      </w:r>
      <w:r>
        <w:rPr>
          <w:rFonts w:hint="eastAsia" w:ascii="宋体" w:hAnsi="宋体" w:eastAsia="宋体" w:cs="宋体"/>
          <w:sz w:val="24"/>
          <w:lang w:val="en-US" w:eastAsia="zh-CN"/>
        </w:rPr>
        <w:t>简</w:t>
      </w:r>
      <w:r>
        <w:rPr>
          <w:rFonts w:hint="eastAsia" w:ascii="宋体" w:hAnsi="宋体" w:eastAsia="宋体" w:cs="宋体"/>
          <w:sz w:val="24"/>
        </w:rPr>
        <w:t>称</w:t>
      </w:r>
      <w:r>
        <w:rPr>
          <w:rFonts w:hint="eastAsia" w:ascii="宋体" w:hAnsi="宋体" w:eastAsia="宋体" w:cs="宋体"/>
          <w:sz w:val="24"/>
          <w:lang w:eastAsia="zh-CN"/>
        </w:rPr>
        <w:t>“</w:t>
      </w:r>
      <w:r>
        <w:rPr>
          <w:rFonts w:hint="eastAsia" w:ascii="宋体" w:hAnsi="宋体" w:eastAsia="宋体" w:cs="宋体"/>
          <w:sz w:val="24"/>
        </w:rPr>
        <w:t>《通知》</w:t>
      </w:r>
      <w:r>
        <w:rPr>
          <w:rFonts w:hint="eastAsia" w:ascii="宋体" w:hAnsi="宋体" w:eastAsia="宋体" w:cs="宋体"/>
          <w:sz w:val="24"/>
          <w:lang w:eastAsia="zh-CN"/>
        </w:rPr>
        <w:t>”</w:t>
      </w:r>
      <w:r>
        <w:rPr>
          <w:rFonts w:hint="eastAsia" w:ascii="宋体" w:hAnsi="宋体" w:eastAsia="宋体" w:cs="宋体"/>
          <w:sz w:val="24"/>
        </w:rPr>
        <w:t>）4期，内容涉及公司风险管控、合规管理、业务结构、疫情防控等多个方面，《通知》向高级管理层、总行各相关部门提出了建设性、战略性的建议和意见，得到管理层积极响应。</w:t>
      </w:r>
      <w:bookmarkStart w:id="16" w:name="_Hlk96419055"/>
    </w:p>
    <w:bookmarkEnd w:id="16"/>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二是持续优化履职评价。针对监督评价制度体系进行全面系统梳理，修订了《厦门银行股份有限公司董事会和董事履职评价办法》《厦门银行股份有限公司监事会和监事履职评价办法》《厦门银行股份有限公司高级管理层及其成员履职评价办法》，进一步明确履职监督评价的具体内容、要素、方式、流程和结果运用，形成以履职评价制度为</w:t>
      </w:r>
      <w:r>
        <w:rPr>
          <w:rFonts w:hint="eastAsia" w:ascii="宋体" w:hAnsi="宋体" w:eastAsia="宋体" w:cs="宋体"/>
          <w:sz w:val="24"/>
          <w:lang w:val="en-US" w:eastAsia="zh-CN"/>
        </w:rPr>
        <w:t>基础</w:t>
      </w:r>
      <w:r>
        <w:rPr>
          <w:rFonts w:hint="eastAsia" w:ascii="宋体" w:hAnsi="宋体" w:eastAsia="宋体" w:cs="宋体"/>
          <w:sz w:val="24"/>
        </w:rPr>
        <w:t>的监事会监督制度体系；研究制订履职评价方案，按时组织开展董事、监事和高管人员履职自评、他评，不断加强履职监督档案建设，充实完善各类履职资料，做好履职信息采集核实、分数统计汇总、履职报告收集整理等各项工作，保证履职评价资料的准确完整。</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三是持续深化评价结果应用。及时将监事会对董事及高级管理人员履职评价结果向董事会和高管层通报，并按要求向股东大会和监管部门报告，通过履职评价有效促进董事和高级管理人员履职尽职。</w:t>
      </w:r>
    </w:p>
    <w:p>
      <w:pPr>
        <w:keepNext w:val="0"/>
        <w:keepLines w:val="0"/>
        <w:pageBreakBefore w:val="0"/>
        <w:widowControl w:val="0"/>
        <w:kinsoku/>
        <w:wordWrap/>
        <w:overflowPunct/>
        <w:topLinePunct w:val="0"/>
        <w:autoSpaceDE/>
        <w:autoSpaceDN/>
        <w:bidi w:val="0"/>
        <w:adjustRightInd/>
        <w:snapToGrid w:val="0"/>
        <w:spacing w:line="360" w:lineRule="auto"/>
        <w:ind w:firstLine="493"/>
        <w:textAlignment w:val="auto"/>
        <w:rPr>
          <w:rFonts w:hint="eastAsia" w:ascii="宋体" w:hAnsi="宋体" w:eastAsia="宋体" w:cs="宋体"/>
          <w:b/>
          <w:sz w:val="24"/>
        </w:rPr>
      </w:pPr>
      <w:r>
        <w:rPr>
          <w:rFonts w:hint="eastAsia" w:ascii="宋体" w:hAnsi="宋体" w:eastAsia="宋体" w:cs="宋体"/>
          <w:b/>
          <w:sz w:val="24"/>
        </w:rPr>
        <w:t>（三）创新监督方式，充分发挥监督效能</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针对疫情造成的影响，公司监事会积极创新监督履职方式，通过现场调研与非现场调研相结合，有效保证了监督质效。由监事会审计委员会牵头，选取有代表性的分支机构，认真制定调研方案，详细收集整理背景材料，通过材料分析、现场走访、员工座谈等多种形式，历时三个月顺利完成调研任务。根据调研掌握的情况并结合研究成果，从强化战略管理、加快大零售转型、发力绿色金融、推动集团联动等方面提出专业建议，并形成检查报告《厦门银行股份有限公司监事会审计委员会关于分行经营状况专项调研报告》提交监事会审议，同时抄送经营管理层，促进完善内部管理，逐项抓好落实整改工作。</w:t>
      </w:r>
    </w:p>
    <w:p>
      <w:pPr>
        <w:keepNext w:val="0"/>
        <w:keepLines w:val="0"/>
        <w:pageBreakBefore w:val="0"/>
        <w:widowControl w:val="0"/>
        <w:numPr>
          <w:ilvl w:val="0"/>
          <w:numId w:val="7"/>
        </w:numPr>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bCs/>
          <w:sz w:val="24"/>
        </w:rPr>
      </w:pPr>
      <w:r>
        <w:rPr>
          <w:rFonts w:hint="eastAsia" w:ascii="宋体" w:hAnsi="宋体" w:eastAsia="宋体" w:cs="宋体"/>
          <w:b/>
          <w:bCs/>
          <w:sz w:val="24"/>
        </w:rPr>
        <w:t>加强自身建设，不断提升监督水平</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一是切实保障依法换届。2021年1月，公司第七届监事会任期届满，监事会制定了换届方案和流程，有序推动新一届监事会成员的遴选和选举工作，与董事会保持密切沟通并同步推进换届工作。按照规定选举了监事长，并根据各位监事的工作背景和专业特长重新调整新一届监事会专业委员会成员结构，保障平稳过渡、规范运作。同时列席董事会相关会议，出席股东大会，对董事会换届进行全程监督。</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二是持续完善监事会制度建设。2021年，监事会坚持制度先行，积极加强监督体系建设，确保监督工作有据可依</w:t>
      </w:r>
      <w:r>
        <w:rPr>
          <w:rFonts w:hint="eastAsia" w:ascii="宋体" w:hAnsi="宋体" w:eastAsia="宋体" w:cs="宋体"/>
          <w:sz w:val="24"/>
          <w:lang w:val="en-US" w:eastAsia="zh-CN"/>
        </w:rPr>
        <w:t>、</w:t>
      </w:r>
      <w:r>
        <w:rPr>
          <w:rFonts w:hint="eastAsia" w:ascii="宋体" w:hAnsi="宋体" w:eastAsia="宋体" w:cs="宋体"/>
          <w:sz w:val="24"/>
        </w:rPr>
        <w:t>程序明晰</w:t>
      </w:r>
      <w:r>
        <w:rPr>
          <w:rFonts w:hint="eastAsia" w:ascii="宋体" w:hAnsi="宋体" w:eastAsia="宋体" w:cs="宋体"/>
          <w:sz w:val="24"/>
          <w:lang w:eastAsia="zh-CN"/>
        </w:rPr>
        <w:t>、</w:t>
      </w:r>
      <w:r>
        <w:rPr>
          <w:rFonts w:hint="eastAsia" w:ascii="宋体" w:hAnsi="宋体" w:eastAsia="宋体" w:cs="宋体"/>
          <w:sz w:val="24"/>
        </w:rPr>
        <w:t>协调有序。根据监管规定及实际工作需要，对监事会议事规则和各专业委员会议事规则进行修订，修订内容包括完善监事会及专门委员会职责权限，对公司治理中信息披露、权利行使、监事会召开等事宜的程序进行规范。</w:t>
      </w:r>
      <w:bookmarkStart w:id="17" w:name="_Hlk96418847"/>
    </w:p>
    <w:bookmarkEnd w:id="17"/>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三是着力提升监事履职能力。2021年，监事会以提升监事专业能力为目标，不定期组织监事参加厦门证监局、中国银行业协会、厦门上市公司协会等机构举办的各类培训，深入学习和掌握公司治理运作规范，明确未来履职的重点和方向；针对银行业监管重点，经营管理层通过收集汇总，按月通过邮件方式向监事发送银行业监管新规和资本市场情况，使监事能够及时掌握最新监管要求和市场动态，不断提高合规履职的意识与能力。</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rPr>
      </w:pPr>
      <w:r>
        <w:rPr>
          <w:rFonts w:hint="eastAsia" w:ascii="宋体" w:hAnsi="宋体" w:eastAsia="宋体" w:cs="宋体"/>
          <w:b/>
          <w:sz w:val="24"/>
        </w:rPr>
        <w:t>（五）做实财务监督，持续推动公司规范运作</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2021年，监事会关注重要财务信息的真实性、准确性和完整性，对定期报告的编制和审议程序、内容与格式的合法合规情况进行了监督，出具了审核意见，及时进行信息披露。除此之外，根据新《证券法》的要求，对本年度历次定期报告签署了书面确认意见；审议年度经营计划和财务预算方案、年度利润分配方案，关注会计政策变更情况等，持续推动公司财务的规范运作，为全行的经营发展建言献策；认真听取审计师关于定期报告的情况汇报，加强与审计师沟通，分析财务数据变化，核实财务信息真实性，同时结合监事会关注重点，向审计师提出意见与建议，对审计师工作的独立性和有效性进行监督，对公司加强财务管理起到积极作用。</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rPr>
      </w:pPr>
      <w:r>
        <w:rPr>
          <w:rFonts w:hint="eastAsia" w:ascii="宋体" w:hAnsi="宋体" w:eastAsia="宋体" w:cs="宋体"/>
          <w:b/>
          <w:sz w:val="24"/>
        </w:rPr>
        <w:t>（六）深化风险管理和内部控制监督，不断拓宽监督视角</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2021年，公司监事会紧扣上级监管部门对银行风险管理和内部控制的各项要求，聚焦重要风险领域、重点经营管理环节，坚持全面监督与重点监督相结合，不断提升风险内控的监督效能。</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一是定期审阅集团层面全面风险报告，及时了解公司信用风险、市场风险、流动性风险、操作风险、声誉风险等风险管理情况；持续关注风险管理政策制度制定、风险偏好及传导机制有效性，定期监督主要风险指标达标情况；年度内新增了对机构洗钱风险评估报告、业务连续性管理报告、信息科技风险管理报告的审议监督，并有针对性提出了监督意见和建议。</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 xml:space="preserve">二是认真履行内部控制监督职责，持续关注董事会、高级管理层及其成员内部控制履职尽责情况，督促加强合规经营管理。审议公司年度内部控制评价报告，认真贯彻监管要求，强化内部控制重点领域监督，重点关注案件防控、关联交易、消费者权益保护等领域工作情况并开展常态化跟踪监督，推动压实董事会、高级管理层主体责任，不断加强内部控制体系建设，促进内部控制治理架构不断完善，持续改善内部控制状况。 </w:t>
      </w:r>
    </w:p>
    <w:p>
      <w:pPr>
        <w:keepNext w:val="0"/>
        <w:keepLines w:val="0"/>
        <w:pageBreakBefore w:val="0"/>
        <w:widowControl w:val="0"/>
        <w:kinsoku/>
        <w:wordWrap/>
        <w:overflowPunct/>
        <w:topLinePunct w:val="0"/>
        <w:autoSpaceDE/>
        <w:autoSpaceDN/>
        <w:bidi w:val="0"/>
        <w:adjustRightInd/>
        <w:snapToGrid w:val="0"/>
        <w:spacing w:line="360" w:lineRule="auto"/>
        <w:ind w:firstLine="723" w:firstLineChars="300"/>
        <w:textAlignment w:val="auto"/>
        <w:rPr>
          <w:rFonts w:hint="eastAsia" w:ascii="宋体" w:hAnsi="宋体" w:eastAsia="宋体" w:cs="宋体"/>
          <w:b/>
          <w:sz w:val="24"/>
        </w:rPr>
      </w:pPr>
      <w:r>
        <w:rPr>
          <w:rFonts w:hint="eastAsia" w:ascii="宋体" w:hAnsi="宋体" w:eastAsia="宋体" w:cs="宋体"/>
          <w:b/>
          <w:sz w:val="24"/>
        </w:rPr>
        <w:t>二、监事会就有关事项发表的独立意见</w:t>
      </w:r>
    </w:p>
    <w:p>
      <w:pPr>
        <w:pStyle w:val="23"/>
        <w:keepNext w:val="0"/>
        <w:keepLines w:val="0"/>
        <w:pageBreakBefore w:val="0"/>
        <w:widowControl w:val="0"/>
        <w:numPr>
          <w:ilvl w:val="0"/>
          <w:numId w:val="8"/>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b/>
          <w:sz w:val="24"/>
        </w:rPr>
      </w:pPr>
      <w:r>
        <w:rPr>
          <w:rFonts w:hint="eastAsia" w:ascii="宋体" w:hAnsi="宋体" w:eastAsia="宋体" w:cs="宋体"/>
          <w:b/>
          <w:sz w:val="24"/>
        </w:rPr>
        <w:t>依法经营情况</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2021年度，本公司的经营活动符合《公司法》《中华人民共和国商业银行法》和《公司章程》的规定，决策程序合法有效。董事、高级管理层成员在业务经营及管理过程中谨慎、认真、勤勉、尽职，未发现有违反法律、法规、</w:t>
      </w:r>
      <w:r>
        <w:rPr>
          <w:rFonts w:hint="eastAsia" w:ascii="宋体" w:hAnsi="宋体" w:eastAsia="宋体" w:cs="宋体"/>
          <w:sz w:val="24"/>
          <w:lang w:eastAsia="zh-CN"/>
        </w:rPr>
        <w:t>《</w:t>
      </w:r>
      <w:r>
        <w:rPr>
          <w:rFonts w:hint="eastAsia" w:ascii="宋体" w:hAnsi="宋体" w:eastAsia="宋体" w:cs="宋体"/>
          <w:sz w:val="24"/>
        </w:rPr>
        <w:t>公司章程</w:t>
      </w:r>
      <w:r>
        <w:rPr>
          <w:rFonts w:hint="eastAsia" w:ascii="宋体" w:hAnsi="宋体" w:eastAsia="宋体" w:cs="宋体"/>
          <w:sz w:val="24"/>
          <w:lang w:eastAsia="zh-CN"/>
        </w:rPr>
        <w:t>》</w:t>
      </w:r>
      <w:r>
        <w:rPr>
          <w:rFonts w:hint="eastAsia" w:ascii="宋体" w:hAnsi="宋体" w:eastAsia="宋体" w:cs="宋体"/>
          <w:sz w:val="24"/>
        </w:rPr>
        <w:t>或损害公司及股东利益的行为。</w:t>
      </w:r>
    </w:p>
    <w:p>
      <w:pPr>
        <w:pStyle w:val="23"/>
        <w:keepNext w:val="0"/>
        <w:keepLines w:val="0"/>
        <w:pageBreakBefore w:val="0"/>
        <w:widowControl w:val="0"/>
        <w:numPr>
          <w:ilvl w:val="0"/>
          <w:numId w:val="8"/>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b/>
          <w:sz w:val="24"/>
        </w:rPr>
      </w:pPr>
      <w:r>
        <w:rPr>
          <w:rFonts w:hint="eastAsia" w:ascii="宋体" w:hAnsi="宋体" w:eastAsia="宋体" w:cs="宋体"/>
          <w:b/>
          <w:sz w:val="24"/>
        </w:rPr>
        <w:t>财务报告情况</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 xml:space="preserve">安永华明按照中国注册会计师审计准则的规定，对公司2021年度财务报告进行审计并出具标准无保留意见的审计报告。经审核，财务报告真实、客观、准确地反映了本公司的财务状况和经营成果。 </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rPr>
      </w:pPr>
      <w:r>
        <w:rPr>
          <w:rFonts w:hint="eastAsia" w:ascii="宋体" w:hAnsi="宋体" w:eastAsia="宋体" w:cs="宋体"/>
          <w:b/>
          <w:sz w:val="24"/>
        </w:rPr>
        <w:t>（三）公司收购、出售资产情况</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报告期内，监事会未发现公司收购、出售资产中有内幕交易、损害股东权益或造成公司资产流失的行为。</w:t>
      </w:r>
    </w:p>
    <w:p>
      <w:pPr>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hint="eastAsia" w:ascii="宋体" w:hAnsi="宋体" w:eastAsia="宋体" w:cs="宋体"/>
          <w:b/>
          <w:sz w:val="24"/>
        </w:rPr>
      </w:pPr>
      <w:r>
        <w:rPr>
          <w:rFonts w:hint="eastAsia" w:ascii="宋体" w:hAnsi="宋体" w:eastAsia="宋体" w:cs="宋体"/>
          <w:b/>
          <w:sz w:val="24"/>
        </w:rPr>
        <w:t>（四）关联交易管理情况</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报告期内，公司关联交易管理符合国家法律、法规和《公司章程》的相关规定，未发现损害公司和股东权益的行为。</w:t>
      </w:r>
    </w:p>
    <w:p>
      <w:pPr>
        <w:pStyle w:val="23"/>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hint="eastAsia" w:ascii="宋体" w:hAnsi="宋体" w:eastAsia="宋体" w:cs="宋体"/>
          <w:b/>
          <w:sz w:val="24"/>
        </w:rPr>
      </w:pPr>
      <w:r>
        <w:rPr>
          <w:rFonts w:hint="eastAsia" w:ascii="宋体" w:hAnsi="宋体" w:eastAsia="宋体" w:cs="宋体"/>
          <w:b/>
          <w:sz w:val="24"/>
        </w:rPr>
        <w:t>（五）内部控制情况</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报告期内，公司持续加强和完善内部控制，未发现公司内部控制机制和制度在完整性、合理性、有效性方面存在重大缺陷。</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rPr>
      </w:pPr>
      <w:r>
        <w:rPr>
          <w:rFonts w:hint="eastAsia" w:ascii="宋体" w:hAnsi="宋体" w:eastAsia="宋体" w:cs="宋体"/>
          <w:b/>
          <w:sz w:val="24"/>
        </w:rPr>
        <w:t>（六）</w:t>
      </w:r>
      <w:r>
        <w:rPr>
          <w:rFonts w:hint="eastAsia" w:ascii="宋体" w:hAnsi="宋体" w:eastAsia="宋体" w:cs="宋体"/>
          <w:b/>
          <w:bCs/>
          <w:sz w:val="24"/>
        </w:rPr>
        <w:t>信息披露情况</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报告期内，公司严格按照监管政策要求履行信息披露义务，依法披露公司信息，未发现有虚假记载、误导性陈述或重大遗漏。</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bCs/>
          <w:sz w:val="24"/>
        </w:rPr>
      </w:pPr>
      <w:r>
        <w:rPr>
          <w:rFonts w:hint="eastAsia" w:ascii="宋体" w:hAnsi="宋体" w:eastAsia="宋体" w:cs="宋体"/>
          <w:b/>
          <w:bCs/>
          <w:sz w:val="24"/>
        </w:rPr>
        <w:t>（七）</w:t>
      </w:r>
      <w:r>
        <w:rPr>
          <w:rFonts w:hint="eastAsia" w:ascii="宋体" w:hAnsi="宋体" w:eastAsia="宋体" w:cs="宋体"/>
          <w:b/>
          <w:sz w:val="24"/>
        </w:rPr>
        <w:t>股东大会决议执行情况</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监事会对报告期内董事会提交股东大会审议的各项报告和提案没有异议，对股东大会决议的执行情况进行了监督，认为本公司董事会、经营管理层能够认真执行股东大会的有关决议。</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sz w:val="24"/>
        </w:rPr>
      </w:pPr>
      <w:r>
        <w:rPr>
          <w:rFonts w:hint="eastAsia" w:ascii="宋体" w:hAnsi="宋体" w:eastAsia="宋体" w:cs="宋体"/>
          <w:b/>
          <w:bCs/>
          <w:sz w:val="24"/>
        </w:rPr>
        <w:t>（八）利润分配情况</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2021年度的利润分配方案综合考虑了公司可持续发展、监管部门对资本充足率的要求等因素，同时兼顾投资者的合理投资回报要求，相关审议程序符合《公司章程》规定，合法合规，不存在损害股东利益的情形。</w:t>
      </w:r>
    </w:p>
    <w:p>
      <w:pPr>
        <w:keepNext w:val="0"/>
        <w:keepLines w:val="0"/>
        <w:pageBreakBefore w:val="0"/>
        <w:widowControl w:val="0"/>
        <w:kinsoku/>
        <w:wordWrap/>
        <w:overflowPunct/>
        <w:topLinePunct w:val="0"/>
        <w:autoSpaceDE/>
        <w:autoSpaceDN/>
        <w:bidi w:val="0"/>
        <w:adjustRightInd/>
        <w:snapToGrid w:val="0"/>
        <w:spacing w:line="360" w:lineRule="auto"/>
        <w:ind w:firstLine="723" w:firstLineChars="300"/>
        <w:textAlignment w:val="auto"/>
        <w:rPr>
          <w:rFonts w:hint="eastAsia" w:ascii="宋体" w:hAnsi="宋体" w:eastAsia="宋体" w:cs="宋体"/>
          <w:b/>
          <w:sz w:val="24"/>
        </w:rPr>
      </w:pPr>
      <w:r>
        <w:rPr>
          <w:rFonts w:hint="eastAsia" w:ascii="宋体" w:hAnsi="宋体" w:eastAsia="宋体" w:cs="宋体"/>
          <w:b/>
          <w:sz w:val="24"/>
        </w:rPr>
        <w:t>三、2022年工作计划</w:t>
      </w:r>
    </w:p>
    <w:p>
      <w:pPr>
        <w:keepNext w:val="0"/>
        <w:keepLines w:val="0"/>
        <w:pageBreakBefore w:val="0"/>
        <w:widowControl w:val="0"/>
        <w:kinsoku/>
        <w:wordWrap/>
        <w:overflowPunct/>
        <w:topLinePunct w:val="0"/>
        <w:autoSpaceDE/>
        <w:autoSpaceDN/>
        <w:bidi w:val="0"/>
        <w:adjustRightInd/>
        <w:snapToGrid w:val="0"/>
        <w:spacing w:line="360" w:lineRule="auto"/>
        <w:ind w:firstLine="720" w:firstLineChars="300"/>
        <w:textAlignment w:val="auto"/>
        <w:rPr>
          <w:rFonts w:hint="eastAsia" w:ascii="宋体" w:hAnsi="宋体" w:eastAsia="宋体" w:cs="宋体"/>
          <w:sz w:val="24"/>
        </w:rPr>
      </w:pPr>
      <w:r>
        <w:rPr>
          <w:rFonts w:hint="eastAsia" w:ascii="宋体" w:hAnsi="宋体" w:eastAsia="宋体" w:cs="宋体"/>
          <w:sz w:val="24"/>
        </w:rPr>
        <w:t>2022年是公司第五轮战略规落地至为关键的一年，监事会将紧紧围绕公司中心工作，主动作为</w:t>
      </w:r>
      <w:r>
        <w:rPr>
          <w:rFonts w:hint="eastAsia" w:ascii="宋体" w:hAnsi="宋体" w:eastAsia="宋体" w:cs="宋体"/>
          <w:sz w:val="24"/>
          <w:lang w:eastAsia="zh-CN"/>
        </w:rPr>
        <w:t>、</w:t>
      </w:r>
      <w:r>
        <w:rPr>
          <w:rFonts w:hint="eastAsia" w:ascii="宋体" w:hAnsi="宋体" w:eastAsia="宋体" w:cs="宋体"/>
          <w:sz w:val="24"/>
        </w:rPr>
        <w:t>提升能力</w:t>
      </w:r>
      <w:r>
        <w:rPr>
          <w:rFonts w:hint="eastAsia" w:ascii="宋体" w:hAnsi="宋体" w:eastAsia="宋体" w:cs="宋体"/>
          <w:sz w:val="24"/>
          <w:lang w:eastAsia="zh-CN"/>
        </w:rPr>
        <w:t>、</w:t>
      </w:r>
      <w:r>
        <w:rPr>
          <w:rFonts w:hint="eastAsia" w:ascii="宋体" w:hAnsi="宋体" w:eastAsia="宋体" w:cs="宋体"/>
          <w:sz w:val="24"/>
        </w:rPr>
        <w:t>有效监督，努力为持续提升公司治理水平做出积极贡献。</w:t>
      </w:r>
    </w:p>
    <w:p>
      <w:pPr>
        <w:keepNext w:val="0"/>
        <w:keepLines w:val="0"/>
        <w:pageBreakBefore w:val="0"/>
        <w:widowControl w:val="0"/>
        <w:numPr>
          <w:ilvl w:val="0"/>
          <w:numId w:val="9"/>
        </w:numPr>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rPr>
      </w:pPr>
      <w:r>
        <w:rPr>
          <w:rFonts w:hint="eastAsia" w:ascii="宋体" w:hAnsi="宋体" w:eastAsia="宋体" w:cs="宋体"/>
          <w:b/>
          <w:sz w:val="24"/>
        </w:rPr>
        <w:t>监事会工作计划</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sz w:val="24"/>
        </w:rPr>
      </w:pPr>
      <w:r>
        <w:rPr>
          <w:rFonts w:hint="eastAsia" w:ascii="宋体" w:hAnsi="宋体" w:eastAsia="宋体" w:cs="宋体"/>
          <w:b/>
          <w:sz w:val="24"/>
        </w:rPr>
        <w:t>聚焦年度监督重点，切实履行监督职责。</w:t>
      </w:r>
      <w:r>
        <w:rPr>
          <w:rFonts w:hint="eastAsia" w:ascii="宋体" w:hAnsi="宋体" w:eastAsia="宋体" w:cs="宋体"/>
          <w:sz w:val="24"/>
        </w:rPr>
        <w:t>持续关注董事会和高级管理层在完善公司治理、落实国家经济金融政策、推进公司战略落地，以及在风险管理、内部控制、财务管理等方面的履职情况，确保监督事项覆盖到面。在具体监督内容上坚持问题和风险导向，结合公司战略规划与年度重点工作，聚焦监管和投资者的关注重点，确定年度重点监督目标，通过“常规监督”结合“专项监督”，强化当期和事中监督，实现以点带面，以检查促管理，以监督促规范，以整改促发展的工作格局。</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sz w:val="24"/>
        </w:rPr>
      </w:pPr>
      <w:r>
        <w:rPr>
          <w:rFonts w:hint="eastAsia" w:ascii="宋体" w:hAnsi="宋体" w:eastAsia="宋体" w:cs="宋体"/>
          <w:b/>
          <w:sz w:val="24"/>
        </w:rPr>
        <w:t>以风险导向为核心，建立内外部监督协同机制。</w:t>
      </w:r>
      <w:r>
        <w:rPr>
          <w:rFonts w:hint="eastAsia" w:ascii="宋体" w:hAnsi="宋体" w:eastAsia="宋体" w:cs="宋体"/>
          <w:bCs/>
          <w:sz w:val="24"/>
        </w:rPr>
        <w:t>一是高度重视监管部门现场检查发现的问题，督促经营管理层建立台账逐条对照，按时全面落实整改；认真分析问题产生根源，举一反三，完善体制机制，规范流程，推动公司提升合规意识，严守合规底线，持续加强合规文化建设；二是</w:t>
      </w:r>
      <w:r>
        <w:rPr>
          <w:rFonts w:hint="eastAsia" w:ascii="宋体" w:hAnsi="宋体" w:eastAsia="宋体" w:cs="宋体"/>
          <w:sz w:val="24"/>
        </w:rPr>
        <w:t>着重关注外部审计机构的审计意见，加强对外部审计提出问题的分析研究，督促相关人员及时整改并定期听取整改情况的汇报；三是审阅内部审计报告，对内部审计的全面性和有效性提出建议，对内部审计发现问题的整改进展情况进行持续监督。</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sz w:val="24"/>
        </w:rPr>
      </w:pPr>
      <w:r>
        <w:rPr>
          <w:rFonts w:hint="eastAsia" w:ascii="宋体" w:hAnsi="宋体" w:eastAsia="宋体" w:cs="宋体"/>
          <w:b/>
          <w:sz w:val="24"/>
        </w:rPr>
        <w:t>加强监事会自身建设，提升监督实效。</w:t>
      </w:r>
      <w:r>
        <w:rPr>
          <w:rFonts w:hint="eastAsia" w:ascii="宋体" w:hAnsi="宋体" w:eastAsia="宋体" w:cs="宋体"/>
          <w:sz w:val="24"/>
        </w:rPr>
        <w:t>一是根据《健全银行业保险业公司治理三年行动方案》要求，推动各治理主体持续优化工作机制，推动公司严格执行高标准的职业道德准则，督促公司董事、监事和高管人员遵循高标准的职业道德准则。二是对标上市先进银行，开展监事会“制度重检”和“机制优化”，分析监事会建设方面存在的差距和不足，查漏补缺，适时健全外部监事工作制度，积极探索监事履职的切入点，提高外部监事在重大事项中的参与程度。三是围绕监事会工作，组织开展学习交流活动。组织监事参加监管部门及本公司组织的培训，丰富本公司监事会履职手段和内容，提升监事履职专业性。</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rPr>
      </w:pPr>
      <w:r>
        <w:rPr>
          <w:rFonts w:hint="eastAsia" w:ascii="宋体" w:hAnsi="宋体" w:eastAsia="宋体" w:cs="宋体"/>
          <w:b/>
          <w:sz w:val="24"/>
        </w:rPr>
        <w:t>（二）监事会专业委员会2021年工作重点</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Cs/>
          <w:sz w:val="24"/>
        </w:rPr>
      </w:pPr>
      <w:r>
        <w:rPr>
          <w:rFonts w:hint="eastAsia" w:ascii="宋体" w:hAnsi="宋体" w:eastAsia="宋体" w:cs="宋体"/>
          <w:bCs/>
          <w:sz w:val="24"/>
        </w:rPr>
        <w:t>2021年，监事会下设各专业委员会将严格执行监事会各项制度，按时组织召开会议，全面完成监事会及其专业委员会年度工作计划；充分发挥专委会作用，持续加强对公司财务管理、风险合规、内部控制、薪酬管理等方面的监督效能，切实保障和发挥专委会支撑作用，提高监事会会议的质量和效率。</w:t>
      </w:r>
    </w:p>
    <w:p>
      <w:pPr>
        <w:keepNext w:val="0"/>
        <w:keepLines w:val="0"/>
        <w:pageBreakBefore w:val="0"/>
        <w:widowControl w:val="0"/>
        <w:numPr>
          <w:ilvl w:val="0"/>
          <w:numId w:val="10"/>
        </w:numPr>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rPr>
      </w:pPr>
      <w:r>
        <w:rPr>
          <w:rFonts w:hint="eastAsia" w:ascii="宋体" w:hAnsi="宋体" w:eastAsia="宋体" w:cs="宋体"/>
          <w:b/>
          <w:sz w:val="24"/>
        </w:rPr>
        <w:t>审计委员会</w:t>
      </w:r>
    </w:p>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sz w:val="24"/>
        </w:rPr>
      </w:pPr>
      <w:r>
        <w:rPr>
          <w:rFonts w:hint="eastAsia" w:ascii="宋体" w:hAnsi="宋体" w:eastAsia="宋体" w:cs="宋体"/>
          <w:b/>
          <w:sz w:val="24"/>
        </w:rPr>
        <w:t>深入开展重点项目监督，持续深化专题调研。</w:t>
      </w:r>
      <w:r>
        <w:rPr>
          <w:rFonts w:hint="eastAsia" w:ascii="宋体" w:hAnsi="宋体" w:eastAsia="宋体" w:cs="宋体"/>
          <w:sz w:val="24"/>
        </w:rPr>
        <w:t xml:space="preserve">一是进一步充实调研内容，突出监督重心。围绕公司战略重点选择调研监督项目，将调研重心放在公司经营发展的热点、焦点，以点带面研究分析全行经营管理中存在的问题与薄弱点，从而有针对性地提出意见与建议，促进公司健康发展和管理提升。二是整合监督资源，优化调研方式。充分发挥监事会专业委员会及全体监事专业、专注的优势和作用，鼓励监事牵头开展、积极参与其专业领域内的有关项目。积极发挥专业部门间的联动作用，根据调研主题与总行有关部门开展协作，借力专业资源和力量，提升调研检查的广度与深度。切实关注调研成果运用，做好调研监督前的研究准备和调研监督后的收效评估，使调研结果更突出重点、切中要点，更有效发挥监事会的监督保障作用。 </w:t>
      </w:r>
    </w:p>
    <w:p>
      <w:pPr>
        <w:keepNext w:val="0"/>
        <w:keepLines w:val="0"/>
        <w:pageBreakBefore w:val="0"/>
        <w:widowControl w:val="0"/>
        <w:numPr>
          <w:ilvl w:val="0"/>
          <w:numId w:val="10"/>
        </w:numPr>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bCs/>
          <w:sz w:val="24"/>
        </w:rPr>
      </w:pPr>
      <w:r>
        <w:rPr>
          <w:rFonts w:hint="eastAsia" w:ascii="宋体" w:hAnsi="宋体" w:eastAsia="宋体" w:cs="宋体"/>
          <w:b/>
          <w:bCs/>
          <w:sz w:val="24"/>
        </w:rPr>
        <w:t>提名委员会</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sz w:val="24"/>
        </w:rPr>
      </w:pPr>
      <w:r>
        <w:rPr>
          <w:rFonts w:hint="eastAsia" w:ascii="宋体" w:hAnsi="宋体" w:eastAsia="宋体" w:cs="宋体"/>
          <w:b/>
          <w:bCs/>
          <w:sz w:val="24"/>
        </w:rPr>
        <w:t>优化履职评价程序，深化日常监督管理。</w:t>
      </w:r>
      <w:r>
        <w:rPr>
          <w:rFonts w:hint="eastAsia" w:ascii="宋体" w:hAnsi="宋体" w:eastAsia="宋体" w:cs="宋体"/>
          <w:sz w:val="24"/>
        </w:rPr>
        <w:t>进一步完善履职监督与评价程序，根据新修订的董事会、监事会、高级管理层及其成员履职评价办法，协助监事会加强对董事会、高级管理层及其成员的履职监督，做好董事、监事、高级管理人员年度履职评价工作；充实履职评价档案内容，完善对董事、监事及高级管理人员的日常履职记录要求；积极探索履职评价的结果运用，促进“三会一层”成员依法合规履职尽责。</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0"/>
        </w:rPr>
      </w:pPr>
      <w:r>
        <w:rPr>
          <w:rFonts w:hint="eastAsia" w:ascii="宋体" w:hAnsi="宋体" w:eastAsia="宋体" w:cs="宋体"/>
          <w:sz w:val="24"/>
        </w:rPr>
        <w:t>本议案已经第八届监事会第</w:t>
      </w:r>
      <w:r>
        <w:rPr>
          <w:rFonts w:hint="eastAsia" w:ascii="宋体" w:hAnsi="宋体" w:eastAsia="宋体" w:cs="宋体"/>
          <w:sz w:val="24"/>
          <w:lang w:val="en-US" w:eastAsia="zh-CN"/>
        </w:rPr>
        <w:t>十一</w:t>
      </w:r>
      <w:r>
        <w:rPr>
          <w:rFonts w:hint="eastAsia" w:ascii="宋体" w:hAnsi="宋体" w:eastAsia="宋体" w:cs="宋体"/>
          <w:sz w:val="24"/>
        </w:rPr>
        <w:t>次会议审议通过，请各位股东审议。</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0"/>
        </w:rPr>
      </w:pP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0"/>
        </w:rPr>
      </w:pPr>
    </w:p>
    <w:p>
      <w:pPr>
        <w:pStyle w:val="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厦门银行股份有限公司</w:t>
      </w:r>
    </w:p>
    <w:p>
      <w:pPr>
        <w:pStyle w:val="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right"/>
        <w:textAlignment w:val="auto"/>
        <w:rPr>
          <w:rFonts w:hAnsi="宋体" w:eastAsia="宋体" w:cs="宋体"/>
          <w:sz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2</w:t>
      </w:r>
      <w:r>
        <w:rPr>
          <w:rFonts w:hint="eastAsia" w:ascii="宋体" w:hAnsi="宋体" w:eastAsia="宋体" w:cs="宋体"/>
          <w:sz w:val="24"/>
          <w:szCs w:val="24"/>
        </w:rPr>
        <w:t>年</w:t>
      </w:r>
      <w:r>
        <w:rPr>
          <w:rFonts w:hint="eastAsia" w:ascii="宋体" w:hAnsi="宋体" w:eastAsia="宋体" w:cs="宋体"/>
          <w:sz w:val="24"/>
          <w:szCs w:val="24"/>
          <w:lang w:val="en-US" w:eastAsia="zh-CN"/>
        </w:rPr>
        <w:t>6</w:t>
      </w:r>
      <w:r>
        <w:rPr>
          <w:rFonts w:hint="eastAsia" w:ascii="宋体" w:hAnsi="宋体" w:eastAsia="宋体" w:cs="宋体"/>
          <w:sz w:val="24"/>
          <w:szCs w:val="24"/>
        </w:rPr>
        <w:t>月</w:t>
      </w:r>
      <w:r>
        <w:rPr>
          <w:rFonts w:hint="eastAsia" w:ascii="宋体" w:hAnsi="宋体" w:eastAsia="宋体" w:cs="宋体"/>
          <w:sz w:val="24"/>
          <w:szCs w:val="24"/>
          <w:lang w:val="en-US" w:eastAsia="zh-CN"/>
        </w:rPr>
        <w:t>2</w:t>
      </w:r>
      <w:r>
        <w:rPr>
          <w:rFonts w:hint="eastAsia" w:ascii="宋体" w:hAnsi="宋体" w:eastAsia="宋体" w:cs="宋体"/>
          <w:sz w:val="24"/>
          <w:szCs w:val="24"/>
        </w:rPr>
        <w:t>日</w:t>
      </w:r>
    </w:p>
    <w:p>
      <w:r>
        <w:br w:type="page"/>
      </w:r>
    </w:p>
    <w:p>
      <w:pPr>
        <w:pStyle w:val="19"/>
      </w:pPr>
    </w:p>
    <w:p>
      <w:pPr>
        <w:spacing w:line="360" w:lineRule="auto"/>
        <w:jc w:val="center"/>
        <w:rPr>
          <w:rFonts w:ascii="宋体" w:hAnsi="宋体" w:eastAsia="宋体" w:cs="宋体"/>
          <w:b/>
          <w:bCs/>
          <w:sz w:val="28"/>
          <w:szCs w:val="36"/>
        </w:rPr>
      </w:pPr>
      <w:r>
        <w:rPr>
          <w:rFonts w:hint="eastAsia" w:ascii="宋体" w:hAnsi="宋体" w:eastAsia="宋体" w:cs="宋体"/>
          <w:b/>
          <w:bCs/>
          <w:color w:val="000000"/>
          <w:sz w:val="30"/>
          <w:szCs w:val="30"/>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2494915" cy="676275"/>
                <wp:effectExtent l="5080" t="4445" r="14605" b="5080"/>
                <wp:wrapNone/>
                <wp:docPr id="2" name="文本框 3"/>
                <wp:cNvGraphicFramePr/>
                <a:graphic xmlns:a="http://schemas.openxmlformats.org/drawingml/2006/main">
                  <a:graphicData uri="http://schemas.microsoft.com/office/word/2010/wordprocessingShape">
                    <wps:wsp>
                      <wps:cNvSpPr txBox="1"/>
                      <wps:spPr>
                        <a:xfrm>
                          <a:off x="0" y="0"/>
                          <a:ext cx="2494915" cy="676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eastAsia" w:ascii="宋体" w:hAnsi="宋体" w:eastAsia="宋体" w:cs="宋体"/>
                                <w:lang w:eastAsia="zh-CN"/>
                              </w:rPr>
                            </w:pPr>
                            <w:r>
                              <w:rPr>
                                <w:rFonts w:hint="eastAsia" w:ascii="宋体" w:hAnsi="宋体" w:eastAsia="宋体" w:cs="宋体"/>
                              </w:rPr>
                              <w:t>议案</w:t>
                            </w:r>
                            <w:r>
                              <w:rPr>
                                <w:rFonts w:hint="eastAsia" w:ascii="宋体" w:hAnsi="宋体" w:eastAsia="宋体" w:cs="宋体"/>
                                <w:lang w:val="en-US" w:eastAsia="zh-CN"/>
                              </w:rPr>
                              <w:t>5</w:t>
                            </w:r>
                          </w:p>
                        </w:txbxContent>
                      </wps:txbx>
                      <wps:bodyPr wrap="square" upright="1"/>
                    </wps:wsp>
                  </a:graphicData>
                </a:graphic>
              </wp:anchor>
            </w:drawing>
          </mc:Choice>
          <mc:Fallback>
            <w:pict>
              <v:shape id="文本框 3" o:spid="_x0000_s1026" o:spt="202" type="#_x0000_t202" style="position:absolute;left:0pt;margin-left:0pt;margin-top:0pt;height:53.25pt;width:196.45pt;z-index:251664384;mso-width-relative:page;mso-height-relative:page;" fillcolor="#FFFFFF" filled="t" stroked="t" coordsize="21600,21600" o:gfxdata="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hXBbWAAAABQEAAA8AAAAAAAAAAQAgAAAAIgAAAGRycy9kb3ducmV2Lnht&#10;bFBLAQIUABQAAAAIAIdO4kDj8y1r+wEAAPYDAAAOAAAAAAAAAAEAIAAAACUBAABkcnMvZTJvRG9j&#10;LnhtbFBLBQYAAAAABgAGAFkBAACSBQ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eastAsia" w:ascii="宋体" w:hAnsi="宋体" w:eastAsia="宋体" w:cs="宋体"/>
                          <w:lang w:eastAsia="zh-CN"/>
                        </w:rPr>
                      </w:pPr>
                      <w:r>
                        <w:rPr>
                          <w:rFonts w:hint="eastAsia" w:ascii="宋体" w:hAnsi="宋体" w:eastAsia="宋体" w:cs="宋体"/>
                        </w:rPr>
                        <w:t>议案</w:t>
                      </w:r>
                      <w:r>
                        <w:rPr>
                          <w:rFonts w:hint="eastAsia" w:ascii="宋体" w:hAnsi="宋体" w:eastAsia="宋体" w:cs="宋体"/>
                          <w:lang w:val="en-US" w:eastAsia="zh-CN"/>
                        </w:rPr>
                        <w:t>5</w:t>
                      </w:r>
                    </w:p>
                  </w:txbxContent>
                </v:textbox>
              </v:shape>
            </w:pict>
          </mc:Fallback>
        </mc:AlternateContent>
      </w:r>
    </w:p>
    <w:p>
      <w:pPr>
        <w:spacing w:line="360" w:lineRule="auto"/>
        <w:jc w:val="center"/>
        <w:rPr>
          <w:rFonts w:ascii="宋体" w:hAnsi="宋体" w:eastAsia="宋体" w:cs="宋体"/>
          <w:b/>
          <w:bCs/>
          <w:sz w:val="28"/>
          <w:szCs w:val="36"/>
        </w:rPr>
      </w:pPr>
    </w:p>
    <w:p>
      <w:pPr>
        <w:pStyle w:val="2"/>
      </w:pPr>
    </w:p>
    <w:p>
      <w:pPr>
        <w:spacing w:line="360" w:lineRule="auto"/>
        <w:jc w:val="center"/>
        <w:outlineLvl w:val="0"/>
        <w:rPr>
          <w:rFonts w:ascii="宋体" w:hAnsi="宋体" w:eastAsia="宋体" w:cs="宋体"/>
          <w:bCs/>
          <w:color w:val="000000"/>
          <w:kern w:val="36"/>
          <w:sz w:val="24"/>
        </w:rPr>
      </w:pPr>
      <w:r>
        <w:rPr>
          <w:rFonts w:hint="eastAsia" w:ascii="宋体" w:hAnsi="宋体" w:eastAsia="宋体" w:cs="宋体"/>
          <w:b/>
          <w:bCs/>
          <w:sz w:val="28"/>
          <w:szCs w:val="36"/>
        </w:rPr>
        <w:t>厦门银行股份有限公司关于2022年度财务预算方案的议案</w:t>
      </w:r>
    </w:p>
    <w:p>
      <w:pPr>
        <w:snapToGrid w:val="0"/>
        <w:spacing w:line="360" w:lineRule="auto"/>
        <w:rPr>
          <w:rFonts w:hint="eastAsia" w:ascii="宋体" w:hAnsi="宋体" w:eastAsia="宋体" w:cs="宋体"/>
          <w:bCs/>
          <w:color w:val="000000"/>
          <w:kern w:val="36"/>
          <w:sz w:val="24"/>
        </w:rPr>
      </w:pPr>
    </w:p>
    <w:p>
      <w:pPr>
        <w:keepNext w:val="0"/>
        <w:keepLines w:val="0"/>
        <w:pageBreakBefore w:val="0"/>
        <w:widowControl w:val="0"/>
        <w:kinsoku/>
        <w:wordWrap/>
        <w:overflowPunct/>
        <w:topLinePunct w:val="0"/>
        <w:autoSpaceDE/>
        <w:autoSpaceDN/>
        <w:bidi w:val="0"/>
        <w:snapToGrid w:val="0"/>
        <w:spacing w:line="360" w:lineRule="auto"/>
        <w:textAlignment w:val="auto"/>
        <w:rPr>
          <w:rFonts w:hint="eastAsia" w:ascii="宋体" w:hAnsi="宋体" w:eastAsia="宋体" w:cs="宋体"/>
          <w:sz w:val="24"/>
        </w:rPr>
      </w:pPr>
      <w:r>
        <w:rPr>
          <w:rFonts w:hint="eastAsia" w:ascii="宋体" w:hAnsi="宋体" w:eastAsia="宋体" w:cs="宋体"/>
          <w:bCs/>
          <w:color w:val="000000"/>
          <w:kern w:val="36"/>
          <w:sz w:val="24"/>
        </w:rPr>
        <w:t>尊敬的各位</w:t>
      </w:r>
      <w:r>
        <w:rPr>
          <w:rFonts w:hint="eastAsia" w:ascii="宋体" w:hAnsi="宋体" w:eastAsia="宋体" w:cs="宋体"/>
          <w:sz w:val="24"/>
        </w:rPr>
        <w:t>股东</w:t>
      </w:r>
      <w:r>
        <w:rPr>
          <w:rFonts w:hint="eastAsia" w:ascii="宋体" w:hAnsi="宋体" w:eastAsia="宋体" w:cs="宋体"/>
          <w:bCs/>
          <w:color w:val="000000"/>
          <w:kern w:val="36"/>
          <w:sz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eastAsia" w:ascii="宋体" w:hAnsi="宋体" w:eastAsia="宋体" w:cs="宋体"/>
          <w:iCs/>
          <w:color w:val="000000" w:themeColor="text1"/>
          <w:kern w:val="0"/>
          <w:sz w:val="24"/>
          <w:szCs w:val="24"/>
          <w:lang w:val="en-US" w:eastAsia="zh-CN"/>
          <w14:textFill>
            <w14:solidFill>
              <w14:schemeClr w14:val="tx1"/>
            </w14:solidFill>
          </w14:textFill>
        </w:rPr>
      </w:pPr>
      <w:r>
        <w:rPr>
          <w:rFonts w:hint="eastAsia" w:ascii="宋体" w:hAnsi="宋体" w:eastAsia="宋体" w:cs="宋体"/>
          <w:iCs/>
          <w:color w:val="000000" w:themeColor="text1"/>
          <w:kern w:val="0"/>
          <w:sz w:val="24"/>
          <w:szCs w:val="24"/>
          <w:lang w:val="en-US" w:eastAsia="zh-CN"/>
          <w14:textFill>
            <w14:solidFill>
              <w14:schemeClr w14:val="tx1"/>
            </w14:solidFill>
          </w14:textFill>
        </w:rPr>
        <w:t>现将2022年度财务预算方案报告如下：</w:t>
      </w:r>
    </w:p>
    <w:p>
      <w:pPr>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eastAsia" w:ascii="宋体" w:hAnsi="宋体" w:eastAsia="宋体" w:cs="宋体"/>
          <w:iCs/>
          <w:color w:val="000000" w:themeColor="text1"/>
          <w:kern w:val="0"/>
          <w:sz w:val="24"/>
          <w:szCs w:val="24"/>
          <w14:textFill>
            <w14:solidFill>
              <w14:schemeClr w14:val="tx1"/>
            </w14:solidFill>
          </w14:textFill>
        </w:rPr>
      </w:pPr>
      <w:r>
        <w:rPr>
          <w:rFonts w:hint="eastAsia" w:ascii="宋体" w:hAnsi="宋体" w:eastAsia="宋体" w:cs="宋体"/>
          <w:iCs/>
          <w:color w:val="000000" w:themeColor="text1"/>
          <w:kern w:val="0"/>
          <w:sz w:val="24"/>
          <w:szCs w:val="24"/>
          <w:lang w:val="en-US" w:eastAsia="zh-CN"/>
          <w14:textFill>
            <w14:solidFill>
              <w14:schemeClr w14:val="tx1"/>
            </w14:solidFill>
          </w14:textFill>
        </w:rPr>
        <w:t>研判国内外形势，2022年我国发展仍面临诸多风险挑战，在国内经济</w:t>
      </w:r>
      <w:r>
        <w:rPr>
          <w:rFonts w:hint="eastAsia" w:ascii="宋体" w:hAnsi="宋体" w:eastAsia="宋体" w:cs="宋体"/>
          <w:iCs/>
          <w:color w:val="000000" w:themeColor="text1"/>
          <w:kern w:val="0"/>
          <w:sz w:val="24"/>
          <w:szCs w:val="24"/>
          <w14:textFill>
            <w14:solidFill>
              <w14:schemeClr w14:val="tx1"/>
            </w14:solidFill>
          </w14:textFill>
        </w:rPr>
        <w:t>恢复仍不稳固、不均衡</w:t>
      </w:r>
      <w:r>
        <w:rPr>
          <w:rFonts w:hint="eastAsia" w:ascii="宋体" w:hAnsi="宋体" w:eastAsia="宋体" w:cs="宋体"/>
          <w:iCs/>
          <w:color w:val="000000" w:themeColor="text1"/>
          <w:kern w:val="0"/>
          <w:sz w:val="24"/>
          <w:szCs w:val="24"/>
          <w:lang w:val="en-US" w:eastAsia="zh-CN"/>
          <w14:textFill>
            <w14:solidFill>
              <w14:schemeClr w14:val="tx1"/>
            </w14:solidFill>
          </w14:textFill>
        </w:rPr>
        <w:t>的大环境下，预计同业发展方向将以调整结构为主。2022年，</w:t>
      </w:r>
      <w:r>
        <w:rPr>
          <w:rFonts w:hint="eastAsia" w:ascii="宋体" w:hAnsi="宋体" w:eastAsia="宋体" w:cs="宋体"/>
          <w:iCs/>
          <w:color w:val="000000" w:themeColor="text1"/>
          <w:kern w:val="0"/>
          <w:sz w:val="24"/>
          <w:szCs w:val="24"/>
          <w14:textFill>
            <w14:solidFill>
              <w14:schemeClr w14:val="tx1"/>
            </w14:solidFill>
          </w14:textFill>
        </w:rPr>
        <w:t>是</w:t>
      </w:r>
      <w:r>
        <w:rPr>
          <w:rFonts w:hint="eastAsia" w:ascii="宋体" w:hAnsi="宋体" w:eastAsia="宋体" w:cs="宋体"/>
          <w:iCs/>
          <w:color w:val="000000" w:themeColor="text1"/>
          <w:kern w:val="0"/>
          <w:sz w:val="24"/>
          <w:szCs w:val="24"/>
          <w:lang w:val="en-US" w:eastAsia="zh-CN"/>
          <w14:textFill>
            <w14:solidFill>
              <w14:schemeClr w14:val="tx1"/>
            </w14:solidFill>
          </w14:textFill>
        </w:rPr>
        <w:t>本行</w:t>
      </w:r>
      <w:r>
        <w:rPr>
          <w:rFonts w:hint="eastAsia" w:ascii="宋体" w:hAnsi="宋体" w:eastAsia="宋体" w:cs="宋体"/>
          <w:iCs/>
          <w:color w:val="000000" w:themeColor="text1"/>
          <w:kern w:val="0"/>
          <w:sz w:val="24"/>
          <w:szCs w:val="24"/>
          <w14:textFill>
            <w14:solidFill>
              <w14:schemeClr w14:val="tx1"/>
            </w14:solidFill>
          </w14:textFill>
        </w:rPr>
        <w:t>新三年战略规划推进实施承上启下的</w:t>
      </w:r>
      <w:r>
        <w:rPr>
          <w:rFonts w:hint="eastAsia" w:ascii="宋体" w:hAnsi="宋体" w:eastAsia="宋体" w:cs="宋体"/>
          <w:iCs/>
          <w:color w:val="000000" w:themeColor="text1"/>
          <w:kern w:val="0"/>
          <w:sz w:val="24"/>
          <w:szCs w:val="24"/>
          <w:lang w:val="en-US" w:eastAsia="zh-CN"/>
          <w14:textFill>
            <w14:solidFill>
              <w14:schemeClr w14:val="tx1"/>
            </w14:solidFill>
          </w14:textFill>
        </w:rPr>
        <w:t>一</w:t>
      </w:r>
      <w:r>
        <w:rPr>
          <w:rFonts w:hint="eastAsia" w:ascii="宋体" w:hAnsi="宋体" w:eastAsia="宋体" w:cs="宋体"/>
          <w:iCs/>
          <w:color w:val="000000" w:themeColor="text1"/>
          <w:kern w:val="0"/>
          <w:sz w:val="24"/>
          <w:szCs w:val="24"/>
          <w14:textFill>
            <w14:solidFill>
              <w14:schemeClr w14:val="tx1"/>
            </w14:solidFill>
          </w14:textFill>
        </w:rPr>
        <w:t>年</w:t>
      </w:r>
      <w:r>
        <w:rPr>
          <w:rFonts w:hint="eastAsia" w:ascii="宋体" w:hAnsi="宋体" w:eastAsia="宋体" w:cs="宋体"/>
          <w:iCs/>
          <w:color w:val="000000" w:themeColor="text1"/>
          <w:kern w:val="0"/>
          <w:sz w:val="24"/>
          <w:szCs w:val="24"/>
          <w:lang w:eastAsia="zh-CN"/>
          <w14:textFill>
            <w14:solidFill>
              <w14:schemeClr w14:val="tx1"/>
            </w14:solidFill>
          </w14:textFill>
        </w:rPr>
        <w:t>，</w:t>
      </w:r>
      <w:r>
        <w:rPr>
          <w:rFonts w:hint="eastAsia" w:ascii="宋体" w:hAnsi="宋体" w:eastAsia="宋体" w:cs="宋体"/>
          <w:iCs/>
          <w:color w:val="000000" w:themeColor="text1"/>
          <w:kern w:val="0"/>
          <w:sz w:val="24"/>
          <w:szCs w:val="24"/>
          <w14:textFill>
            <w14:solidFill>
              <w14:schemeClr w14:val="tx1"/>
            </w14:solidFill>
          </w14:textFill>
        </w:rPr>
        <w:t>将是公司</w:t>
      </w:r>
      <w:r>
        <w:rPr>
          <w:rFonts w:hint="eastAsia" w:ascii="宋体" w:hAnsi="宋体" w:eastAsia="宋体" w:cs="宋体"/>
          <w:iCs/>
          <w:color w:val="000000" w:themeColor="text1"/>
          <w:kern w:val="0"/>
          <w:sz w:val="24"/>
          <w:szCs w:val="24"/>
          <w:lang w:val="en-US" w:eastAsia="zh-CN"/>
          <w14:textFill>
            <w14:solidFill>
              <w14:schemeClr w14:val="tx1"/>
            </w14:solidFill>
          </w14:textFill>
        </w:rPr>
        <w:t>推动</w:t>
      </w:r>
      <w:r>
        <w:rPr>
          <w:rFonts w:hint="eastAsia" w:ascii="宋体" w:hAnsi="宋体" w:eastAsia="宋体" w:cs="宋体"/>
          <w:iCs/>
          <w:color w:val="000000" w:themeColor="text1"/>
          <w:kern w:val="0"/>
          <w:sz w:val="24"/>
          <w:szCs w:val="24"/>
          <w14:textFill>
            <w14:solidFill>
              <w14:schemeClr w14:val="tx1"/>
            </w14:solidFill>
          </w14:textFill>
        </w:rPr>
        <w:t>深化转型</w:t>
      </w:r>
      <w:r>
        <w:rPr>
          <w:rFonts w:hint="eastAsia" w:ascii="宋体" w:hAnsi="宋体" w:eastAsia="宋体" w:cs="宋体"/>
          <w:iCs/>
          <w:color w:val="000000" w:themeColor="text1"/>
          <w:kern w:val="0"/>
          <w:sz w:val="24"/>
          <w:szCs w:val="24"/>
          <w:lang w:eastAsia="zh-CN"/>
          <w14:textFill>
            <w14:solidFill>
              <w14:schemeClr w14:val="tx1"/>
            </w14:solidFill>
          </w14:textFill>
        </w:rPr>
        <w:t>、</w:t>
      </w:r>
      <w:r>
        <w:rPr>
          <w:rFonts w:hint="eastAsia" w:ascii="宋体" w:hAnsi="宋体" w:eastAsia="宋体" w:cs="宋体"/>
          <w:iCs/>
          <w:color w:val="000000" w:themeColor="text1"/>
          <w:kern w:val="0"/>
          <w:sz w:val="24"/>
          <w:szCs w:val="24"/>
          <w:lang w:val="en-US" w:eastAsia="zh-CN"/>
          <w14:textFill>
            <w14:solidFill>
              <w14:schemeClr w14:val="tx1"/>
            </w14:solidFill>
          </w14:textFill>
        </w:rPr>
        <w:t>进一步改善内部结构</w:t>
      </w:r>
      <w:r>
        <w:rPr>
          <w:rFonts w:hint="eastAsia" w:ascii="宋体" w:hAnsi="宋体" w:eastAsia="宋体" w:cs="宋体"/>
          <w:iCs/>
          <w:color w:val="000000" w:themeColor="text1"/>
          <w:kern w:val="0"/>
          <w:sz w:val="24"/>
          <w:szCs w:val="24"/>
          <w14:textFill>
            <w14:solidFill>
              <w14:schemeClr w14:val="tx1"/>
            </w14:solidFill>
          </w14:textFill>
        </w:rPr>
        <w:t>的</w:t>
      </w:r>
      <w:r>
        <w:rPr>
          <w:rFonts w:hint="eastAsia" w:ascii="宋体" w:hAnsi="宋体" w:eastAsia="宋体" w:cs="宋体"/>
          <w:iCs/>
          <w:color w:val="000000" w:themeColor="text1"/>
          <w:kern w:val="0"/>
          <w:sz w:val="24"/>
          <w:szCs w:val="24"/>
          <w:lang w:val="en-US" w:eastAsia="zh-CN"/>
          <w14:textFill>
            <w14:solidFill>
              <w14:schemeClr w14:val="tx1"/>
            </w14:solidFill>
          </w14:textFill>
        </w:rPr>
        <w:t>最佳时机，公司</w:t>
      </w:r>
      <w:r>
        <w:rPr>
          <w:rFonts w:hint="eastAsia" w:ascii="宋体" w:hAnsi="宋体" w:eastAsia="宋体" w:cs="宋体"/>
          <w:iCs/>
          <w:color w:val="000000" w:themeColor="text1"/>
          <w:kern w:val="0"/>
          <w:sz w:val="24"/>
          <w:szCs w:val="24"/>
          <w14:textFill>
            <w14:solidFill>
              <w14:schemeClr w14:val="tx1"/>
            </w14:solidFill>
          </w14:textFill>
        </w:rPr>
        <w:t>新旧动能转换</w:t>
      </w:r>
      <w:r>
        <w:rPr>
          <w:rFonts w:hint="eastAsia" w:ascii="宋体" w:hAnsi="宋体" w:eastAsia="宋体" w:cs="宋体"/>
          <w:iCs/>
          <w:color w:val="000000" w:themeColor="text1"/>
          <w:kern w:val="0"/>
          <w:sz w:val="24"/>
          <w:szCs w:val="24"/>
          <w:lang w:val="en-US" w:eastAsia="zh-CN"/>
          <w14:textFill>
            <w14:solidFill>
              <w14:schemeClr w14:val="tx1"/>
            </w14:solidFill>
          </w14:textFill>
        </w:rPr>
        <w:t>提速</w:t>
      </w:r>
      <w:r>
        <w:rPr>
          <w:rFonts w:hint="eastAsia" w:ascii="宋体" w:hAnsi="宋体" w:eastAsia="宋体" w:cs="宋体"/>
          <w:iCs/>
          <w:color w:val="000000" w:themeColor="text1"/>
          <w:kern w:val="0"/>
          <w:sz w:val="24"/>
          <w:szCs w:val="24"/>
          <w14:textFill>
            <w14:solidFill>
              <w14:schemeClr w14:val="tx1"/>
            </w14:solidFill>
          </w14:textFill>
        </w:rPr>
        <w:t>，新业态、新结构和新增长点有望持续蓄势聚力。公司</w:t>
      </w:r>
      <w:r>
        <w:rPr>
          <w:rFonts w:hint="eastAsia" w:ascii="宋体" w:hAnsi="宋体" w:eastAsia="宋体" w:cs="宋体"/>
          <w:iCs/>
          <w:color w:val="000000" w:themeColor="text1"/>
          <w:kern w:val="0"/>
          <w:sz w:val="24"/>
          <w:szCs w:val="24"/>
          <w:lang w:val="en-US" w:eastAsia="zh-CN"/>
          <w14:textFill>
            <w14:solidFill>
              <w14:schemeClr w14:val="tx1"/>
            </w14:solidFill>
          </w14:textFill>
        </w:rPr>
        <w:t>将</w:t>
      </w:r>
      <w:r>
        <w:rPr>
          <w:rFonts w:hint="eastAsia" w:ascii="宋体" w:hAnsi="宋体" w:eastAsia="宋体" w:cs="宋体"/>
          <w:iCs/>
          <w:color w:val="000000" w:themeColor="text1"/>
          <w:kern w:val="0"/>
          <w:sz w:val="24"/>
          <w:szCs w:val="24"/>
          <w14:textFill>
            <w14:solidFill>
              <w14:schemeClr w14:val="tx1"/>
            </w14:solidFill>
          </w14:textFill>
        </w:rPr>
        <w:t>坚定</w:t>
      </w:r>
      <w:r>
        <w:rPr>
          <w:rFonts w:hint="eastAsia" w:ascii="宋体" w:hAnsi="宋体" w:eastAsia="宋体" w:cs="宋体"/>
          <w:iCs/>
          <w:color w:val="000000" w:themeColor="text1"/>
          <w:kern w:val="0"/>
          <w:sz w:val="24"/>
          <w:szCs w:val="24"/>
          <w:lang w:val="en-US" w:eastAsia="zh-CN"/>
          <w14:textFill>
            <w14:solidFill>
              <w14:schemeClr w14:val="tx1"/>
            </w14:solidFill>
          </w14:textFill>
        </w:rPr>
        <w:t>党中央稳中求进的工作总基调，</w:t>
      </w:r>
      <w:r>
        <w:rPr>
          <w:rFonts w:hint="eastAsia" w:ascii="宋体" w:hAnsi="宋体" w:eastAsia="宋体" w:cs="宋体"/>
          <w:iCs/>
          <w:color w:val="000000" w:themeColor="text1"/>
          <w:kern w:val="0"/>
          <w:sz w:val="24"/>
          <w:szCs w:val="24"/>
          <w14:textFill>
            <w14:solidFill>
              <w14:schemeClr w14:val="tx1"/>
            </w14:solidFill>
          </w14:textFill>
        </w:rPr>
        <w:t>以战略规划为指引，围绕促进战略使命落地的目标，以“</w:t>
      </w:r>
      <w:r>
        <w:rPr>
          <w:rFonts w:hint="eastAsia" w:ascii="宋体" w:hAnsi="宋体" w:eastAsia="宋体" w:cs="宋体"/>
          <w:iCs/>
          <w:color w:val="000000" w:themeColor="text1"/>
          <w:kern w:val="0"/>
          <w:sz w:val="24"/>
          <w:szCs w:val="24"/>
          <w:lang w:val="en-US" w:eastAsia="zh-CN"/>
          <w14:textFill>
            <w14:solidFill>
              <w14:schemeClr w14:val="tx1"/>
            </w14:solidFill>
          </w14:textFill>
        </w:rPr>
        <w:t>跨跃增长压力、积极调整结构、改善存贷利差、高效把控风险</w:t>
      </w:r>
      <w:r>
        <w:rPr>
          <w:rFonts w:hint="eastAsia" w:ascii="宋体" w:hAnsi="宋体" w:eastAsia="宋体" w:cs="宋体"/>
          <w:iCs/>
          <w:color w:val="000000" w:themeColor="text1"/>
          <w:kern w:val="0"/>
          <w:sz w:val="24"/>
          <w:szCs w:val="24"/>
          <w14:textFill>
            <w14:solidFill>
              <w14:schemeClr w14:val="tx1"/>
            </w14:solidFill>
          </w14:textFill>
        </w:rPr>
        <w:t>”的预算思路展开工作</w:t>
      </w:r>
      <w:r>
        <w:rPr>
          <w:rFonts w:hint="eastAsia" w:ascii="宋体" w:hAnsi="宋体" w:eastAsia="宋体" w:cs="宋体"/>
          <w:iCs/>
          <w:color w:val="000000" w:themeColor="text1"/>
          <w:kern w:val="0"/>
          <w:sz w:val="24"/>
          <w:szCs w:val="24"/>
          <w:lang w:eastAsia="zh-CN"/>
          <w14:textFill>
            <w14:solidFill>
              <w14:schemeClr w14:val="tx1"/>
            </w14:solidFill>
          </w14:textFill>
        </w:rPr>
        <w:t>，</w:t>
      </w:r>
      <w:r>
        <w:rPr>
          <w:rFonts w:hint="eastAsia" w:ascii="宋体" w:hAnsi="宋体" w:eastAsia="宋体" w:cs="宋体"/>
          <w:iCs/>
          <w:color w:val="000000" w:themeColor="text1"/>
          <w:kern w:val="0"/>
          <w:sz w:val="24"/>
          <w:szCs w:val="24"/>
          <w:lang w:val="en-US" w:eastAsia="zh-CN"/>
          <w14:textFill>
            <w14:solidFill>
              <w14:schemeClr w14:val="tx1"/>
            </w14:solidFill>
          </w14:textFill>
        </w:rPr>
        <w:t>真抓实干，定能行稳致远</w:t>
      </w:r>
      <w:r>
        <w:rPr>
          <w:rFonts w:hint="eastAsia" w:ascii="宋体" w:hAnsi="宋体" w:eastAsia="宋体" w:cs="宋体"/>
          <w:iCs/>
          <w:color w:val="000000" w:themeColor="text1"/>
          <w:kern w:val="0"/>
          <w:sz w:val="24"/>
          <w:szCs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eastAsia" w:ascii="宋体" w:hAnsi="宋体" w:eastAsia="宋体" w:cs="宋体"/>
          <w:iCs/>
          <w:color w:val="000000" w:themeColor="text1"/>
          <w:kern w:val="0"/>
          <w:sz w:val="24"/>
          <w:szCs w:val="24"/>
          <w14:textFill>
            <w14:solidFill>
              <w14:schemeClr w14:val="tx1"/>
            </w14:solidFill>
          </w14:textFill>
        </w:rPr>
      </w:pPr>
      <w:r>
        <w:rPr>
          <w:rFonts w:hint="eastAsia" w:ascii="宋体" w:hAnsi="宋体" w:eastAsia="宋体" w:cs="宋体"/>
          <w:iCs/>
          <w:color w:val="000000" w:themeColor="text1"/>
          <w:kern w:val="0"/>
          <w:sz w:val="24"/>
          <w:szCs w:val="24"/>
          <w14:textFill>
            <w14:solidFill>
              <w14:schemeClr w14:val="tx1"/>
            </w14:solidFill>
          </w14:textFill>
        </w:rPr>
        <w:t>2022年，</w:t>
      </w:r>
      <w:r>
        <w:rPr>
          <w:rFonts w:hint="eastAsia" w:ascii="宋体" w:hAnsi="宋体" w:eastAsia="宋体" w:cs="宋体"/>
          <w:iCs/>
          <w:color w:val="000000" w:themeColor="text1"/>
          <w:kern w:val="0"/>
          <w:sz w:val="24"/>
          <w:szCs w:val="24"/>
          <w:lang w:val="en-US" w:eastAsia="zh-CN"/>
          <w14:textFill>
            <w14:solidFill>
              <w14:schemeClr w14:val="tx1"/>
            </w14:solidFill>
          </w14:textFill>
        </w:rPr>
        <w:t>预计</w:t>
      </w:r>
      <w:r>
        <w:rPr>
          <w:rFonts w:hint="eastAsia" w:ascii="宋体" w:hAnsi="宋体" w:eastAsia="宋体" w:cs="宋体"/>
          <w:iCs/>
          <w:color w:val="000000" w:themeColor="text1"/>
          <w:kern w:val="0"/>
          <w:sz w:val="24"/>
          <w:szCs w:val="24"/>
          <w14:textFill>
            <w14:solidFill>
              <w14:schemeClr w14:val="tx1"/>
            </w14:solidFill>
          </w14:textFill>
        </w:rPr>
        <w:t>公司</w:t>
      </w:r>
      <w:r>
        <w:rPr>
          <w:rFonts w:hint="eastAsia" w:ascii="宋体" w:hAnsi="宋体" w:eastAsia="宋体" w:cs="宋体"/>
          <w:iCs/>
          <w:color w:val="000000" w:themeColor="text1"/>
          <w:kern w:val="0"/>
          <w:sz w:val="24"/>
          <w:szCs w:val="24"/>
          <w:lang w:val="en-US" w:eastAsia="zh-CN"/>
          <w14:textFill>
            <w14:solidFill>
              <w14:schemeClr w14:val="tx1"/>
            </w14:solidFill>
          </w14:textFill>
        </w:rPr>
        <w:t>整体发展势态与同业趋同，上半年</w:t>
      </w:r>
      <w:r>
        <w:rPr>
          <w:rFonts w:hint="eastAsia" w:ascii="宋体" w:hAnsi="宋体" w:eastAsia="宋体" w:cs="宋体"/>
          <w:iCs/>
          <w:color w:val="000000" w:themeColor="text1"/>
          <w:kern w:val="0"/>
          <w:sz w:val="24"/>
          <w:szCs w:val="24"/>
          <w14:textFill>
            <w14:solidFill>
              <w14:schemeClr w14:val="tx1"/>
            </w14:solidFill>
          </w14:textFill>
        </w:rPr>
        <w:t>资产端及息差</w:t>
      </w:r>
      <w:r>
        <w:rPr>
          <w:rFonts w:hint="eastAsia" w:ascii="宋体" w:hAnsi="宋体" w:eastAsia="宋体" w:cs="宋体"/>
          <w:iCs/>
          <w:color w:val="000000" w:themeColor="text1"/>
          <w:kern w:val="0"/>
          <w:sz w:val="24"/>
          <w:szCs w:val="24"/>
          <w:lang w:val="en-US" w:eastAsia="zh-CN"/>
          <w14:textFill>
            <w14:solidFill>
              <w14:schemeClr w14:val="tx1"/>
            </w14:solidFill>
          </w14:textFill>
        </w:rPr>
        <w:t>下行压力较大，下半年有望逐步企稳回升，但由于市场经济形势变幻莫测，仍存在相当的不确定性。公司预计</w:t>
      </w:r>
      <w:r>
        <w:rPr>
          <w:rFonts w:hint="eastAsia" w:ascii="宋体" w:hAnsi="宋体" w:eastAsia="宋体" w:cs="宋体"/>
          <w:iCs/>
          <w:color w:val="000000" w:themeColor="text1"/>
          <w:kern w:val="0"/>
          <w:sz w:val="24"/>
          <w:szCs w:val="24"/>
          <w14:textFill>
            <w14:solidFill>
              <w14:schemeClr w14:val="tx1"/>
            </w14:solidFill>
          </w14:textFill>
        </w:rPr>
        <w:t>资产规模和盈利能力将持续</w:t>
      </w:r>
      <w:r>
        <w:rPr>
          <w:rFonts w:hint="eastAsia" w:ascii="宋体" w:hAnsi="宋体" w:eastAsia="宋体" w:cs="宋体"/>
          <w:iCs/>
          <w:color w:val="000000" w:themeColor="text1"/>
          <w:kern w:val="0"/>
          <w:sz w:val="24"/>
          <w:szCs w:val="24"/>
          <w:lang w:val="en-US" w:eastAsia="zh-CN"/>
          <w14:textFill>
            <w14:solidFill>
              <w14:schemeClr w14:val="tx1"/>
            </w14:solidFill>
          </w14:textFill>
        </w:rPr>
        <w:t>稳步</w:t>
      </w:r>
      <w:r>
        <w:rPr>
          <w:rFonts w:hint="eastAsia" w:ascii="宋体" w:hAnsi="宋体" w:eastAsia="宋体" w:cs="宋体"/>
          <w:iCs/>
          <w:color w:val="000000" w:themeColor="text1"/>
          <w:kern w:val="0"/>
          <w:sz w:val="24"/>
          <w:szCs w:val="24"/>
          <w14:textFill>
            <w14:solidFill>
              <w14:schemeClr w14:val="tx1"/>
            </w14:solidFill>
          </w14:textFill>
        </w:rPr>
        <w:t>提升，资产质量稳定改善，各项</w:t>
      </w:r>
      <w:r>
        <w:rPr>
          <w:rFonts w:hint="eastAsia" w:ascii="宋体" w:hAnsi="宋体" w:eastAsia="宋体" w:cs="宋体"/>
          <w:iCs/>
          <w:color w:val="000000" w:themeColor="text1"/>
          <w:kern w:val="0"/>
          <w:sz w:val="24"/>
          <w:szCs w:val="24"/>
          <w:lang w:val="en-US" w:eastAsia="zh-CN"/>
          <w14:textFill>
            <w14:solidFill>
              <w14:schemeClr w14:val="tx1"/>
            </w14:solidFill>
          </w14:textFill>
        </w:rPr>
        <w:t>主要指标成长</w:t>
      </w:r>
      <w:r>
        <w:rPr>
          <w:rFonts w:hint="eastAsia" w:ascii="宋体" w:hAnsi="宋体" w:eastAsia="宋体" w:cs="宋体"/>
          <w:iCs/>
          <w:color w:val="000000" w:themeColor="text1"/>
          <w:kern w:val="0"/>
          <w:sz w:val="24"/>
          <w:szCs w:val="24"/>
          <w14:textFill>
            <w14:solidFill>
              <w14:schemeClr w14:val="tx1"/>
            </w14:solidFill>
          </w14:textFill>
        </w:rPr>
        <w:t>保持与上市城商行同步，部分指标高于</w:t>
      </w:r>
      <w:r>
        <w:rPr>
          <w:rFonts w:hint="eastAsia" w:ascii="宋体" w:hAnsi="宋体" w:eastAsia="宋体" w:cs="宋体"/>
          <w:iCs/>
          <w:color w:val="000000" w:themeColor="text1"/>
          <w:kern w:val="0"/>
          <w:sz w:val="24"/>
          <w:szCs w:val="24"/>
          <w:lang w:val="en-US" w:eastAsia="zh-CN"/>
          <w14:textFill>
            <w14:solidFill>
              <w14:schemeClr w14:val="tx1"/>
            </w14:solidFill>
          </w14:textFill>
        </w:rPr>
        <w:t>行业</w:t>
      </w:r>
      <w:r>
        <w:rPr>
          <w:rFonts w:hint="eastAsia" w:ascii="宋体" w:hAnsi="宋体" w:eastAsia="宋体" w:cs="宋体"/>
          <w:iCs/>
          <w:color w:val="000000" w:themeColor="text1"/>
          <w:kern w:val="0"/>
          <w:sz w:val="24"/>
          <w:szCs w:val="24"/>
          <w14:textFill>
            <w14:solidFill>
              <w14:schemeClr w14:val="tx1"/>
            </w14:solidFill>
          </w14:textFill>
        </w:rPr>
        <w:t>平均水平</w:t>
      </w:r>
      <w:r>
        <w:rPr>
          <w:rFonts w:hint="eastAsia" w:ascii="宋体" w:hAnsi="宋体" w:eastAsia="宋体" w:cs="宋体"/>
          <w:iCs/>
          <w:color w:val="000000" w:themeColor="text1"/>
          <w:kern w:val="0"/>
          <w:sz w:val="24"/>
          <w:szCs w:val="24"/>
          <w:lang w:eastAsia="zh-CN"/>
          <w14:textFill>
            <w14:solidFill>
              <w14:schemeClr w14:val="tx1"/>
            </w14:solidFill>
          </w14:textFill>
        </w:rPr>
        <w:t>：</w:t>
      </w:r>
      <w:r>
        <w:rPr>
          <w:rFonts w:hint="eastAsia" w:ascii="宋体" w:hAnsi="宋体" w:eastAsia="宋体" w:cs="宋体"/>
          <w:iCs/>
          <w:color w:val="000000" w:themeColor="text1"/>
          <w:kern w:val="0"/>
          <w:sz w:val="24"/>
          <w:szCs w:val="24"/>
          <w14:textFill>
            <w14:solidFill>
              <w14:schemeClr w14:val="tx1"/>
            </w14:solidFill>
          </w14:textFill>
        </w:rPr>
        <w:t>总资产规模增长至3</w:t>
      </w:r>
      <w:r>
        <w:rPr>
          <w:rFonts w:hint="eastAsia" w:ascii="宋体" w:hAnsi="宋体" w:eastAsia="宋体" w:cs="宋体"/>
          <w:iCs/>
          <w:color w:val="000000" w:themeColor="text1"/>
          <w:kern w:val="0"/>
          <w:sz w:val="24"/>
          <w:szCs w:val="24"/>
          <w:lang w:val="en-US" w:eastAsia="zh-CN"/>
          <w14:textFill>
            <w14:solidFill>
              <w14:schemeClr w14:val="tx1"/>
            </w14:solidFill>
          </w14:textFill>
        </w:rPr>
        <w:t>,</w:t>
      </w:r>
      <w:r>
        <w:rPr>
          <w:rFonts w:hint="eastAsia" w:ascii="宋体" w:hAnsi="宋体" w:eastAsia="宋体" w:cs="宋体"/>
          <w:iCs/>
          <w:color w:val="000000" w:themeColor="text1"/>
          <w:kern w:val="0"/>
          <w:sz w:val="24"/>
          <w:szCs w:val="24"/>
          <w14:textFill>
            <w14:solidFill>
              <w14:schemeClr w14:val="tx1"/>
            </w14:solidFill>
          </w14:textFill>
        </w:rPr>
        <w:t>700亿</w:t>
      </w:r>
      <w:r>
        <w:rPr>
          <w:rFonts w:hint="eastAsia" w:ascii="宋体" w:hAnsi="宋体" w:eastAsia="宋体" w:cs="宋体"/>
          <w:iCs/>
          <w:color w:val="000000" w:themeColor="text1"/>
          <w:kern w:val="0"/>
          <w:sz w:val="24"/>
          <w:szCs w:val="24"/>
          <w:lang w:val="en-US" w:eastAsia="zh-CN"/>
          <w14:textFill>
            <w14:solidFill>
              <w14:schemeClr w14:val="tx1"/>
            </w14:solidFill>
          </w14:textFill>
        </w:rPr>
        <w:t>元</w:t>
      </w:r>
      <w:r>
        <w:rPr>
          <w:rFonts w:hint="eastAsia" w:ascii="宋体" w:hAnsi="宋体" w:eastAsia="宋体" w:cs="宋体"/>
          <w:iCs/>
          <w:color w:val="000000" w:themeColor="text1"/>
          <w:kern w:val="0"/>
          <w:sz w:val="24"/>
          <w:szCs w:val="24"/>
          <w14:textFill>
            <w14:solidFill>
              <w14:schemeClr w14:val="tx1"/>
            </w14:solidFill>
          </w14:textFill>
        </w:rPr>
        <w:t>以上，净利润增速不低于1</w:t>
      </w:r>
      <w:r>
        <w:rPr>
          <w:rFonts w:hint="eastAsia" w:ascii="宋体" w:hAnsi="宋体" w:eastAsia="宋体" w:cs="宋体"/>
          <w:iCs/>
          <w:color w:val="000000" w:themeColor="text1"/>
          <w:kern w:val="0"/>
          <w:sz w:val="24"/>
          <w:szCs w:val="24"/>
          <w:lang w:eastAsia="zh-CN"/>
          <w14:textFill>
            <w14:solidFill>
              <w14:schemeClr w14:val="tx1"/>
            </w14:solidFill>
          </w14:textFill>
        </w:rPr>
        <w:t>5</w:t>
      </w:r>
      <w:r>
        <w:rPr>
          <w:rFonts w:hint="eastAsia" w:ascii="宋体" w:hAnsi="宋体" w:eastAsia="宋体" w:cs="宋体"/>
          <w:iCs/>
          <w:color w:val="000000" w:themeColor="text1"/>
          <w:kern w:val="0"/>
          <w:sz w:val="24"/>
          <w:szCs w:val="24"/>
          <w14:textFill>
            <w14:solidFill>
              <w14:schemeClr w14:val="tx1"/>
            </w14:solidFill>
          </w14:textFill>
        </w:rPr>
        <w:t>%</w:t>
      </w:r>
      <w:r>
        <w:rPr>
          <w:rFonts w:hint="eastAsia" w:ascii="宋体" w:hAnsi="宋体" w:eastAsia="宋体" w:cs="宋体"/>
          <w:iCs/>
          <w:color w:val="000000" w:themeColor="text1"/>
          <w:kern w:val="0"/>
          <w:sz w:val="24"/>
          <w:szCs w:val="24"/>
          <w:lang w:eastAsia="zh-CN"/>
          <w14:textFill>
            <w14:solidFill>
              <w14:schemeClr w14:val="tx1"/>
            </w14:solidFill>
          </w14:textFill>
        </w:rPr>
        <w:t>，</w:t>
      </w:r>
      <w:r>
        <w:rPr>
          <w:rFonts w:hint="eastAsia" w:ascii="宋体" w:hAnsi="宋体" w:eastAsia="宋体" w:cs="宋体"/>
          <w:iCs/>
          <w:color w:val="000000" w:themeColor="text1"/>
          <w:kern w:val="0"/>
          <w:sz w:val="24"/>
          <w:szCs w:val="24"/>
          <w14:textFill>
            <w14:solidFill>
              <w14:schemeClr w14:val="tx1"/>
            </w14:solidFill>
          </w14:textFill>
        </w:rPr>
        <w:t>资产质量维稳</w:t>
      </w:r>
      <w:r>
        <w:rPr>
          <w:rFonts w:hint="eastAsia" w:ascii="宋体" w:hAnsi="宋体" w:eastAsia="宋体" w:cs="宋体"/>
          <w:iCs/>
          <w:color w:val="000000" w:themeColor="text1"/>
          <w:kern w:val="0"/>
          <w:sz w:val="24"/>
          <w:szCs w:val="24"/>
          <w:lang w:eastAsia="zh-CN"/>
          <w14:textFill>
            <w14:solidFill>
              <w14:schemeClr w14:val="tx1"/>
            </w14:solidFill>
          </w14:textFill>
        </w:rPr>
        <w:t>，</w:t>
      </w:r>
      <w:r>
        <w:rPr>
          <w:rFonts w:hint="eastAsia" w:ascii="宋体" w:hAnsi="宋体" w:eastAsia="宋体" w:cs="宋体"/>
          <w:iCs/>
          <w:color w:val="000000" w:themeColor="text1"/>
          <w:kern w:val="0"/>
          <w:sz w:val="24"/>
          <w:szCs w:val="24"/>
          <w14:textFill>
            <w14:solidFill>
              <w14:schemeClr w14:val="tx1"/>
            </w14:solidFill>
          </w14:textFill>
        </w:rPr>
        <w:t>不良率维持</w:t>
      </w:r>
      <w:r>
        <w:rPr>
          <w:rFonts w:hint="eastAsia" w:ascii="宋体" w:hAnsi="宋体" w:eastAsia="宋体" w:cs="宋体"/>
          <w:iCs/>
          <w:color w:val="000000" w:themeColor="text1"/>
          <w:kern w:val="0"/>
          <w:sz w:val="24"/>
          <w:szCs w:val="24"/>
          <w:lang w:val="en-US" w:eastAsia="zh-CN"/>
          <w14:textFill>
            <w14:solidFill>
              <w14:schemeClr w14:val="tx1"/>
            </w14:solidFill>
          </w14:textFill>
        </w:rPr>
        <w:t>不超过上年末的</w:t>
      </w:r>
      <w:r>
        <w:rPr>
          <w:rFonts w:hint="eastAsia" w:ascii="宋体" w:hAnsi="宋体" w:eastAsia="宋体" w:cs="宋体"/>
          <w:iCs/>
          <w:color w:val="000000" w:themeColor="text1"/>
          <w:kern w:val="0"/>
          <w:sz w:val="24"/>
          <w:szCs w:val="24"/>
          <w14:textFill>
            <w14:solidFill>
              <w14:schemeClr w14:val="tx1"/>
            </w14:solidFill>
          </w14:textFill>
        </w:rPr>
        <w:t>0.91%，同时拨备覆盖率保持在</w:t>
      </w:r>
      <w:r>
        <w:rPr>
          <w:rFonts w:hint="eastAsia" w:ascii="宋体" w:hAnsi="宋体" w:eastAsia="宋体" w:cs="宋体"/>
          <w:iCs/>
          <w:color w:val="000000" w:themeColor="text1"/>
          <w:kern w:val="0"/>
          <w:sz w:val="24"/>
          <w:szCs w:val="24"/>
          <w:lang w:val="en-US" w:eastAsia="zh-CN"/>
          <w14:textFill>
            <w14:solidFill>
              <w14:schemeClr w14:val="tx1"/>
            </w14:solidFill>
          </w14:textFill>
        </w:rPr>
        <w:t>至少</w:t>
      </w:r>
      <w:r>
        <w:rPr>
          <w:rFonts w:hint="eastAsia" w:ascii="宋体" w:hAnsi="宋体" w:eastAsia="宋体" w:cs="宋体"/>
          <w:iCs/>
          <w:color w:val="000000" w:themeColor="text1"/>
          <w:kern w:val="0"/>
          <w:sz w:val="24"/>
          <w:szCs w:val="24"/>
          <w14:textFill>
            <w14:solidFill>
              <w14:schemeClr w14:val="tx1"/>
            </w14:solidFill>
          </w14:textFill>
        </w:rPr>
        <w:t>3</w:t>
      </w:r>
      <w:r>
        <w:rPr>
          <w:rFonts w:hint="eastAsia" w:ascii="宋体" w:hAnsi="宋体" w:eastAsia="宋体" w:cs="宋体"/>
          <w:iCs/>
          <w:color w:val="000000" w:themeColor="text1"/>
          <w:kern w:val="0"/>
          <w:sz w:val="24"/>
          <w:szCs w:val="24"/>
          <w:lang w:val="en-US" w:eastAsia="zh-CN"/>
          <w14:textFill>
            <w14:solidFill>
              <w14:schemeClr w14:val="tx1"/>
            </w14:solidFill>
          </w14:textFill>
        </w:rPr>
        <w:t>52</w:t>
      </w:r>
      <w:r>
        <w:rPr>
          <w:rFonts w:hint="eastAsia" w:ascii="宋体" w:hAnsi="宋体" w:eastAsia="宋体" w:cs="宋体"/>
          <w:iCs/>
          <w:color w:val="000000" w:themeColor="text1"/>
          <w:kern w:val="0"/>
          <w:sz w:val="24"/>
          <w:szCs w:val="24"/>
          <w14:textFill>
            <w14:solidFill>
              <w14:schemeClr w14:val="tx1"/>
            </w14:solidFill>
          </w14:textFill>
        </w:rPr>
        <w:t>%的高位水平，资本充足率等其他主要监管指标持续满足监管要求。为推动上述预算目标的实现，公司将着重抓好以下工作：</w:t>
      </w:r>
    </w:p>
    <w:p>
      <w:pPr>
        <w:keepNext w:val="0"/>
        <w:keepLines w:val="0"/>
        <w:pageBreakBefore w:val="0"/>
        <w:widowControl w:val="0"/>
        <w:numPr>
          <w:ilvl w:val="255"/>
          <w:numId w:val="0"/>
        </w:numPr>
        <w:kinsoku/>
        <w:wordWrap/>
        <w:overflowPunct/>
        <w:topLinePunct w:val="0"/>
        <w:autoSpaceDE/>
        <w:autoSpaceDN/>
        <w:bidi w:val="0"/>
        <w:adjustRightInd w:val="0"/>
        <w:snapToGrid w:val="0"/>
        <w:spacing w:line="360" w:lineRule="auto"/>
        <w:ind w:left="420" w:firstLine="0"/>
        <w:textAlignment w:val="auto"/>
        <w:rPr>
          <w:rFonts w:hint="eastAsia" w:ascii="宋体" w:hAnsi="宋体" w:eastAsia="宋体" w:cs="宋体"/>
          <w:iCs/>
          <w:color w:val="000000" w:themeColor="text1"/>
          <w:kern w:val="0"/>
          <w:sz w:val="24"/>
          <w:szCs w:val="24"/>
          <w:lang w:eastAsia="zh-CN"/>
          <w14:textFill>
            <w14:solidFill>
              <w14:schemeClr w14:val="tx1"/>
            </w14:solidFill>
          </w14:textFill>
        </w:rPr>
      </w:pPr>
      <w:r>
        <w:rPr>
          <w:rFonts w:hint="eastAsia" w:ascii="宋体" w:hAnsi="宋体" w:eastAsia="宋体" w:cs="宋体"/>
          <w:b/>
          <w:bCs/>
          <w:iCs/>
          <w:color w:val="000000" w:themeColor="text1"/>
          <w:kern w:val="0"/>
          <w:sz w:val="24"/>
          <w:szCs w:val="24"/>
          <w14:textFill>
            <w14:solidFill>
              <w14:schemeClr w14:val="tx1"/>
            </w14:solidFill>
          </w14:textFill>
        </w:rPr>
        <w:t>1、优化战略任务</w:t>
      </w:r>
      <w:r>
        <w:rPr>
          <w:rFonts w:hint="eastAsia" w:ascii="宋体" w:hAnsi="宋体" w:eastAsia="宋体" w:cs="宋体"/>
          <w:b/>
          <w:bCs/>
          <w:iCs/>
          <w:color w:val="000000" w:themeColor="text1"/>
          <w:kern w:val="0"/>
          <w:sz w:val="24"/>
          <w:szCs w:val="24"/>
          <w:lang w:eastAsia="zh-CN"/>
          <w14:textFill>
            <w14:solidFill>
              <w14:schemeClr w14:val="tx1"/>
            </w14:solidFill>
          </w14:textFill>
        </w:rPr>
        <w:t>，</w:t>
      </w:r>
      <w:r>
        <w:rPr>
          <w:rFonts w:hint="eastAsia" w:ascii="宋体" w:hAnsi="宋体" w:eastAsia="宋体" w:cs="宋体"/>
          <w:b/>
          <w:bCs/>
          <w:iCs/>
          <w:color w:val="000000" w:themeColor="text1"/>
          <w:kern w:val="0"/>
          <w:sz w:val="24"/>
          <w:szCs w:val="24"/>
          <w:lang w:val="en-US" w:eastAsia="zh-CN"/>
          <w14:textFill>
            <w14:solidFill>
              <w14:schemeClr w14:val="tx1"/>
            </w14:solidFill>
          </w14:textFill>
        </w:rPr>
        <w:t>积极推动目标</w:t>
      </w:r>
      <w:r>
        <w:rPr>
          <w:rFonts w:hint="eastAsia" w:ascii="宋体" w:hAnsi="宋体" w:eastAsia="宋体" w:cs="宋体"/>
          <w:b/>
          <w:bCs/>
          <w:iCs/>
          <w:color w:val="000000" w:themeColor="text1"/>
          <w:kern w:val="0"/>
          <w:sz w:val="24"/>
          <w:szCs w:val="24"/>
          <w14:textFill>
            <w14:solidFill>
              <w14:schemeClr w14:val="tx1"/>
            </w14:solidFill>
          </w14:textFill>
        </w:rPr>
        <w:t>落</w:t>
      </w:r>
      <w:r>
        <w:rPr>
          <w:rFonts w:hint="eastAsia" w:ascii="宋体" w:hAnsi="宋体" w:eastAsia="宋体" w:cs="宋体"/>
          <w:b/>
          <w:bCs/>
          <w:iCs/>
          <w:color w:val="000000" w:themeColor="text1"/>
          <w:kern w:val="0"/>
          <w:sz w:val="24"/>
          <w:szCs w:val="24"/>
          <w:lang w:val="en-US" w:eastAsia="zh-CN"/>
          <w14:textFill>
            <w14:solidFill>
              <w14:schemeClr w14:val="tx1"/>
            </w14:solidFill>
          </w14:textFill>
        </w:rPr>
        <w:t>地</w:t>
      </w:r>
    </w:p>
    <w:p>
      <w:pPr>
        <w:keepNext w:val="0"/>
        <w:keepLines w:val="0"/>
        <w:pageBreakBefore w:val="0"/>
        <w:widowControl w:val="0"/>
        <w:numPr>
          <w:ilvl w:val="255"/>
          <w:numId w:val="0"/>
        </w:numPr>
        <w:kinsoku/>
        <w:wordWrap/>
        <w:overflowPunct/>
        <w:topLinePunct w:val="0"/>
        <w:autoSpaceDE/>
        <w:autoSpaceDN/>
        <w:bidi w:val="0"/>
        <w:adjustRightInd w:val="0"/>
        <w:snapToGrid w:val="0"/>
        <w:spacing w:line="360" w:lineRule="auto"/>
        <w:ind w:firstLine="0"/>
        <w:textAlignment w:val="auto"/>
        <w:rPr>
          <w:rFonts w:hint="eastAsia" w:ascii="宋体" w:hAnsi="宋体" w:eastAsia="宋体" w:cs="宋体"/>
          <w:iCs/>
          <w:color w:val="000000" w:themeColor="text1"/>
          <w:kern w:val="0"/>
          <w:sz w:val="24"/>
          <w:szCs w:val="24"/>
          <w14:textFill>
            <w14:solidFill>
              <w14:schemeClr w14:val="tx1"/>
            </w14:solidFill>
          </w14:textFill>
        </w:rPr>
      </w:pPr>
      <w:r>
        <w:rPr>
          <w:rFonts w:hint="eastAsia" w:ascii="宋体" w:hAnsi="宋体" w:eastAsia="宋体" w:cs="宋体"/>
          <w:iCs/>
          <w:color w:val="000000" w:themeColor="text1"/>
          <w:kern w:val="0"/>
          <w:sz w:val="24"/>
          <w:szCs w:val="24"/>
          <w14:textFill>
            <w14:solidFill>
              <w14:schemeClr w14:val="tx1"/>
            </w14:solidFill>
          </w14:textFill>
        </w:rPr>
        <w:t xml:space="preserve">    2022年，公司立足战略目标，明确战略任务执行角色，总分行</w:t>
      </w:r>
      <w:r>
        <w:rPr>
          <w:rFonts w:hint="eastAsia" w:ascii="宋体" w:hAnsi="宋体" w:eastAsia="宋体" w:cs="宋体"/>
          <w:iCs/>
          <w:color w:val="000000" w:themeColor="text1"/>
          <w:kern w:val="0"/>
          <w:sz w:val="24"/>
          <w:szCs w:val="24"/>
          <w:lang w:val="en-US" w:eastAsia="zh-CN"/>
          <w14:textFill>
            <w14:solidFill>
              <w14:schemeClr w14:val="tx1"/>
            </w14:solidFill>
          </w14:textFill>
        </w:rPr>
        <w:t>将</w:t>
      </w:r>
      <w:r>
        <w:rPr>
          <w:rFonts w:hint="eastAsia" w:ascii="宋体" w:hAnsi="宋体" w:eastAsia="宋体" w:cs="宋体"/>
          <w:iCs/>
          <w:color w:val="000000" w:themeColor="text1"/>
          <w:kern w:val="0"/>
          <w:sz w:val="24"/>
          <w:szCs w:val="24"/>
          <w14:textFill>
            <w14:solidFill>
              <w14:schemeClr w14:val="tx1"/>
            </w14:solidFill>
          </w14:textFill>
        </w:rPr>
        <w:t>同心配合，充分利用现有资源，夯实存款基础，并深入挖掘与实现经营商机，进一步</w:t>
      </w:r>
      <w:r>
        <w:rPr>
          <w:rFonts w:hint="eastAsia" w:ascii="宋体" w:hAnsi="宋体" w:eastAsia="宋体" w:cs="宋体"/>
          <w:iCs/>
          <w:color w:val="000000" w:themeColor="text1"/>
          <w:kern w:val="0"/>
          <w:sz w:val="24"/>
          <w:szCs w:val="24"/>
          <w:highlight w:val="none"/>
          <w14:textFill>
            <w14:solidFill>
              <w14:schemeClr w14:val="tx1"/>
            </w14:solidFill>
          </w14:textFill>
        </w:rPr>
        <w:t>扩张业务规模，</w:t>
      </w:r>
      <w:r>
        <w:rPr>
          <w:rFonts w:hint="eastAsia" w:ascii="宋体" w:hAnsi="宋体" w:eastAsia="宋体" w:cs="宋体"/>
          <w:iCs/>
          <w:color w:val="000000" w:themeColor="text1"/>
          <w:kern w:val="0"/>
          <w:sz w:val="24"/>
          <w:szCs w:val="24"/>
          <w:highlight w:val="none"/>
          <w:lang w:val="en-US" w:eastAsia="zh-CN"/>
          <w14:textFill>
            <w14:solidFill>
              <w14:schemeClr w14:val="tx1"/>
            </w14:solidFill>
          </w14:textFill>
        </w:rPr>
        <w:t>拓宽盈利来源</w:t>
      </w:r>
      <w:r>
        <w:rPr>
          <w:rFonts w:hint="eastAsia" w:ascii="宋体" w:hAnsi="宋体" w:eastAsia="宋体" w:cs="宋体"/>
          <w:iCs/>
          <w:color w:val="000000" w:themeColor="text1"/>
          <w:kern w:val="0"/>
          <w:sz w:val="24"/>
          <w:szCs w:val="24"/>
          <w14:textFill>
            <w14:solidFill>
              <w14:schemeClr w14:val="tx1"/>
            </w14:solidFill>
          </w14:textFill>
        </w:rPr>
        <w:t>。</w:t>
      </w:r>
    </w:p>
    <w:p>
      <w:pPr>
        <w:keepNext w:val="0"/>
        <w:keepLines w:val="0"/>
        <w:pageBreakBefore w:val="0"/>
        <w:widowControl w:val="0"/>
        <w:numPr>
          <w:ilvl w:val="255"/>
          <w:numId w:val="0"/>
        </w:numPr>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bCs/>
          <w:iCs/>
          <w:color w:val="000000" w:themeColor="text1"/>
          <w:kern w:val="0"/>
          <w:sz w:val="24"/>
          <w:szCs w:val="24"/>
          <w14:textFill>
            <w14:solidFill>
              <w14:schemeClr w14:val="tx1"/>
            </w14:solidFill>
          </w14:textFill>
        </w:rPr>
      </w:pPr>
      <w:r>
        <w:rPr>
          <w:rFonts w:hint="eastAsia" w:ascii="宋体" w:hAnsi="宋体" w:eastAsia="宋体" w:cs="宋体"/>
          <w:b/>
          <w:bCs/>
          <w:iCs/>
          <w:color w:val="000000" w:themeColor="text1"/>
          <w:kern w:val="0"/>
          <w:sz w:val="24"/>
          <w:szCs w:val="24"/>
          <w14:textFill>
            <w14:solidFill>
              <w14:schemeClr w14:val="tx1"/>
            </w14:solidFill>
          </w14:textFill>
        </w:rPr>
        <w:t>2、加快战略转型，持续优化业务结构</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iCs/>
          <w:color w:val="000000" w:themeColor="text1"/>
          <w:kern w:val="0"/>
          <w:sz w:val="24"/>
          <w:szCs w:val="24"/>
          <w14:textFill>
            <w14:solidFill>
              <w14:schemeClr w14:val="tx1"/>
            </w14:solidFill>
          </w14:textFill>
        </w:rPr>
      </w:pPr>
      <w:r>
        <w:rPr>
          <w:rFonts w:hint="eastAsia" w:ascii="宋体" w:hAnsi="宋体" w:eastAsia="宋体" w:cs="宋体"/>
          <w:iCs/>
          <w:color w:val="000000" w:themeColor="text1"/>
          <w:kern w:val="0"/>
          <w:sz w:val="24"/>
          <w:szCs w:val="24"/>
          <w14:textFill>
            <w14:solidFill>
              <w14:schemeClr w14:val="tx1"/>
            </w14:solidFill>
          </w14:textFill>
        </w:rPr>
        <w:t xml:space="preserve">    2022年，公司</w:t>
      </w:r>
      <w:r>
        <w:rPr>
          <w:rFonts w:hint="eastAsia" w:ascii="宋体" w:hAnsi="宋体" w:eastAsia="宋体" w:cs="宋体"/>
          <w:iCs/>
          <w:color w:val="000000" w:themeColor="text1"/>
          <w:kern w:val="0"/>
          <w:sz w:val="24"/>
          <w:szCs w:val="24"/>
          <w:lang w:val="en-US" w:eastAsia="zh-CN"/>
          <w14:textFill>
            <w14:solidFill>
              <w14:schemeClr w14:val="tx1"/>
            </w14:solidFill>
          </w14:textFill>
        </w:rPr>
        <w:t>将</w:t>
      </w:r>
      <w:r>
        <w:rPr>
          <w:rFonts w:hint="eastAsia" w:ascii="宋体" w:hAnsi="宋体" w:eastAsia="宋体" w:cs="宋体"/>
          <w:iCs/>
          <w:color w:val="000000" w:themeColor="text1"/>
          <w:kern w:val="0"/>
          <w:sz w:val="24"/>
          <w:szCs w:val="24"/>
          <w14:textFill>
            <w14:solidFill>
              <w14:schemeClr w14:val="tx1"/>
            </w14:solidFill>
          </w14:textFill>
        </w:rPr>
        <w:t>根据战略规划的要求，在</w:t>
      </w:r>
      <w:r>
        <w:rPr>
          <w:rFonts w:hint="eastAsia" w:ascii="宋体" w:hAnsi="宋体" w:eastAsia="宋体" w:cs="宋体"/>
          <w:iCs/>
          <w:color w:val="000000" w:themeColor="text1"/>
          <w:kern w:val="0"/>
          <w:sz w:val="24"/>
          <w:szCs w:val="24"/>
          <w:lang w:val="en-US" w:eastAsia="zh-CN"/>
          <w14:textFill>
            <w14:solidFill>
              <w14:schemeClr w14:val="tx1"/>
            </w14:solidFill>
          </w14:textFill>
        </w:rPr>
        <w:t>公司、零售、资金</w:t>
      </w:r>
      <w:r>
        <w:rPr>
          <w:rFonts w:hint="eastAsia" w:ascii="宋体" w:hAnsi="宋体" w:eastAsia="宋体" w:cs="宋体"/>
          <w:iCs/>
          <w:color w:val="000000" w:themeColor="text1"/>
          <w:kern w:val="0"/>
          <w:sz w:val="24"/>
          <w:szCs w:val="24"/>
          <w14:textFill>
            <w14:solidFill>
              <w14:schemeClr w14:val="tx1"/>
            </w14:solidFill>
          </w14:textFill>
        </w:rPr>
        <w:t>三大业务板块及海西金租方面加快推进资产业务转型升级，积极优化资产负债结构</w:t>
      </w:r>
      <w:r>
        <w:rPr>
          <w:rFonts w:hint="eastAsia" w:ascii="宋体" w:hAnsi="宋体" w:eastAsia="宋体" w:cs="宋体"/>
          <w:iCs/>
          <w:color w:val="000000" w:themeColor="text1"/>
          <w:kern w:val="0"/>
          <w:sz w:val="24"/>
          <w:szCs w:val="24"/>
          <w:lang w:eastAsia="zh-CN"/>
          <w14:textFill>
            <w14:solidFill>
              <w14:schemeClr w14:val="tx1"/>
            </w14:solidFill>
          </w14:textFill>
        </w:rPr>
        <w:t>。</w:t>
      </w:r>
      <w:r>
        <w:rPr>
          <w:rFonts w:hint="eastAsia" w:ascii="宋体" w:hAnsi="宋体" w:eastAsia="宋体" w:cs="宋体"/>
          <w:iCs/>
          <w:color w:val="000000" w:themeColor="text1"/>
          <w:kern w:val="0"/>
          <w:sz w:val="24"/>
          <w:szCs w:val="24"/>
          <w14:textFill>
            <w14:solidFill>
              <w14:schemeClr w14:val="tx1"/>
            </w14:solidFill>
          </w14:textFill>
        </w:rPr>
        <w:t>公司</w:t>
      </w:r>
      <w:r>
        <w:rPr>
          <w:rFonts w:hint="eastAsia" w:ascii="宋体" w:hAnsi="宋体" w:eastAsia="宋体" w:cs="宋体"/>
          <w:iCs/>
          <w:color w:val="000000" w:themeColor="text1"/>
          <w:kern w:val="0"/>
          <w:sz w:val="24"/>
          <w:szCs w:val="24"/>
          <w:lang w:val="en-US" w:eastAsia="zh-CN"/>
          <w14:textFill>
            <w14:solidFill>
              <w14:schemeClr w14:val="tx1"/>
            </w14:solidFill>
          </w14:textFill>
        </w:rPr>
        <w:t>将</w:t>
      </w:r>
      <w:r>
        <w:rPr>
          <w:rFonts w:hint="eastAsia" w:ascii="宋体" w:hAnsi="宋体" w:eastAsia="宋体" w:cs="宋体"/>
          <w:iCs/>
          <w:color w:val="000000" w:themeColor="text1"/>
          <w:kern w:val="0"/>
          <w:sz w:val="24"/>
          <w:szCs w:val="24"/>
          <w14:textFill>
            <w14:solidFill>
              <w14:schemeClr w14:val="tx1"/>
            </w14:solidFill>
          </w14:textFill>
        </w:rPr>
        <w:t>致力于积极探索经营场景及丰富产品类型，不断提升综合服务及管理能力，扩大财管中收来源</w:t>
      </w:r>
      <w:r>
        <w:rPr>
          <w:rFonts w:hint="eastAsia" w:ascii="宋体" w:hAnsi="宋体" w:eastAsia="宋体" w:cs="宋体"/>
          <w:iCs/>
          <w:color w:val="000000" w:themeColor="text1"/>
          <w:kern w:val="0"/>
          <w:sz w:val="24"/>
          <w:szCs w:val="24"/>
          <w:lang w:eastAsia="zh-CN"/>
          <w14:textFill>
            <w14:solidFill>
              <w14:schemeClr w14:val="tx1"/>
            </w14:solidFill>
          </w14:textFill>
        </w:rPr>
        <w:t>，</w:t>
      </w:r>
      <w:r>
        <w:rPr>
          <w:rFonts w:hint="eastAsia" w:ascii="宋体" w:hAnsi="宋体" w:eastAsia="宋体" w:cs="宋体"/>
          <w:iCs/>
          <w:color w:val="000000" w:themeColor="text1"/>
          <w:kern w:val="0"/>
          <w:sz w:val="24"/>
          <w:szCs w:val="24"/>
          <w14:textFill>
            <w14:solidFill>
              <w14:schemeClr w14:val="tx1"/>
            </w14:solidFill>
          </w14:textFill>
        </w:rPr>
        <w:t xml:space="preserve">在做大做强的同时，有效控制并降低银行负债成本。    </w:t>
      </w:r>
    </w:p>
    <w:p>
      <w:pPr>
        <w:keepNext w:val="0"/>
        <w:keepLines w:val="0"/>
        <w:pageBreakBefore w:val="0"/>
        <w:widowControl w:val="0"/>
        <w:numPr>
          <w:ilvl w:val="255"/>
          <w:numId w:val="0"/>
        </w:numPr>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bCs/>
          <w:iCs/>
          <w:color w:val="000000" w:themeColor="text1"/>
          <w:kern w:val="0"/>
          <w:sz w:val="24"/>
          <w:szCs w:val="24"/>
          <w14:textFill>
            <w14:solidFill>
              <w14:schemeClr w14:val="tx1"/>
            </w14:solidFill>
          </w14:textFill>
        </w:rPr>
      </w:pPr>
      <w:r>
        <w:rPr>
          <w:rFonts w:hint="eastAsia" w:ascii="宋体" w:hAnsi="宋体" w:eastAsia="宋体" w:cs="宋体"/>
          <w:b/>
          <w:bCs/>
          <w:iCs/>
          <w:color w:val="000000" w:themeColor="text1"/>
          <w:kern w:val="0"/>
          <w:sz w:val="24"/>
          <w:szCs w:val="24"/>
          <w14:textFill>
            <w14:solidFill>
              <w14:schemeClr w14:val="tx1"/>
            </w14:solidFill>
          </w14:textFill>
        </w:rPr>
        <w:t>3、提升风控效能，深化全面风险管理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Cs/>
          <w:sz w:val="24"/>
          <w:szCs w:val="24"/>
        </w:rPr>
      </w:pPr>
      <w:r>
        <w:rPr>
          <w:rFonts w:hint="eastAsia" w:ascii="宋体" w:hAnsi="宋体" w:eastAsia="宋体" w:cs="宋体"/>
          <w:iCs/>
          <w:color w:val="000000" w:themeColor="text1"/>
          <w:kern w:val="0"/>
          <w:sz w:val="24"/>
          <w:szCs w:val="24"/>
          <w14:textFill>
            <w14:solidFill>
              <w14:schemeClr w14:val="tx1"/>
            </w14:solidFill>
          </w14:textFill>
        </w:rPr>
        <w:t>2022年，公司将持续推进全面风险管控，加速风险管理转型，以风险导向为核心，以各项内控管理工具为抓手，提升风险管理质效，加强合规文化建设。</w:t>
      </w:r>
      <w:r>
        <w:rPr>
          <w:rFonts w:hint="eastAsia" w:ascii="宋体" w:hAnsi="宋体" w:eastAsia="宋体" w:cs="宋体"/>
          <w:iCs/>
          <w:color w:val="000000" w:themeColor="text1"/>
          <w:kern w:val="0"/>
          <w:sz w:val="24"/>
          <w:szCs w:val="24"/>
          <w:lang w:val="en-US" w:eastAsia="zh-CN"/>
          <w14:textFill>
            <w14:solidFill>
              <w14:schemeClr w14:val="tx1"/>
            </w14:solidFill>
          </w14:textFill>
        </w:rPr>
        <w:t>要</w:t>
      </w:r>
      <w:r>
        <w:rPr>
          <w:rFonts w:hint="eastAsia" w:ascii="宋体" w:hAnsi="宋体" w:eastAsia="宋体" w:cs="宋体"/>
          <w:iCs/>
          <w:color w:val="000000" w:themeColor="text1"/>
          <w:kern w:val="0"/>
          <w:sz w:val="24"/>
          <w:szCs w:val="24"/>
          <w14:textFill>
            <w14:solidFill>
              <w14:schemeClr w14:val="tx1"/>
            </w14:solidFill>
          </w14:textFill>
        </w:rPr>
        <w:t>进一步完善授信管理体系，把握信贷投向，优化信贷结构，合理控制授信集中度，</w:t>
      </w:r>
      <w:r>
        <w:rPr>
          <w:rFonts w:hint="eastAsia" w:ascii="宋体" w:hAnsi="宋体" w:eastAsia="宋体" w:cs="宋体"/>
          <w:bCs/>
          <w:sz w:val="24"/>
          <w:szCs w:val="24"/>
        </w:rPr>
        <w:t>持续提升信用风险防控水平。</w:t>
      </w:r>
    </w:p>
    <w:p>
      <w:pPr>
        <w:keepNext w:val="0"/>
        <w:keepLines w:val="0"/>
        <w:pageBreakBefore w:val="0"/>
        <w:widowControl w:val="0"/>
        <w:numPr>
          <w:ilvl w:val="255"/>
          <w:numId w:val="0"/>
        </w:numPr>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bCs/>
          <w:iCs/>
          <w:color w:val="000000" w:themeColor="text1"/>
          <w:kern w:val="0"/>
          <w:sz w:val="24"/>
          <w:szCs w:val="24"/>
          <w14:textFill>
            <w14:solidFill>
              <w14:schemeClr w14:val="tx1"/>
            </w14:solidFill>
          </w14:textFill>
        </w:rPr>
      </w:pPr>
      <w:r>
        <w:rPr>
          <w:rFonts w:hint="eastAsia" w:ascii="宋体" w:hAnsi="宋体" w:eastAsia="宋体" w:cs="宋体"/>
          <w:b/>
          <w:bCs/>
          <w:iCs/>
          <w:color w:val="000000" w:themeColor="text1"/>
          <w:kern w:val="0"/>
          <w:sz w:val="24"/>
          <w:szCs w:val="24"/>
          <w14:textFill>
            <w14:solidFill>
              <w14:schemeClr w14:val="tx1"/>
            </w14:solidFill>
          </w14:textFill>
        </w:rPr>
        <w:t>4、提升支撑能力，夯实银行发展基础</w:t>
      </w:r>
    </w:p>
    <w:p>
      <w:pPr>
        <w:pStyle w:val="19"/>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lang w:val="en-US" w:eastAsia="zh-CN"/>
        </w:rPr>
      </w:pPr>
      <w:r>
        <w:rPr>
          <w:rFonts w:hint="eastAsia" w:ascii="宋体" w:hAnsi="宋体" w:eastAsia="宋体" w:cs="宋体"/>
          <w:iCs/>
          <w:color w:val="000000" w:themeColor="text1"/>
          <w:kern w:val="0"/>
          <w:sz w:val="24"/>
          <w:szCs w:val="24"/>
          <w14:textFill>
            <w14:solidFill>
              <w14:schemeClr w14:val="tx1"/>
            </w14:solidFill>
          </w14:textFill>
        </w:rPr>
        <w:t>2022年，公司将持续加强银行基础体系建设。健全治理机制，落实战略规划，赋能前端业务，</w:t>
      </w:r>
      <w:r>
        <w:rPr>
          <w:rFonts w:hint="eastAsia" w:ascii="宋体" w:hAnsi="宋体" w:eastAsia="宋体" w:cs="宋体"/>
          <w:iCs/>
          <w:color w:val="000000" w:themeColor="text1"/>
          <w:kern w:val="0"/>
          <w:sz w:val="24"/>
          <w:szCs w:val="24"/>
          <w:lang w:val="en-US" w:eastAsia="zh-CN"/>
          <w14:textFill>
            <w14:solidFill>
              <w14:schemeClr w14:val="tx1"/>
            </w14:solidFill>
          </w14:textFill>
        </w:rPr>
        <w:t>持续</w:t>
      </w:r>
      <w:r>
        <w:rPr>
          <w:rFonts w:hint="eastAsia" w:ascii="宋体" w:hAnsi="宋体" w:eastAsia="宋体" w:cs="宋体"/>
          <w:iCs/>
          <w:color w:val="000000" w:themeColor="text1"/>
          <w:kern w:val="0"/>
          <w:sz w:val="24"/>
          <w:szCs w:val="24"/>
          <w14:textFill>
            <w14:solidFill>
              <w14:schemeClr w14:val="tx1"/>
            </w14:solidFill>
          </w14:textFill>
        </w:rPr>
        <w:t>优化管理会计，强化人事管理，提升营运能力，推动数字化发展，加强企业文化建设，全方位助力公司经营管理提升。</w:t>
      </w:r>
    </w:p>
    <w:p>
      <w:pPr>
        <w:pStyle w:val="19"/>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lang w:val="en-US" w:eastAsia="zh-CN"/>
        </w:rPr>
      </w:pPr>
    </w:p>
    <w:p>
      <w:pPr>
        <w:pStyle w:val="19"/>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szCs w:val="20"/>
        </w:rPr>
      </w:pPr>
      <w:r>
        <w:rPr>
          <w:rFonts w:hint="eastAsia" w:ascii="宋体" w:hAnsi="宋体" w:eastAsia="宋体" w:cs="宋体"/>
          <w:sz w:val="24"/>
        </w:rPr>
        <w:t>本议案已经</w:t>
      </w:r>
      <w:r>
        <w:rPr>
          <w:rFonts w:hint="eastAsia" w:ascii="宋体" w:hAnsi="宋体" w:eastAsia="宋体" w:cs="宋体"/>
          <w:sz w:val="24"/>
          <w:lang w:val="en-US" w:eastAsia="zh-CN"/>
        </w:rPr>
        <w:t>第八届董事会第十九次会议、</w:t>
      </w:r>
      <w:r>
        <w:rPr>
          <w:rFonts w:hint="eastAsia" w:ascii="宋体" w:hAnsi="宋体" w:eastAsia="宋体" w:cs="宋体"/>
          <w:sz w:val="24"/>
        </w:rPr>
        <w:t>第八届监事会第</w:t>
      </w:r>
      <w:r>
        <w:rPr>
          <w:rFonts w:hint="eastAsia" w:ascii="宋体" w:hAnsi="宋体" w:eastAsia="宋体" w:cs="宋体"/>
          <w:sz w:val="24"/>
          <w:lang w:val="en-US" w:eastAsia="zh-CN"/>
        </w:rPr>
        <w:t>十三</w:t>
      </w:r>
      <w:r>
        <w:rPr>
          <w:rFonts w:hint="eastAsia" w:ascii="宋体" w:hAnsi="宋体" w:eastAsia="宋体" w:cs="宋体"/>
          <w:sz w:val="24"/>
        </w:rPr>
        <w:t>次会议审议通过，请各位股东审议。</w:t>
      </w:r>
    </w:p>
    <w:p>
      <w:pPr>
        <w:pStyle w:val="19"/>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szCs w:val="20"/>
        </w:rPr>
      </w:pPr>
    </w:p>
    <w:p>
      <w:pPr>
        <w:pStyle w:val="19"/>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szCs w:val="20"/>
        </w:rPr>
      </w:pPr>
    </w:p>
    <w:p>
      <w:pPr>
        <w:pStyle w:val="7"/>
        <w:keepNext w:val="0"/>
        <w:keepLines w:val="0"/>
        <w:pageBreakBefore w:val="0"/>
        <w:widowControl w:val="0"/>
        <w:kinsoku/>
        <w:wordWrap/>
        <w:overflowPunct/>
        <w:topLinePunct w:val="0"/>
        <w:autoSpaceDE/>
        <w:autoSpaceDN/>
        <w:bidi w:val="0"/>
        <w:snapToGrid w:val="0"/>
        <w:spacing w:line="360" w:lineRule="auto"/>
        <w:ind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厦门银行股份有限公司</w:t>
      </w:r>
    </w:p>
    <w:p>
      <w:pPr>
        <w:pStyle w:val="7"/>
        <w:keepNext w:val="0"/>
        <w:keepLines w:val="0"/>
        <w:pageBreakBefore w:val="0"/>
        <w:widowControl w:val="0"/>
        <w:kinsoku/>
        <w:wordWrap/>
        <w:overflowPunct/>
        <w:topLinePunct w:val="0"/>
        <w:autoSpaceDE/>
        <w:autoSpaceDN/>
        <w:bidi w:val="0"/>
        <w:snapToGrid w:val="0"/>
        <w:spacing w:line="360" w:lineRule="auto"/>
        <w:ind w:firstLine="480" w:firstLineChars="200"/>
        <w:jc w:val="right"/>
        <w:textAlignment w:val="auto"/>
        <w:rPr>
          <w:rFonts w:hint="eastAsia"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2</w:t>
      </w:r>
      <w:r>
        <w:rPr>
          <w:rFonts w:hint="eastAsia" w:ascii="宋体" w:hAnsi="宋体" w:eastAsia="宋体" w:cs="宋体"/>
          <w:sz w:val="24"/>
          <w:szCs w:val="24"/>
        </w:rPr>
        <w:t>年</w:t>
      </w:r>
      <w:r>
        <w:rPr>
          <w:rFonts w:hint="eastAsia" w:ascii="宋体" w:hAnsi="宋体" w:eastAsia="宋体" w:cs="宋体"/>
          <w:sz w:val="24"/>
          <w:szCs w:val="24"/>
          <w:lang w:val="en-US" w:eastAsia="zh-CN"/>
        </w:rPr>
        <w:t>6</w:t>
      </w:r>
      <w:r>
        <w:rPr>
          <w:rFonts w:hint="eastAsia" w:ascii="宋体" w:hAnsi="宋体" w:eastAsia="宋体" w:cs="宋体"/>
          <w:sz w:val="24"/>
          <w:szCs w:val="24"/>
        </w:rPr>
        <w:t>月</w:t>
      </w:r>
      <w:r>
        <w:rPr>
          <w:rFonts w:hint="eastAsia" w:ascii="宋体" w:hAnsi="宋体" w:eastAsia="宋体" w:cs="宋体"/>
          <w:sz w:val="24"/>
          <w:szCs w:val="24"/>
          <w:lang w:val="en-US" w:eastAsia="zh-CN"/>
        </w:rPr>
        <w:t>2</w:t>
      </w:r>
      <w:r>
        <w:rPr>
          <w:rFonts w:hint="eastAsia" w:ascii="宋体" w:hAnsi="宋体" w:eastAsia="宋体" w:cs="宋体"/>
          <w:sz w:val="24"/>
          <w:szCs w:val="24"/>
        </w:rPr>
        <w:t>日</w:t>
      </w:r>
    </w:p>
    <w:p>
      <w:pPr>
        <w:rPr>
          <w:rFonts w:hint="eastAsia" w:hAnsi="宋体" w:eastAsia="宋体" w:cs="宋体"/>
          <w:sz w:val="24"/>
          <w:szCs w:val="24"/>
        </w:rPr>
      </w:pPr>
      <w:r>
        <w:rPr>
          <w:rFonts w:hint="eastAsia" w:hAnsi="宋体" w:eastAsia="宋体" w:cs="宋体"/>
          <w:sz w:val="24"/>
          <w:szCs w:val="24"/>
        </w:rPr>
        <w:br w:type="page"/>
      </w:r>
    </w:p>
    <w:p>
      <w:pPr>
        <w:pStyle w:val="19"/>
      </w:pPr>
    </w:p>
    <w:p>
      <w:pPr>
        <w:spacing w:line="360" w:lineRule="auto"/>
        <w:jc w:val="center"/>
        <w:rPr>
          <w:rFonts w:ascii="宋体" w:hAnsi="宋体" w:eastAsia="宋体" w:cs="宋体"/>
          <w:b/>
          <w:bCs/>
          <w:sz w:val="28"/>
          <w:szCs w:val="36"/>
        </w:rPr>
      </w:pPr>
      <w:r>
        <w:rPr>
          <w:rFonts w:hint="eastAsia" w:ascii="宋体" w:hAnsi="宋体" w:eastAsia="宋体" w:cs="宋体"/>
          <w:b/>
          <w:bCs/>
          <w:color w:val="000000"/>
          <w:sz w:val="30"/>
          <w:szCs w:val="30"/>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494915" cy="676275"/>
                <wp:effectExtent l="5080" t="4445" r="14605" b="5080"/>
                <wp:wrapNone/>
                <wp:docPr id="4" name="文本框 3"/>
                <wp:cNvGraphicFramePr/>
                <a:graphic xmlns:a="http://schemas.openxmlformats.org/drawingml/2006/main">
                  <a:graphicData uri="http://schemas.microsoft.com/office/word/2010/wordprocessingShape">
                    <wps:wsp>
                      <wps:cNvSpPr txBox="1"/>
                      <wps:spPr>
                        <a:xfrm>
                          <a:off x="0" y="0"/>
                          <a:ext cx="2494915" cy="676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eastAsia" w:ascii="宋体" w:hAnsi="宋体" w:eastAsia="宋体" w:cs="宋体"/>
                                <w:lang w:eastAsia="zh-CN"/>
                              </w:rPr>
                            </w:pPr>
                            <w:r>
                              <w:rPr>
                                <w:rFonts w:hint="eastAsia" w:ascii="宋体" w:hAnsi="宋体" w:eastAsia="宋体" w:cs="宋体"/>
                              </w:rPr>
                              <w:t>议案</w:t>
                            </w:r>
                            <w:r>
                              <w:rPr>
                                <w:rFonts w:hint="eastAsia" w:ascii="宋体" w:hAnsi="宋体" w:eastAsia="宋体" w:cs="宋体"/>
                                <w:lang w:val="en-US" w:eastAsia="zh-CN"/>
                              </w:rPr>
                              <w:t>6</w:t>
                            </w:r>
                          </w:p>
                        </w:txbxContent>
                      </wps:txbx>
                      <wps:bodyPr wrap="square" upright="1"/>
                    </wps:wsp>
                  </a:graphicData>
                </a:graphic>
              </wp:anchor>
            </w:drawing>
          </mc:Choice>
          <mc:Fallback>
            <w:pict>
              <v:shape id="文本框 3" o:spid="_x0000_s1026" o:spt="202" type="#_x0000_t202" style="position:absolute;left:0pt;margin-left:0pt;margin-top:0pt;height:53.25pt;width:196.45pt;z-index:251665408;mso-width-relative:page;mso-height-relative:page;" fillcolor="#FFFFFF" filled="t" stroked="t" coordsize="21600,21600" o:gfxdata="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hXBbWAAAABQEAAA8AAAAAAAAAAQAgAAAAIgAAAGRycy9kb3ducmV2Lnht&#10;bFBLAQIUABQAAAAIAIdO4kCh8iXw+wEAAPYDAAAOAAAAAAAAAAEAIAAAACUBAABkcnMvZTJvRG9j&#10;LnhtbFBLBQYAAAAABgAGAFkBAACSBQ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eastAsia" w:ascii="宋体" w:hAnsi="宋体" w:eastAsia="宋体" w:cs="宋体"/>
                          <w:lang w:eastAsia="zh-CN"/>
                        </w:rPr>
                      </w:pPr>
                      <w:r>
                        <w:rPr>
                          <w:rFonts w:hint="eastAsia" w:ascii="宋体" w:hAnsi="宋体" w:eastAsia="宋体" w:cs="宋体"/>
                        </w:rPr>
                        <w:t>议案</w:t>
                      </w:r>
                      <w:r>
                        <w:rPr>
                          <w:rFonts w:hint="eastAsia" w:ascii="宋体" w:hAnsi="宋体" w:eastAsia="宋体" w:cs="宋体"/>
                          <w:lang w:val="en-US" w:eastAsia="zh-CN"/>
                        </w:rPr>
                        <w:t>6</w:t>
                      </w:r>
                    </w:p>
                  </w:txbxContent>
                </v:textbox>
              </v:shape>
            </w:pict>
          </mc:Fallback>
        </mc:AlternateContent>
      </w:r>
    </w:p>
    <w:p>
      <w:pPr>
        <w:spacing w:line="360" w:lineRule="auto"/>
        <w:jc w:val="center"/>
        <w:rPr>
          <w:rFonts w:ascii="宋体" w:hAnsi="宋体" w:eastAsia="宋体" w:cs="宋体"/>
          <w:b/>
          <w:bCs/>
          <w:sz w:val="28"/>
          <w:szCs w:val="36"/>
        </w:rPr>
      </w:pPr>
    </w:p>
    <w:p>
      <w:pPr>
        <w:pStyle w:val="2"/>
      </w:pPr>
    </w:p>
    <w:p>
      <w:pPr>
        <w:spacing w:line="360" w:lineRule="auto"/>
        <w:jc w:val="center"/>
        <w:outlineLvl w:val="0"/>
        <w:rPr>
          <w:rFonts w:ascii="宋体" w:hAnsi="宋体" w:eastAsia="宋体" w:cs="宋体"/>
          <w:bCs/>
          <w:color w:val="000000"/>
          <w:kern w:val="36"/>
          <w:sz w:val="24"/>
        </w:rPr>
      </w:pPr>
      <w:r>
        <w:rPr>
          <w:rFonts w:hint="eastAsia" w:ascii="宋体" w:hAnsi="宋体" w:eastAsia="宋体" w:cs="宋体"/>
          <w:b/>
          <w:bCs/>
          <w:sz w:val="28"/>
          <w:szCs w:val="36"/>
        </w:rPr>
        <w:t>厦门银行股份有限公司关于2022年度日常关联交易预计额度的议案</w:t>
      </w:r>
    </w:p>
    <w:p>
      <w:pPr>
        <w:snapToGrid w:val="0"/>
        <w:spacing w:line="360" w:lineRule="auto"/>
        <w:rPr>
          <w:rFonts w:hint="eastAsia" w:ascii="宋体" w:hAnsi="宋体" w:eastAsia="宋体" w:cs="宋体"/>
          <w:bCs/>
          <w:color w:val="000000"/>
          <w:kern w:val="36"/>
          <w:sz w:val="24"/>
        </w:rPr>
      </w:pPr>
    </w:p>
    <w:p>
      <w:pPr>
        <w:keepNext w:val="0"/>
        <w:keepLines w:val="0"/>
        <w:pageBreakBefore w:val="0"/>
        <w:kinsoku/>
        <w:wordWrap/>
        <w:overflowPunct/>
        <w:topLinePunct w:val="0"/>
        <w:autoSpaceDE/>
        <w:autoSpaceDN/>
        <w:bidi w:val="0"/>
        <w:adjustRightInd/>
        <w:snapToGrid w:val="0"/>
        <w:spacing w:line="360" w:lineRule="auto"/>
        <w:textAlignment w:val="auto"/>
        <w:rPr>
          <w:rFonts w:ascii="宋体" w:hAnsi="宋体" w:eastAsia="宋体" w:cs="宋体"/>
          <w:sz w:val="24"/>
        </w:rPr>
      </w:pPr>
      <w:r>
        <w:rPr>
          <w:rFonts w:hint="eastAsia" w:ascii="宋体" w:hAnsi="宋体" w:eastAsia="宋体" w:cs="宋体"/>
          <w:bCs/>
          <w:color w:val="000000"/>
          <w:kern w:val="36"/>
          <w:sz w:val="24"/>
        </w:rPr>
        <w:t>尊敬的各位</w:t>
      </w:r>
      <w:r>
        <w:rPr>
          <w:rFonts w:hint="eastAsia" w:ascii="宋体" w:hAnsi="宋体" w:eastAsia="宋体" w:cs="宋体"/>
          <w:sz w:val="24"/>
        </w:rPr>
        <w:t>股东</w:t>
      </w:r>
      <w:r>
        <w:rPr>
          <w:rFonts w:hint="eastAsia" w:ascii="宋体" w:hAnsi="宋体" w:eastAsia="宋体" w:cs="宋体"/>
          <w:bCs/>
          <w:color w:val="000000"/>
          <w:kern w:val="36"/>
          <w:sz w:val="24"/>
        </w:rPr>
        <w:t>：</w:t>
      </w:r>
    </w:p>
    <w:p>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outlineLvl w:val="1"/>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为规范公司关联交易管理，根据《上海证券交易所股票上市规则》《上海证券交易所上市公司自律监管指引第5号——交易与关联交易》及本行关联交易管理办法等规定，本行对2022年度日常关联交易额度进行了合理预计，该预计额度及交易内容均基于与相关客户原有的合作基础及未来业务拓展需要，属于本行与关联方发生的银行正常经营范围内的常规业务，具体情况如下：</w:t>
      </w:r>
    </w:p>
    <w:p>
      <w:pPr>
        <w:keepNext w:val="0"/>
        <w:keepLines w:val="0"/>
        <w:pageBreakBefore w:val="0"/>
        <w:widowControl/>
        <w:kinsoku/>
        <w:wordWrap/>
        <w:overflowPunct/>
        <w:topLinePunct w:val="0"/>
        <w:autoSpaceDE/>
        <w:autoSpaceDN/>
        <w:bidi w:val="0"/>
        <w:adjustRightInd/>
        <w:snapToGrid w:val="0"/>
        <w:spacing w:line="360" w:lineRule="auto"/>
        <w:ind w:firstLine="482" w:firstLineChars="200"/>
        <w:textAlignment w:val="auto"/>
        <w:outlineLvl w:val="1"/>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一、日常关联交易基本情况</w:t>
      </w:r>
    </w:p>
    <w:p>
      <w:pPr>
        <w:keepNext w:val="0"/>
        <w:keepLines w:val="0"/>
        <w:pageBreakBefore w:val="0"/>
        <w:widowControl/>
        <w:kinsoku/>
        <w:wordWrap/>
        <w:overflowPunct/>
        <w:topLinePunct w:val="0"/>
        <w:autoSpaceDE/>
        <w:autoSpaceDN/>
        <w:bidi w:val="0"/>
        <w:adjustRightInd/>
        <w:snapToGrid w:val="0"/>
        <w:spacing w:line="360" w:lineRule="auto"/>
        <w:ind w:firstLine="482" w:firstLineChars="200"/>
        <w:textAlignment w:val="auto"/>
        <w:outlineLvl w:val="1"/>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（一）日常关联交易概述与内外部规章制度</w:t>
      </w:r>
    </w:p>
    <w:p>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outlineLvl w:val="1"/>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本行的日常关联交易是指本行与关联方之间发生的利益转移事项，主要指在日常经营过程中与关联方发生的贷款（含贸易融资）、票据承兑和贴现、透支、债券投资、特定目的载体投资、开立信用证、保理、担保、保函、贷款承诺、证券回购、拆借以及其他实质上由本行承担信用风险的表内外业务等授信类关联交易和资产转移类、服务类、存款类等非授信业务事项，具体交易事项以监管机构规定及本行《关联交易管理办法》为准。</w:t>
      </w:r>
    </w:p>
    <w:p>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outlineLvl w:val="1"/>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根据《商业银行集团客户授信业务风险管理指引》（中国银行业监督管理委员会令2010年第4号）、《厦门银行股份有限公司大额风险暴露管理办法》（厦门银行授管〔2019〕1号）、《厦门银行股份有限公司关联交易管理办法（2022年修订）》，本行大额风险暴露及关联交易上限指标明确如下：</w:t>
      </w:r>
    </w:p>
    <w:tbl>
      <w:tblPr>
        <w:tblStyle w:val="13"/>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516"/>
        <w:gridCol w:w="1386"/>
        <w:gridCol w:w="2008"/>
        <w:gridCol w:w="708"/>
        <w:gridCol w:w="17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1" w:hRule="atLeast"/>
        </w:trPr>
        <w:tc>
          <w:tcPr>
            <w:tcW w:w="151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i w:val="0"/>
                <w:color w:val="000000"/>
                <w:kern w:val="0"/>
                <w:sz w:val="24"/>
                <w:szCs w:val="24"/>
                <w:highlight w:val="none"/>
                <w:u w:val="none"/>
                <w:lang w:val="en-US" w:eastAsia="zh-CN" w:bidi="ar"/>
              </w:rPr>
            </w:pPr>
            <w:r>
              <w:rPr>
                <w:rFonts w:hint="eastAsia" w:asciiTheme="minorEastAsia" w:hAnsiTheme="minorEastAsia" w:eastAsiaTheme="minorEastAsia" w:cstheme="minorEastAsia"/>
                <w:b/>
                <w:i w:val="0"/>
                <w:color w:val="000000"/>
                <w:kern w:val="0"/>
                <w:sz w:val="24"/>
                <w:szCs w:val="24"/>
                <w:highlight w:val="none"/>
                <w:u w:val="none"/>
                <w:lang w:val="en-US" w:eastAsia="zh-CN" w:bidi="ar"/>
              </w:rPr>
              <w:t>对象</w:t>
            </w:r>
          </w:p>
        </w:tc>
        <w:tc>
          <w:tcPr>
            <w:tcW w:w="83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Style w:val="28"/>
                <w:rFonts w:hint="eastAsia" w:asciiTheme="minorEastAsia" w:hAnsiTheme="minorEastAsia" w:eastAsiaTheme="minorEastAsia" w:cstheme="minorEastAsia"/>
                <w:sz w:val="24"/>
                <w:szCs w:val="24"/>
                <w:highlight w:val="none"/>
                <w:lang w:val="en-US" w:eastAsia="zh-CN" w:bidi="ar"/>
              </w:rPr>
            </w:pPr>
            <w:r>
              <w:rPr>
                <w:rStyle w:val="28"/>
                <w:rFonts w:hint="eastAsia" w:asciiTheme="minorEastAsia" w:hAnsiTheme="minorEastAsia" w:eastAsiaTheme="minorEastAsia" w:cstheme="minorEastAsia"/>
                <w:sz w:val="24"/>
                <w:szCs w:val="24"/>
                <w:highlight w:val="none"/>
                <w:lang w:val="en-US" w:eastAsia="zh-CN" w:bidi="ar"/>
              </w:rPr>
              <w:t>指标</w:t>
            </w:r>
          </w:p>
        </w:tc>
        <w:tc>
          <w:tcPr>
            <w:tcW w:w="1624" w:type="pct"/>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000000"/>
                <w:kern w:val="0"/>
                <w:sz w:val="24"/>
                <w:szCs w:val="24"/>
                <w:highlight w:val="none"/>
                <w:u w:val="none"/>
                <w:lang w:val="en-US" w:eastAsia="zh-CN" w:bidi="ar"/>
              </w:rPr>
            </w:pPr>
            <w:r>
              <w:rPr>
                <w:rFonts w:hint="eastAsia" w:asciiTheme="minorEastAsia" w:hAnsiTheme="minorEastAsia" w:eastAsiaTheme="minorEastAsia" w:cstheme="minorEastAsia"/>
                <w:b/>
                <w:bCs/>
                <w:i w:val="0"/>
                <w:color w:val="000000"/>
                <w:kern w:val="0"/>
                <w:sz w:val="24"/>
                <w:szCs w:val="24"/>
                <w:highlight w:val="none"/>
                <w:u w:val="none"/>
                <w:lang w:val="en-US" w:eastAsia="zh-CN" w:bidi="ar"/>
              </w:rPr>
              <w:t>监管限额要求</w:t>
            </w:r>
          </w:p>
        </w:tc>
        <w:tc>
          <w:tcPr>
            <w:tcW w:w="102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bCs/>
                <w:i w:val="0"/>
                <w:color w:val="000000"/>
                <w:kern w:val="0"/>
                <w:sz w:val="24"/>
                <w:szCs w:val="24"/>
                <w:highlight w:val="none"/>
                <w:u w:val="none"/>
                <w:lang w:val="en-US" w:eastAsia="zh-CN" w:bidi="ar"/>
              </w:rPr>
            </w:pPr>
            <w:r>
              <w:rPr>
                <w:rFonts w:hint="eastAsia" w:asciiTheme="minorEastAsia" w:hAnsiTheme="minorEastAsia" w:eastAsiaTheme="minorEastAsia" w:cstheme="minorEastAsia"/>
                <w:b/>
                <w:bCs/>
                <w:i w:val="0"/>
                <w:color w:val="000000"/>
                <w:kern w:val="0"/>
                <w:sz w:val="24"/>
                <w:szCs w:val="24"/>
                <w:highlight w:val="none"/>
                <w:u w:val="none"/>
                <w:lang w:val="en-US" w:eastAsia="zh-CN" w:bidi="ar"/>
              </w:rPr>
              <w:t>本行上限指标</w:t>
            </w:r>
            <w:r>
              <w:rPr>
                <w:rFonts w:hint="eastAsia" w:asciiTheme="minorEastAsia" w:hAnsiTheme="minorEastAsia" w:cstheme="minorEastAsia"/>
                <w:b/>
                <w:bCs/>
                <w:i w:val="0"/>
                <w:color w:val="000000"/>
                <w:kern w:val="0"/>
                <w:sz w:val="24"/>
                <w:szCs w:val="24"/>
                <w:highlight w:val="none"/>
                <w:u w:val="none"/>
                <w:vertAlign w:val="superscript"/>
                <w:lang w:val="en-US" w:eastAsia="zh-CN" w:bidi="ar"/>
              </w:rPr>
              <w:t>1</w:t>
            </w:r>
          </w:p>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bCs/>
                <w:i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val="0"/>
                <w:i w:val="0"/>
                <w:color w:val="000000"/>
                <w:kern w:val="0"/>
                <w:sz w:val="24"/>
                <w:szCs w:val="24"/>
                <w:highlight w:val="none"/>
                <w:u w:val="none"/>
                <w:lang w:val="en-US" w:eastAsia="zh-CN" w:bidi="ar"/>
              </w:rPr>
              <w:t>(折人民币/万元)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trPr>
        <w:tc>
          <w:tcPr>
            <w:tcW w:w="5000" w:type="pct"/>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b/>
                <w:bCs w:val="0"/>
                <w:i w:val="0"/>
                <w:color w:val="000000"/>
                <w:kern w:val="0"/>
                <w:sz w:val="24"/>
                <w:szCs w:val="24"/>
                <w:highlight w:val="none"/>
                <w:u w:val="none"/>
                <w:lang w:val="en-US" w:eastAsia="zh-CN" w:bidi="ar"/>
              </w:rPr>
            </w:pPr>
            <w:r>
              <w:rPr>
                <w:rFonts w:hint="eastAsia" w:asciiTheme="minorEastAsia" w:hAnsiTheme="minorEastAsia" w:eastAsiaTheme="minorEastAsia" w:cstheme="minorEastAsia"/>
                <w:b/>
                <w:bCs w:val="0"/>
                <w:i w:val="0"/>
                <w:color w:val="000000"/>
                <w:kern w:val="0"/>
                <w:sz w:val="24"/>
                <w:szCs w:val="24"/>
                <w:highlight w:val="none"/>
                <w:u w:val="none"/>
                <w:lang w:val="en-US" w:eastAsia="zh-CN" w:bidi="ar"/>
              </w:rPr>
              <w:t>（一）风险暴露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trPr>
        <w:tc>
          <w:tcPr>
            <w:tcW w:w="151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Fonts w:hint="eastAsia" w:asciiTheme="minorEastAsia" w:hAnsiTheme="minorEastAsia" w:eastAsiaTheme="minorEastAsia" w:cstheme="minorEastAsia"/>
                <w:b w:val="0"/>
                <w:bCs/>
                <w:i w:val="0"/>
                <w:color w:val="000000"/>
                <w:kern w:val="0"/>
                <w:sz w:val="24"/>
                <w:szCs w:val="24"/>
                <w:highlight w:val="none"/>
                <w:u w:val="none"/>
                <w:lang w:val="en-US" w:eastAsia="zh-CN" w:bidi="ar"/>
              </w:rPr>
              <w:t>非同业单一客户</w:t>
            </w:r>
          </w:p>
        </w:tc>
        <w:tc>
          <w:tcPr>
            <w:tcW w:w="83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Style w:val="28"/>
                <w:rFonts w:hint="eastAsia" w:asciiTheme="minorEastAsia" w:hAnsiTheme="minorEastAsia" w:eastAsiaTheme="minorEastAsia" w:cstheme="minorEastAsia"/>
                <w:b w:val="0"/>
                <w:bCs/>
                <w:sz w:val="24"/>
                <w:szCs w:val="24"/>
                <w:highlight w:val="none"/>
                <w:lang w:val="en-US" w:eastAsia="zh-CN" w:bidi="ar"/>
              </w:rPr>
              <w:t>贷款</w:t>
            </w:r>
            <w:r>
              <w:rPr>
                <w:rStyle w:val="29"/>
                <w:rFonts w:hint="eastAsia" w:asciiTheme="minorEastAsia" w:hAnsiTheme="minorEastAsia" w:eastAsiaTheme="minorEastAsia" w:cstheme="minorEastAsia"/>
                <w:b w:val="0"/>
                <w:bCs/>
                <w:sz w:val="24"/>
                <w:szCs w:val="24"/>
                <w:highlight w:val="none"/>
                <w:lang w:val="en-US" w:eastAsia="zh-CN" w:bidi="ar"/>
              </w:rPr>
              <w:t>余额</w:t>
            </w:r>
          </w:p>
        </w:tc>
        <w:tc>
          <w:tcPr>
            <w:tcW w:w="1624" w:type="pct"/>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Fonts w:hint="eastAsia" w:asciiTheme="minorEastAsia" w:hAnsiTheme="minorEastAsia" w:eastAsiaTheme="minorEastAsia" w:cstheme="minorEastAsia"/>
                <w:b w:val="0"/>
                <w:bCs/>
                <w:i w:val="0"/>
                <w:color w:val="000000"/>
                <w:kern w:val="0"/>
                <w:sz w:val="24"/>
                <w:szCs w:val="24"/>
                <w:highlight w:val="none"/>
                <w:u w:val="none"/>
                <w:lang w:val="en-US" w:eastAsia="zh-CN" w:bidi="ar"/>
              </w:rPr>
              <w:t>≤资本净额10%</w:t>
            </w:r>
          </w:p>
        </w:tc>
        <w:tc>
          <w:tcPr>
            <w:tcW w:w="102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Fonts w:hint="eastAsia" w:asciiTheme="minorEastAsia" w:hAnsiTheme="minorEastAsia" w:eastAsiaTheme="minorEastAsia" w:cstheme="minorEastAsia"/>
                <w:b w:val="0"/>
                <w:bCs/>
                <w:i w:val="0"/>
                <w:color w:val="000000"/>
                <w:sz w:val="24"/>
                <w:szCs w:val="24"/>
                <w:highlight w:val="none"/>
                <w:u w:val="none"/>
                <w:lang w:val="en-US" w:eastAsia="zh-CN"/>
              </w:rPr>
              <w:t>303</w:t>
            </w:r>
            <w:r>
              <w:rPr>
                <w:rFonts w:hint="eastAsia" w:asciiTheme="minorEastAsia" w:hAnsiTheme="minorEastAsia" w:eastAsiaTheme="minorEastAsia" w:cstheme="minorEastAsia"/>
                <w:b w:val="0"/>
                <w:bCs/>
                <w:i w:val="0"/>
                <w:color w:val="000000"/>
                <w:sz w:val="24"/>
                <w:szCs w:val="24"/>
                <w:highlight w:val="none"/>
                <w:u w:val="none"/>
              </w:rPr>
              <w:t>,</w:t>
            </w:r>
            <w:r>
              <w:rPr>
                <w:rFonts w:hint="eastAsia" w:asciiTheme="minorEastAsia" w:hAnsiTheme="minorEastAsia" w:eastAsiaTheme="minorEastAsia" w:cstheme="minorEastAsia"/>
                <w:b w:val="0"/>
                <w:bCs/>
                <w:i w:val="0"/>
                <w:color w:val="000000"/>
                <w:sz w:val="24"/>
                <w:szCs w:val="24"/>
                <w:highlight w:val="none"/>
                <w:u w:val="none"/>
                <w:lang w:val="en-US" w:eastAsia="zh-CN"/>
              </w:rPr>
              <w:t>300</w:t>
            </w:r>
            <w:r>
              <w:rPr>
                <w:rFonts w:hint="eastAsia" w:asciiTheme="minorEastAsia" w:hAnsiTheme="minorEastAsia" w:eastAsiaTheme="minorEastAsia" w:cstheme="minorEastAsia"/>
                <w:b w:val="0"/>
                <w:bCs/>
                <w:i w:val="0"/>
                <w:color w:val="000000"/>
                <w:sz w:val="24"/>
                <w:szCs w:val="24"/>
                <w:highlight w:val="none"/>
                <w:u w:val="none"/>
              </w:rPr>
              <w:t>.</w:t>
            </w:r>
            <w:r>
              <w:rPr>
                <w:rFonts w:hint="eastAsia" w:asciiTheme="minorEastAsia" w:hAnsiTheme="minorEastAsia" w:eastAsiaTheme="minorEastAsia" w:cstheme="minorEastAsia"/>
                <w:b w:val="0"/>
                <w:bCs/>
                <w:i w:val="0"/>
                <w:color w:val="000000"/>
                <w:sz w:val="24"/>
                <w:szCs w:val="24"/>
                <w:highlight w:val="none"/>
                <w:u w:val="none"/>
                <w:lang w:val="en-US" w:eastAsia="zh-CN"/>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trPr>
        <w:tc>
          <w:tcPr>
            <w:tcW w:w="151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Fonts w:hint="eastAsia" w:asciiTheme="minorEastAsia" w:hAnsiTheme="minorEastAsia" w:eastAsiaTheme="minorEastAsia" w:cstheme="minorEastAsia"/>
                <w:b w:val="0"/>
                <w:bCs/>
                <w:i w:val="0"/>
                <w:color w:val="000000"/>
                <w:kern w:val="0"/>
                <w:sz w:val="24"/>
                <w:szCs w:val="24"/>
                <w:highlight w:val="none"/>
                <w:u w:val="none"/>
                <w:lang w:val="en-US" w:eastAsia="zh-CN" w:bidi="ar"/>
              </w:rPr>
              <w:t>非同业单一客户</w:t>
            </w:r>
          </w:p>
        </w:tc>
        <w:tc>
          <w:tcPr>
            <w:tcW w:w="83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Fonts w:hint="eastAsia" w:asciiTheme="minorEastAsia" w:hAnsiTheme="minorEastAsia" w:eastAsiaTheme="minorEastAsia" w:cstheme="minorEastAsia"/>
                <w:b w:val="0"/>
                <w:bCs/>
                <w:i w:val="0"/>
                <w:color w:val="000000"/>
                <w:kern w:val="0"/>
                <w:sz w:val="24"/>
                <w:szCs w:val="24"/>
                <w:highlight w:val="none"/>
                <w:u w:val="none"/>
                <w:lang w:val="en-US" w:eastAsia="zh-CN" w:bidi="ar"/>
              </w:rPr>
              <w:t>风险暴露</w:t>
            </w:r>
          </w:p>
        </w:tc>
        <w:tc>
          <w:tcPr>
            <w:tcW w:w="1624" w:type="pct"/>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Style w:val="30"/>
                <w:rFonts w:hint="eastAsia" w:asciiTheme="minorEastAsia" w:hAnsiTheme="minorEastAsia" w:eastAsiaTheme="minorEastAsia" w:cstheme="minorEastAsia"/>
                <w:b w:val="0"/>
                <w:bCs/>
                <w:sz w:val="24"/>
                <w:szCs w:val="24"/>
                <w:highlight w:val="none"/>
                <w:lang w:val="en-US" w:eastAsia="zh-CN" w:bidi="ar"/>
              </w:rPr>
              <w:t>≤</w:t>
            </w:r>
            <w:r>
              <w:rPr>
                <w:rStyle w:val="29"/>
                <w:rFonts w:hint="eastAsia" w:asciiTheme="minorEastAsia" w:hAnsiTheme="minorEastAsia" w:eastAsiaTheme="minorEastAsia" w:cstheme="minorEastAsia"/>
                <w:b w:val="0"/>
                <w:bCs/>
                <w:sz w:val="24"/>
                <w:szCs w:val="24"/>
                <w:highlight w:val="none"/>
                <w:lang w:val="en-US" w:eastAsia="zh-CN" w:bidi="ar"/>
              </w:rPr>
              <w:t>一级</w:t>
            </w:r>
            <w:r>
              <w:rPr>
                <w:rStyle w:val="30"/>
                <w:rFonts w:hint="eastAsia" w:asciiTheme="minorEastAsia" w:hAnsiTheme="minorEastAsia" w:eastAsiaTheme="minorEastAsia" w:cstheme="minorEastAsia"/>
                <w:b w:val="0"/>
                <w:bCs/>
                <w:sz w:val="24"/>
                <w:szCs w:val="24"/>
                <w:highlight w:val="none"/>
                <w:lang w:val="en-US" w:eastAsia="zh-CN" w:bidi="ar"/>
              </w:rPr>
              <w:t>资本净额15%</w:t>
            </w:r>
          </w:p>
        </w:tc>
        <w:tc>
          <w:tcPr>
            <w:tcW w:w="102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Fonts w:hint="eastAsia" w:asciiTheme="minorEastAsia" w:hAnsiTheme="minorEastAsia" w:eastAsiaTheme="minorEastAsia" w:cstheme="minorEastAsia"/>
                <w:b w:val="0"/>
                <w:bCs/>
                <w:i w:val="0"/>
                <w:color w:val="000000"/>
                <w:sz w:val="24"/>
                <w:szCs w:val="24"/>
                <w:highlight w:val="none"/>
                <w:u w:val="none"/>
                <w:lang w:val="en-US" w:eastAsia="zh-CN"/>
              </w:rPr>
              <w:t>322</w:t>
            </w:r>
            <w:r>
              <w:rPr>
                <w:rFonts w:hint="eastAsia" w:asciiTheme="minorEastAsia" w:hAnsiTheme="minorEastAsia" w:eastAsiaTheme="minorEastAsia" w:cstheme="minorEastAsia"/>
                <w:b w:val="0"/>
                <w:bCs/>
                <w:i w:val="0"/>
                <w:color w:val="000000"/>
                <w:sz w:val="24"/>
                <w:szCs w:val="24"/>
                <w:highlight w:val="none"/>
                <w:u w:val="none"/>
              </w:rPr>
              <w:t>,</w:t>
            </w:r>
            <w:r>
              <w:rPr>
                <w:rFonts w:hint="eastAsia" w:asciiTheme="minorEastAsia" w:hAnsiTheme="minorEastAsia" w:eastAsiaTheme="minorEastAsia" w:cstheme="minorEastAsia"/>
                <w:b w:val="0"/>
                <w:bCs/>
                <w:i w:val="0"/>
                <w:color w:val="000000"/>
                <w:sz w:val="24"/>
                <w:szCs w:val="24"/>
                <w:highlight w:val="none"/>
                <w:u w:val="none"/>
                <w:lang w:val="en-US" w:eastAsia="zh-CN"/>
              </w:rPr>
              <w:t>300</w:t>
            </w:r>
            <w:r>
              <w:rPr>
                <w:rFonts w:hint="eastAsia" w:asciiTheme="minorEastAsia" w:hAnsiTheme="minorEastAsia" w:eastAsiaTheme="minorEastAsia" w:cstheme="minorEastAsia"/>
                <w:b w:val="0"/>
                <w:bCs/>
                <w:i w:val="0"/>
                <w:color w:val="000000"/>
                <w:sz w:val="24"/>
                <w:szCs w:val="24"/>
                <w:highlight w:val="none"/>
                <w:u w:val="none"/>
              </w:rPr>
              <w:t>.</w:t>
            </w:r>
            <w:r>
              <w:rPr>
                <w:rFonts w:hint="eastAsia" w:asciiTheme="minorEastAsia" w:hAnsiTheme="minorEastAsia" w:eastAsiaTheme="minorEastAsia" w:cstheme="minorEastAsia"/>
                <w:b w:val="0"/>
                <w:bCs/>
                <w:i w:val="0"/>
                <w:color w:val="000000"/>
                <w:sz w:val="24"/>
                <w:szCs w:val="24"/>
                <w:highlight w:val="none"/>
                <w:u w:val="none"/>
                <w:lang w:val="en-US" w:eastAsia="zh-CN"/>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trPr>
        <w:tc>
          <w:tcPr>
            <w:tcW w:w="1516" w:type="pc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Fonts w:hint="eastAsia" w:asciiTheme="minorEastAsia" w:hAnsiTheme="minorEastAsia" w:eastAsiaTheme="minorEastAsia" w:cstheme="minorEastAsia"/>
                <w:b w:val="0"/>
                <w:bCs/>
                <w:i w:val="0"/>
                <w:color w:val="000000"/>
                <w:kern w:val="0"/>
                <w:sz w:val="24"/>
                <w:szCs w:val="24"/>
                <w:highlight w:val="none"/>
                <w:u w:val="none"/>
                <w:lang w:val="en-US" w:eastAsia="zh-CN" w:bidi="ar"/>
              </w:rPr>
              <w:t>一组非同业关联客户</w:t>
            </w:r>
          </w:p>
        </w:tc>
        <w:tc>
          <w:tcPr>
            <w:tcW w:w="83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i w:val="0"/>
                <w:color w:val="000000"/>
                <w:kern w:val="0"/>
                <w:sz w:val="24"/>
                <w:szCs w:val="24"/>
                <w:highlight w:val="none"/>
                <w:u w:val="none"/>
                <w:lang w:val="en-US" w:eastAsia="zh-CN" w:bidi="ar"/>
              </w:rPr>
              <w:t>风险暴露</w:t>
            </w:r>
          </w:p>
        </w:tc>
        <w:tc>
          <w:tcPr>
            <w:tcW w:w="12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Style w:val="30"/>
                <w:rFonts w:hint="eastAsia" w:asciiTheme="minorEastAsia" w:hAnsiTheme="minorEastAsia" w:eastAsiaTheme="minorEastAsia" w:cstheme="minorEastAsia"/>
                <w:b w:val="0"/>
                <w:bCs/>
                <w:sz w:val="24"/>
                <w:szCs w:val="24"/>
                <w:highlight w:val="none"/>
                <w:lang w:val="en-US" w:eastAsia="zh-CN" w:bidi="ar"/>
              </w:rPr>
              <w:t>≤</w:t>
            </w:r>
            <w:r>
              <w:rPr>
                <w:rStyle w:val="29"/>
                <w:rFonts w:hint="eastAsia" w:asciiTheme="minorEastAsia" w:hAnsiTheme="minorEastAsia" w:eastAsiaTheme="minorEastAsia" w:cstheme="minorEastAsia"/>
                <w:b w:val="0"/>
                <w:bCs/>
                <w:sz w:val="24"/>
                <w:szCs w:val="24"/>
                <w:highlight w:val="none"/>
                <w:lang w:val="en-US" w:eastAsia="zh-CN" w:bidi="ar"/>
              </w:rPr>
              <w:t>一级</w:t>
            </w:r>
            <w:r>
              <w:rPr>
                <w:rStyle w:val="30"/>
                <w:rFonts w:hint="eastAsia" w:asciiTheme="minorEastAsia" w:hAnsiTheme="minorEastAsia" w:eastAsiaTheme="minorEastAsia" w:cstheme="minorEastAsia"/>
                <w:b w:val="0"/>
                <w:bCs/>
                <w:sz w:val="24"/>
                <w:szCs w:val="24"/>
                <w:highlight w:val="none"/>
                <w:lang w:val="en-US" w:eastAsia="zh-CN" w:bidi="ar"/>
              </w:rPr>
              <w:t>资本净额20%</w:t>
            </w:r>
          </w:p>
        </w:tc>
        <w:tc>
          <w:tcPr>
            <w:tcW w:w="351" w:type="pct"/>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kern w:val="2"/>
                <w:sz w:val="24"/>
                <w:szCs w:val="24"/>
                <w:highlight w:val="none"/>
                <w:u w:val="none"/>
                <w:lang w:val="en-US" w:eastAsia="zh-CN" w:bidi="ar-SA"/>
              </w:rPr>
            </w:pPr>
            <w:r>
              <w:rPr>
                <w:rFonts w:hint="eastAsia" w:asciiTheme="minorEastAsia" w:hAnsiTheme="minorEastAsia" w:eastAsiaTheme="minorEastAsia" w:cstheme="minorEastAsia"/>
                <w:b w:val="0"/>
                <w:bCs/>
                <w:i w:val="0"/>
                <w:color w:val="000000"/>
                <w:sz w:val="24"/>
                <w:szCs w:val="24"/>
                <w:highlight w:val="none"/>
                <w:u w:val="none"/>
                <w:lang w:eastAsia="zh-CN"/>
              </w:rPr>
              <w:t>取孰低</w:t>
            </w:r>
          </w:p>
        </w:tc>
        <w:tc>
          <w:tcPr>
            <w:tcW w:w="1021" w:type="pct"/>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lang w:val="en-US" w:eastAsia="zh-CN"/>
              </w:rPr>
            </w:pPr>
            <w:r>
              <w:rPr>
                <w:rFonts w:hint="eastAsia" w:asciiTheme="minorEastAsia" w:hAnsiTheme="minorEastAsia" w:eastAsiaTheme="minorEastAsia" w:cstheme="minorEastAsia"/>
                <w:b w:val="0"/>
                <w:bCs/>
                <w:i w:val="0"/>
                <w:color w:val="000000"/>
                <w:sz w:val="24"/>
                <w:szCs w:val="24"/>
                <w:highlight w:val="none"/>
                <w:u w:val="none"/>
                <w:lang w:val="en-US" w:eastAsia="zh-CN"/>
              </w:rPr>
              <w:t>429</w:t>
            </w:r>
            <w:r>
              <w:rPr>
                <w:rFonts w:hint="eastAsia" w:asciiTheme="minorEastAsia" w:hAnsiTheme="minorEastAsia" w:eastAsiaTheme="minorEastAsia" w:cstheme="minorEastAsia"/>
                <w:b w:val="0"/>
                <w:bCs/>
                <w:i w:val="0"/>
                <w:color w:val="000000"/>
                <w:sz w:val="24"/>
                <w:szCs w:val="24"/>
                <w:highlight w:val="none"/>
                <w:u w:val="none"/>
              </w:rPr>
              <w:t>,8</w:t>
            </w:r>
            <w:r>
              <w:rPr>
                <w:rFonts w:hint="eastAsia" w:asciiTheme="minorEastAsia" w:hAnsiTheme="minorEastAsia" w:eastAsiaTheme="minorEastAsia" w:cstheme="minorEastAsia"/>
                <w:b w:val="0"/>
                <w:bCs/>
                <w:i w:val="0"/>
                <w:color w:val="000000"/>
                <w:sz w:val="24"/>
                <w:szCs w:val="24"/>
                <w:highlight w:val="none"/>
                <w:u w:val="none"/>
                <w:lang w:val="en-US" w:eastAsia="zh-CN"/>
              </w:rPr>
              <w:t>00</w:t>
            </w:r>
            <w:r>
              <w:rPr>
                <w:rFonts w:hint="eastAsia" w:asciiTheme="minorEastAsia" w:hAnsiTheme="minorEastAsia" w:eastAsiaTheme="minorEastAsia" w:cstheme="minorEastAsia"/>
                <w:b w:val="0"/>
                <w:bCs/>
                <w:i w:val="0"/>
                <w:color w:val="000000"/>
                <w:sz w:val="24"/>
                <w:szCs w:val="24"/>
                <w:highlight w:val="none"/>
                <w:u w:val="none"/>
              </w:rPr>
              <w:t>.</w:t>
            </w:r>
            <w:r>
              <w:rPr>
                <w:rFonts w:hint="eastAsia" w:asciiTheme="minorEastAsia" w:hAnsiTheme="minorEastAsia" w:eastAsiaTheme="minorEastAsia" w:cstheme="minorEastAsia"/>
                <w:b w:val="0"/>
                <w:bCs/>
                <w:i w:val="0"/>
                <w:color w:val="000000"/>
                <w:sz w:val="24"/>
                <w:szCs w:val="24"/>
                <w:highlight w:val="none"/>
                <w:u w:val="none"/>
                <w:lang w:val="en-US" w:eastAsia="zh-CN"/>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trPr>
        <w:tc>
          <w:tcPr>
            <w:tcW w:w="1516" w:type="pc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i w:val="0"/>
                <w:color w:val="000000"/>
                <w:kern w:val="0"/>
                <w:sz w:val="24"/>
                <w:szCs w:val="24"/>
                <w:highlight w:val="none"/>
                <w:u w:val="none"/>
                <w:lang w:val="en-US" w:eastAsia="zh-CN" w:bidi="ar"/>
              </w:rPr>
              <w:t>非同业单一集团客户</w:t>
            </w:r>
          </w:p>
        </w:tc>
        <w:tc>
          <w:tcPr>
            <w:tcW w:w="83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kern w:val="2"/>
                <w:sz w:val="24"/>
                <w:szCs w:val="24"/>
                <w:highlight w:val="none"/>
                <w:u w:val="none"/>
                <w:lang w:val="en-US" w:eastAsia="zh-CN" w:bidi="ar"/>
              </w:rPr>
            </w:pPr>
            <w:r>
              <w:rPr>
                <w:rFonts w:hint="eastAsia" w:asciiTheme="minorEastAsia" w:hAnsiTheme="minorEastAsia" w:eastAsiaTheme="minorEastAsia" w:cstheme="minorEastAsia"/>
                <w:b w:val="0"/>
                <w:bCs/>
                <w:i w:val="0"/>
                <w:color w:val="000000"/>
                <w:kern w:val="0"/>
                <w:sz w:val="24"/>
                <w:szCs w:val="24"/>
                <w:highlight w:val="none"/>
                <w:u w:val="none"/>
                <w:lang w:val="en-US" w:eastAsia="zh-CN" w:bidi="ar"/>
              </w:rPr>
              <w:t>风险暴露</w:t>
            </w:r>
          </w:p>
        </w:tc>
        <w:tc>
          <w:tcPr>
            <w:tcW w:w="12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Style w:val="30"/>
                <w:rFonts w:hint="eastAsia" w:asciiTheme="minorEastAsia" w:hAnsiTheme="minorEastAsia" w:eastAsiaTheme="minorEastAsia" w:cstheme="minorEastAsia"/>
                <w:b w:val="0"/>
                <w:bCs/>
                <w:sz w:val="24"/>
                <w:szCs w:val="24"/>
                <w:highlight w:val="none"/>
                <w:lang w:val="en-US" w:eastAsia="zh-CN" w:bidi="ar"/>
              </w:rPr>
              <w:t>≤资本净额15%</w:t>
            </w:r>
          </w:p>
        </w:tc>
        <w:tc>
          <w:tcPr>
            <w:tcW w:w="351" w:type="pct"/>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p>
        </w:tc>
        <w:tc>
          <w:tcPr>
            <w:tcW w:w="1021" w:type="pct"/>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trPr>
        <w:tc>
          <w:tcPr>
            <w:tcW w:w="151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Fonts w:hint="eastAsia" w:asciiTheme="minorEastAsia" w:hAnsiTheme="minorEastAsia" w:eastAsiaTheme="minorEastAsia" w:cstheme="minorEastAsia"/>
                <w:b w:val="0"/>
                <w:bCs/>
                <w:i w:val="0"/>
                <w:color w:val="000000"/>
                <w:kern w:val="0"/>
                <w:sz w:val="24"/>
                <w:szCs w:val="24"/>
                <w:highlight w:val="none"/>
                <w:u w:val="none"/>
                <w:lang w:val="en-US" w:eastAsia="zh-CN" w:bidi="ar"/>
              </w:rPr>
              <w:t>同业单一客户或集团客户</w:t>
            </w:r>
          </w:p>
        </w:tc>
        <w:tc>
          <w:tcPr>
            <w:tcW w:w="83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Fonts w:hint="eastAsia" w:asciiTheme="minorEastAsia" w:hAnsiTheme="minorEastAsia" w:eastAsiaTheme="minorEastAsia" w:cstheme="minorEastAsia"/>
                <w:b w:val="0"/>
                <w:bCs/>
                <w:i w:val="0"/>
                <w:color w:val="000000"/>
                <w:kern w:val="0"/>
                <w:sz w:val="24"/>
                <w:szCs w:val="24"/>
                <w:highlight w:val="none"/>
                <w:u w:val="none"/>
                <w:lang w:val="en-US" w:eastAsia="zh-CN" w:bidi="ar"/>
              </w:rPr>
              <w:t>风险暴露</w:t>
            </w:r>
          </w:p>
        </w:tc>
        <w:tc>
          <w:tcPr>
            <w:tcW w:w="1624" w:type="pct"/>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Style w:val="30"/>
                <w:rFonts w:hint="eastAsia" w:asciiTheme="minorEastAsia" w:hAnsiTheme="minorEastAsia" w:eastAsiaTheme="minorEastAsia" w:cstheme="minorEastAsia"/>
                <w:b w:val="0"/>
                <w:bCs/>
                <w:sz w:val="24"/>
                <w:szCs w:val="24"/>
                <w:highlight w:val="none"/>
                <w:lang w:val="en-US" w:eastAsia="zh-CN" w:bidi="ar"/>
              </w:rPr>
              <w:t>≤</w:t>
            </w:r>
            <w:r>
              <w:rPr>
                <w:rStyle w:val="29"/>
                <w:rFonts w:hint="eastAsia" w:asciiTheme="minorEastAsia" w:hAnsiTheme="minorEastAsia" w:eastAsiaTheme="minorEastAsia" w:cstheme="minorEastAsia"/>
                <w:b w:val="0"/>
                <w:bCs/>
                <w:sz w:val="24"/>
                <w:szCs w:val="24"/>
                <w:highlight w:val="none"/>
                <w:lang w:val="en-US" w:eastAsia="zh-CN" w:bidi="ar"/>
              </w:rPr>
              <w:t>一级</w:t>
            </w:r>
            <w:r>
              <w:rPr>
                <w:rStyle w:val="30"/>
                <w:rFonts w:hint="eastAsia" w:asciiTheme="minorEastAsia" w:hAnsiTheme="minorEastAsia" w:eastAsiaTheme="minorEastAsia" w:cstheme="minorEastAsia"/>
                <w:b w:val="0"/>
                <w:bCs/>
                <w:sz w:val="24"/>
                <w:szCs w:val="24"/>
                <w:highlight w:val="none"/>
                <w:lang w:val="en-US" w:eastAsia="zh-CN" w:bidi="ar"/>
              </w:rPr>
              <w:t>资本净额25%</w:t>
            </w:r>
            <w:r>
              <w:rPr>
                <w:rFonts w:hint="eastAsia" w:asciiTheme="minorEastAsia" w:hAnsiTheme="minorEastAsia" w:eastAsiaTheme="minorEastAsia" w:cstheme="minorEastAsia"/>
                <w:b w:val="0"/>
                <w:bCs/>
                <w:i w:val="0"/>
                <w:color w:val="000000"/>
                <w:sz w:val="24"/>
                <w:szCs w:val="24"/>
                <w:highlight w:val="none"/>
                <w:u w:val="none"/>
              </w:rPr>
              <w:t xml:space="preserve"> </w:t>
            </w:r>
          </w:p>
        </w:tc>
        <w:tc>
          <w:tcPr>
            <w:tcW w:w="102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Fonts w:hint="eastAsia" w:asciiTheme="minorEastAsia" w:hAnsiTheme="minorEastAsia" w:eastAsiaTheme="minorEastAsia" w:cstheme="minorEastAsia"/>
                <w:b w:val="0"/>
                <w:bCs/>
                <w:i w:val="0"/>
                <w:color w:val="000000"/>
                <w:sz w:val="24"/>
                <w:szCs w:val="24"/>
                <w:highlight w:val="none"/>
                <w:u w:val="none"/>
                <w:lang w:val="en-US" w:eastAsia="zh-CN"/>
              </w:rPr>
              <w:t>537</w:t>
            </w:r>
            <w:r>
              <w:rPr>
                <w:rFonts w:hint="eastAsia" w:asciiTheme="minorEastAsia" w:hAnsiTheme="minorEastAsia" w:eastAsiaTheme="minorEastAsia" w:cstheme="minorEastAsia"/>
                <w:b w:val="0"/>
                <w:bCs/>
                <w:i w:val="0"/>
                <w:color w:val="000000"/>
                <w:sz w:val="24"/>
                <w:szCs w:val="24"/>
                <w:highlight w:val="none"/>
                <w:u w:val="none"/>
              </w:rPr>
              <w:t>,</w:t>
            </w:r>
            <w:r>
              <w:rPr>
                <w:rFonts w:hint="eastAsia" w:asciiTheme="minorEastAsia" w:hAnsiTheme="minorEastAsia" w:eastAsiaTheme="minorEastAsia" w:cstheme="minorEastAsia"/>
                <w:b w:val="0"/>
                <w:bCs/>
                <w:i w:val="0"/>
                <w:color w:val="000000"/>
                <w:sz w:val="24"/>
                <w:szCs w:val="24"/>
                <w:highlight w:val="none"/>
                <w:u w:val="none"/>
                <w:lang w:val="en-US" w:eastAsia="zh-CN"/>
              </w:rPr>
              <w:t>300</w:t>
            </w:r>
            <w:r>
              <w:rPr>
                <w:rFonts w:hint="eastAsia" w:asciiTheme="minorEastAsia" w:hAnsiTheme="minorEastAsia" w:eastAsiaTheme="minorEastAsia" w:cstheme="minorEastAsia"/>
                <w:b w:val="0"/>
                <w:bCs/>
                <w:i w:val="0"/>
                <w:color w:val="000000"/>
                <w:sz w:val="24"/>
                <w:szCs w:val="24"/>
                <w:highlight w:val="none"/>
                <w:u w:val="none"/>
              </w:rPr>
              <w:t>.</w:t>
            </w:r>
            <w:r>
              <w:rPr>
                <w:rFonts w:hint="eastAsia" w:asciiTheme="minorEastAsia" w:hAnsiTheme="minorEastAsia" w:eastAsiaTheme="minorEastAsia" w:cstheme="minorEastAsia"/>
                <w:b w:val="0"/>
                <w:bCs/>
                <w:i w:val="0"/>
                <w:color w:val="000000"/>
                <w:sz w:val="24"/>
                <w:szCs w:val="24"/>
                <w:highlight w:val="none"/>
                <w:u w:val="none"/>
                <w:lang w:val="en-US" w:eastAsia="zh-CN"/>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trPr>
        <w:tc>
          <w:tcPr>
            <w:tcW w:w="5000" w:type="pct"/>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heme="minorEastAsia" w:hAnsiTheme="minorEastAsia" w:eastAsiaTheme="minorEastAsia" w:cstheme="minorEastAsia"/>
                <w:b/>
                <w:bCs w:val="0"/>
                <w:i w:val="0"/>
                <w:color w:val="000000"/>
                <w:kern w:val="0"/>
                <w:sz w:val="24"/>
                <w:szCs w:val="24"/>
                <w:highlight w:val="none"/>
                <w:u w:val="none"/>
                <w:lang w:val="en-US" w:eastAsia="zh-CN" w:bidi="ar"/>
              </w:rPr>
            </w:pPr>
            <w:r>
              <w:rPr>
                <w:rFonts w:hint="eastAsia" w:asciiTheme="minorEastAsia" w:hAnsiTheme="minorEastAsia" w:eastAsiaTheme="minorEastAsia" w:cstheme="minorEastAsia"/>
                <w:b/>
                <w:bCs w:val="0"/>
                <w:i w:val="0"/>
                <w:color w:val="000000"/>
                <w:kern w:val="0"/>
                <w:sz w:val="24"/>
                <w:szCs w:val="24"/>
                <w:highlight w:val="none"/>
                <w:u w:val="none"/>
                <w:lang w:val="en-US" w:eastAsia="zh-CN" w:bidi="ar"/>
              </w:rPr>
              <w:t>（二）关联交易</w:t>
            </w:r>
            <w:r>
              <w:rPr>
                <w:rFonts w:hint="eastAsia" w:asciiTheme="minorEastAsia" w:hAnsiTheme="minorEastAsia" w:cstheme="minorEastAsia"/>
                <w:b/>
                <w:bCs w:val="0"/>
                <w:i w:val="0"/>
                <w:color w:val="000000"/>
                <w:kern w:val="0"/>
                <w:sz w:val="24"/>
                <w:szCs w:val="24"/>
                <w:highlight w:val="none"/>
                <w:u w:val="none"/>
                <w:vertAlign w:val="superscript"/>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trPr>
        <w:tc>
          <w:tcPr>
            <w:tcW w:w="151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Fonts w:hint="eastAsia" w:asciiTheme="minorEastAsia" w:hAnsiTheme="minorEastAsia" w:eastAsiaTheme="minorEastAsia" w:cstheme="minorEastAsia"/>
                <w:b w:val="0"/>
                <w:bCs/>
                <w:i w:val="0"/>
                <w:color w:val="000000"/>
                <w:kern w:val="0"/>
                <w:sz w:val="24"/>
                <w:szCs w:val="24"/>
                <w:highlight w:val="none"/>
                <w:u w:val="none"/>
                <w:lang w:val="en-US" w:eastAsia="zh-CN" w:bidi="ar"/>
              </w:rPr>
              <w:t>单一关联方</w:t>
            </w:r>
          </w:p>
        </w:tc>
        <w:tc>
          <w:tcPr>
            <w:tcW w:w="83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Style w:val="28"/>
                <w:rFonts w:hint="eastAsia" w:asciiTheme="minorEastAsia" w:hAnsiTheme="minorEastAsia" w:eastAsiaTheme="minorEastAsia" w:cstheme="minorEastAsia"/>
                <w:b w:val="0"/>
                <w:bCs/>
                <w:sz w:val="24"/>
                <w:szCs w:val="24"/>
                <w:highlight w:val="none"/>
                <w:lang w:val="en-US" w:eastAsia="zh-CN" w:bidi="ar"/>
              </w:rPr>
              <w:t>授信</w:t>
            </w:r>
            <w:r>
              <w:rPr>
                <w:rStyle w:val="29"/>
                <w:rFonts w:hint="eastAsia" w:asciiTheme="minorEastAsia" w:hAnsiTheme="minorEastAsia" w:eastAsiaTheme="minorEastAsia" w:cstheme="minorEastAsia"/>
                <w:b w:val="0"/>
                <w:bCs/>
                <w:sz w:val="24"/>
                <w:szCs w:val="24"/>
                <w:highlight w:val="none"/>
                <w:lang w:val="en-US" w:eastAsia="zh-CN" w:bidi="ar"/>
              </w:rPr>
              <w:t>余额敞口</w:t>
            </w:r>
          </w:p>
        </w:tc>
        <w:tc>
          <w:tcPr>
            <w:tcW w:w="1624" w:type="pct"/>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Fonts w:hint="eastAsia" w:asciiTheme="minorEastAsia" w:hAnsiTheme="minorEastAsia" w:eastAsiaTheme="minorEastAsia" w:cstheme="minorEastAsia"/>
                <w:b w:val="0"/>
                <w:bCs/>
                <w:i w:val="0"/>
                <w:color w:val="000000"/>
                <w:kern w:val="0"/>
                <w:sz w:val="24"/>
                <w:szCs w:val="24"/>
                <w:highlight w:val="none"/>
                <w:u w:val="none"/>
                <w:lang w:val="en-US" w:eastAsia="zh-CN" w:bidi="ar"/>
              </w:rPr>
              <w:t>≤资本净额10%</w:t>
            </w:r>
          </w:p>
        </w:tc>
        <w:tc>
          <w:tcPr>
            <w:tcW w:w="102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i w:val="0"/>
                <w:color w:val="000000"/>
                <w:sz w:val="24"/>
                <w:szCs w:val="24"/>
                <w:highlight w:val="none"/>
                <w:u w:val="none"/>
                <w:lang w:val="en-US" w:eastAsia="zh-CN"/>
              </w:rPr>
              <w:t>303</w:t>
            </w:r>
            <w:r>
              <w:rPr>
                <w:rFonts w:hint="eastAsia" w:asciiTheme="minorEastAsia" w:hAnsiTheme="minorEastAsia" w:eastAsiaTheme="minorEastAsia" w:cstheme="minorEastAsia"/>
                <w:b w:val="0"/>
                <w:bCs/>
                <w:i w:val="0"/>
                <w:color w:val="000000"/>
                <w:sz w:val="24"/>
                <w:szCs w:val="24"/>
                <w:highlight w:val="none"/>
                <w:u w:val="none"/>
              </w:rPr>
              <w:t>,</w:t>
            </w:r>
            <w:r>
              <w:rPr>
                <w:rFonts w:hint="eastAsia" w:asciiTheme="minorEastAsia" w:hAnsiTheme="minorEastAsia" w:eastAsiaTheme="minorEastAsia" w:cstheme="minorEastAsia"/>
                <w:b w:val="0"/>
                <w:bCs/>
                <w:i w:val="0"/>
                <w:color w:val="000000"/>
                <w:sz w:val="24"/>
                <w:szCs w:val="24"/>
                <w:highlight w:val="none"/>
                <w:u w:val="none"/>
                <w:lang w:val="en-US" w:eastAsia="zh-CN"/>
              </w:rPr>
              <w:t>300</w:t>
            </w:r>
            <w:r>
              <w:rPr>
                <w:rFonts w:hint="eastAsia" w:asciiTheme="minorEastAsia" w:hAnsiTheme="minorEastAsia" w:eastAsiaTheme="minorEastAsia" w:cstheme="minorEastAsia"/>
                <w:b w:val="0"/>
                <w:bCs/>
                <w:i w:val="0"/>
                <w:color w:val="000000"/>
                <w:sz w:val="24"/>
                <w:szCs w:val="24"/>
                <w:highlight w:val="none"/>
                <w:u w:val="none"/>
              </w:rPr>
              <w:t>.</w:t>
            </w:r>
            <w:r>
              <w:rPr>
                <w:rFonts w:hint="eastAsia" w:asciiTheme="minorEastAsia" w:hAnsiTheme="minorEastAsia" w:eastAsiaTheme="minorEastAsia" w:cstheme="minorEastAsia"/>
                <w:b w:val="0"/>
                <w:bCs/>
                <w:i w:val="0"/>
                <w:color w:val="000000"/>
                <w:sz w:val="24"/>
                <w:szCs w:val="24"/>
                <w:highlight w:val="none"/>
                <w:u w:val="none"/>
                <w:lang w:val="en-US" w:eastAsia="zh-CN"/>
              </w:rPr>
              <w:t>00</w:t>
            </w:r>
            <w:r>
              <w:rPr>
                <w:rFonts w:hint="eastAsia" w:asciiTheme="minorEastAsia" w:hAnsiTheme="minorEastAsia" w:eastAsiaTheme="minorEastAsia" w:cstheme="minorEastAsia"/>
                <w:i w:val="0"/>
                <w:color w:val="000000"/>
                <w:kern w:val="0"/>
                <w:sz w:val="24"/>
                <w:szCs w:val="24"/>
                <w:highlight w:val="none"/>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trPr>
        <w:tc>
          <w:tcPr>
            <w:tcW w:w="151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Fonts w:hint="eastAsia" w:asciiTheme="minorEastAsia" w:hAnsiTheme="minorEastAsia" w:eastAsiaTheme="minorEastAsia" w:cstheme="minorEastAsia"/>
                <w:b w:val="0"/>
                <w:bCs/>
                <w:i w:val="0"/>
                <w:color w:val="000000"/>
                <w:kern w:val="0"/>
                <w:sz w:val="24"/>
                <w:szCs w:val="24"/>
                <w:highlight w:val="none"/>
                <w:u w:val="none"/>
                <w:lang w:val="en-US" w:eastAsia="zh-CN" w:bidi="ar"/>
              </w:rPr>
              <w:t>关联方所在集团</w:t>
            </w:r>
          </w:p>
        </w:tc>
        <w:tc>
          <w:tcPr>
            <w:tcW w:w="83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Style w:val="28"/>
                <w:rFonts w:hint="eastAsia" w:asciiTheme="minorEastAsia" w:hAnsiTheme="minorEastAsia" w:eastAsiaTheme="minorEastAsia" w:cstheme="minorEastAsia"/>
                <w:b w:val="0"/>
                <w:bCs/>
                <w:sz w:val="24"/>
                <w:szCs w:val="24"/>
                <w:highlight w:val="none"/>
                <w:lang w:val="en-US" w:eastAsia="zh-CN" w:bidi="ar"/>
              </w:rPr>
              <w:t>授信</w:t>
            </w:r>
            <w:r>
              <w:rPr>
                <w:rStyle w:val="29"/>
                <w:rFonts w:hint="eastAsia" w:asciiTheme="minorEastAsia" w:hAnsiTheme="minorEastAsia" w:eastAsiaTheme="minorEastAsia" w:cstheme="minorEastAsia"/>
                <w:b w:val="0"/>
                <w:bCs/>
                <w:sz w:val="24"/>
                <w:szCs w:val="24"/>
                <w:highlight w:val="none"/>
                <w:lang w:val="en-US" w:eastAsia="zh-CN" w:bidi="ar"/>
              </w:rPr>
              <w:t>余额敞口</w:t>
            </w:r>
          </w:p>
        </w:tc>
        <w:tc>
          <w:tcPr>
            <w:tcW w:w="1624" w:type="pct"/>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Fonts w:hint="eastAsia" w:asciiTheme="minorEastAsia" w:hAnsiTheme="minorEastAsia" w:eastAsiaTheme="minorEastAsia" w:cstheme="minorEastAsia"/>
                <w:b w:val="0"/>
                <w:bCs/>
                <w:i w:val="0"/>
                <w:color w:val="000000"/>
                <w:kern w:val="0"/>
                <w:sz w:val="24"/>
                <w:szCs w:val="24"/>
                <w:highlight w:val="none"/>
                <w:u w:val="none"/>
                <w:lang w:val="en-US" w:eastAsia="zh-CN" w:bidi="ar"/>
              </w:rPr>
              <w:t>≤资本净额15%</w:t>
            </w:r>
          </w:p>
        </w:tc>
        <w:tc>
          <w:tcPr>
            <w:tcW w:w="102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highlight w:val="none"/>
                <w:u w:val="none"/>
                <w:lang w:val="en-US" w:eastAsia="zh-CN" w:bidi="ar"/>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 xml:space="preserve">455,000.00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151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Fonts w:hint="eastAsia" w:asciiTheme="minorEastAsia" w:hAnsiTheme="minorEastAsia" w:eastAsiaTheme="minorEastAsia" w:cstheme="minorEastAsia"/>
                <w:b w:val="0"/>
                <w:bCs/>
                <w:i w:val="0"/>
                <w:color w:val="000000"/>
                <w:kern w:val="0"/>
                <w:sz w:val="24"/>
                <w:szCs w:val="24"/>
                <w:highlight w:val="none"/>
                <w:u w:val="none"/>
                <w:lang w:val="en-US" w:eastAsia="zh-CN" w:bidi="ar"/>
              </w:rPr>
              <w:t>全部关联方</w:t>
            </w:r>
          </w:p>
        </w:tc>
        <w:tc>
          <w:tcPr>
            <w:tcW w:w="83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Style w:val="28"/>
                <w:rFonts w:hint="eastAsia" w:asciiTheme="minorEastAsia" w:hAnsiTheme="minorEastAsia" w:eastAsiaTheme="minorEastAsia" w:cstheme="minorEastAsia"/>
                <w:b w:val="0"/>
                <w:bCs/>
                <w:sz w:val="24"/>
                <w:szCs w:val="24"/>
                <w:highlight w:val="none"/>
                <w:lang w:val="en-US" w:eastAsia="zh-CN" w:bidi="ar"/>
              </w:rPr>
              <w:t>授信</w:t>
            </w:r>
            <w:r>
              <w:rPr>
                <w:rStyle w:val="29"/>
                <w:rFonts w:hint="eastAsia" w:asciiTheme="minorEastAsia" w:hAnsiTheme="minorEastAsia" w:eastAsiaTheme="minorEastAsia" w:cstheme="minorEastAsia"/>
                <w:b w:val="0"/>
                <w:bCs/>
                <w:sz w:val="24"/>
                <w:szCs w:val="24"/>
                <w:highlight w:val="none"/>
                <w:lang w:val="en-US" w:eastAsia="zh-CN" w:bidi="ar"/>
              </w:rPr>
              <w:t>余额敞口</w:t>
            </w:r>
          </w:p>
        </w:tc>
        <w:tc>
          <w:tcPr>
            <w:tcW w:w="1624" w:type="pct"/>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i w:val="0"/>
                <w:color w:val="000000"/>
                <w:sz w:val="24"/>
                <w:szCs w:val="24"/>
                <w:highlight w:val="none"/>
                <w:u w:val="none"/>
              </w:rPr>
            </w:pPr>
            <w:r>
              <w:rPr>
                <w:rFonts w:hint="eastAsia" w:asciiTheme="minorEastAsia" w:hAnsiTheme="minorEastAsia" w:eastAsiaTheme="minorEastAsia" w:cstheme="minorEastAsia"/>
                <w:b w:val="0"/>
                <w:bCs/>
                <w:i w:val="0"/>
                <w:color w:val="000000"/>
                <w:kern w:val="0"/>
                <w:sz w:val="24"/>
                <w:szCs w:val="24"/>
                <w:highlight w:val="none"/>
                <w:u w:val="none"/>
                <w:lang w:val="en-US" w:eastAsia="zh-CN" w:bidi="ar"/>
              </w:rPr>
              <w:t>≤资本净额50%</w:t>
            </w:r>
          </w:p>
        </w:tc>
        <w:tc>
          <w:tcPr>
            <w:tcW w:w="102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highlight w:val="none"/>
                <w:u w:val="none"/>
                <w:lang w:val="en-US" w:eastAsia="zh-CN" w:bidi="ar"/>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 xml:space="preserve">1,516,700.00 </w:t>
            </w:r>
          </w:p>
        </w:tc>
      </w:tr>
    </w:tbl>
    <w:p>
      <w:pPr>
        <w:pStyle w:val="11"/>
        <w:snapToGrid w:val="0"/>
        <w:rPr>
          <w:rFonts w:hint="eastAsia" w:ascii="宋体" w:hAnsi="宋体" w:eastAsia="宋体" w:cs="宋体"/>
          <w:b w:val="0"/>
          <w:bCs w:val="0"/>
          <w:sz w:val="18"/>
          <w:szCs w:val="18"/>
          <w:highlight w:val="none"/>
          <w:lang w:val="en-US" w:eastAsia="zh-CN"/>
        </w:rPr>
      </w:pPr>
      <w:r>
        <w:rPr>
          <w:rFonts w:hint="eastAsia" w:ascii="宋体" w:hAnsi="宋体" w:eastAsia="宋体" w:cs="宋体"/>
          <w:b w:val="0"/>
          <w:bCs w:val="0"/>
          <w:sz w:val="18"/>
          <w:szCs w:val="18"/>
          <w:highlight w:val="none"/>
          <w:lang w:val="en-US" w:eastAsia="zh-CN"/>
        </w:rPr>
        <w:t xml:space="preserve">注：1. </w:t>
      </w:r>
      <w:r>
        <w:rPr>
          <w:rFonts w:hint="eastAsia" w:ascii="宋体" w:hAnsi="宋体" w:eastAsia="宋体" w:cs="宋体"/>
          <w:szCs w:val="18"/>
          <w:highlight w:val="none"/>
        </w:rPr>
        <w:t>截止2021年末，本行银行本部资本净额3,033,421.02万元、一级资本净额2,149,316.58万元。以此为依据计算</w:t>
      </w:r>
      <w:r>
        <w:rPr>
          <w:rFonts w:hint="eastAsia" w:ascii="宋体" w:hAnsi="宋体" w:eastAsia="宋体" w:cs="宋体"/>
          <w:szCs w:val="18"/>
          <w:highlight w:val="none"/>
          <w:lang w:val="en-US" w:eastAsia="zh-CN"/>
        </w:rPr>
        <w:t>上限指标。</w:t>
      </w:r>
    </w:p>
    <w:p>
      <w:pPr>
        <w:pStyle w:val="11"/>
        <w:numPr>
          <w:ilvl w:val="0"/>
          <w:numId w:val="11"/>
        </w:numPr>
        <w:snapToGrid w:val="0"/>
        <w:rPr>
          <w:rFonts w:hint="eastAsia" w:ascii="宋体" w:hAnsi="宋体" w:eastAsia="宋体" w:cs="宋体"/>
          <w:szCs w:val="18"/>
          <w:highlight w:val="none"/>
          <w:lang w:val="en-US" w:eastAsia="zh-CN"/>
        </w:rPr>
      </w:pPr>
      <w:r>
        <w:rPr>
          <w:rFonts w:hint="eastAsia" w:ascii="宋体" w:hAnsi="宋体" w:eastAsia="宋体" w:cs="宋体"/>
          <w:szCs w:val="18"/>
          <w:highlight w:val="none"/>
          <w:lang w:val="en-US" w:eastAsia="zh-CN"/>
        </w:rPr>
        <w:t>根据《银行保险机构关联交易管理办法》（中国银行保险监督管理委员会令〔2022〕1号），银行机构与境内外关联方银行之间开展的同业业务、外资银行与母行集团内银行之间开展的业务不适用以下限额。</w:t>
      </w:r>
    </w:p>
    <w:p>
      <w:pPr>
        <w:keepNext w:val="0"/>
        <w:keepLines w:val="0"/>
        <w:pageBreakBefore w:val="0"/>
        <w:widowControl/>
        <w:kinsoku/>
        <w:wordWrap/>
        <w:overflowPunct/>
        <w:topLinePunct w:val="0"/>
        <w:autoSpaceDE/>
        <w:autoSpaceDN/>
        <w:bidi w:val="0"/>
        <w:adjustRightInd/>
        <w:snapToGrid/>
        <w:spacing w:line="360" w:lineRule="auto"/>
        <w:ind w:firstLine="480" w:firstLineChars="200"/>
        <w:outlineLvl w:val="1"/>
        <w:rPr>
          <w:rFonts w:hint="eastAsia" w:ascii="宋体" w:hAnsi="宋体" w:eastAsia="宋体" w:cs="宋体"/>
          <w:b w:val="0"/>
          <w:bCs w:val="0"/>
          <w:sz w:val="24"/>
          <w:szCs w:val="24"/>
          <w:highlight w:val="none"/>
          <w:lang w:val="en-US" w:eastAsia="zh-CN"/>
        </w:rPr>
      </w:pPr>
    </w:p>
    <w:p>
      <w:pPr>
        <w:adjustRightInd w:val="0"/>
        <w:snapToGrid w:val="0"/>
        <w:spacing w:line="360" w:lineRule="auto"/>
        <w:ind w:firstLine="482" w:firstLineChars="200"/>
        <w:rPr>
          <w:rFonts w:hint="eastAsia" w:ascii="宋体" w:hAnsi="宋体" w:eastAsia="宋体" w:cs="宋体"/>
          <w:b/>
          <w:bCs/>
          <w:sz w:val="24"/>
          <w:highlight w:val="none"/>
        </w:rPr>
      </w:pPr>
      <w:r>
        <w:rPr>
          <w:rFonts w:hint="eastAsia" w:ascii="宋体" w:hAnsi="宋体" w:eastAsia="宋体" w:cs="宋体"/>
          <w:b/>
          <w:bCs/>
          <w:sz w:val="24"/>
          <w:highlight w:val="none"/>
        </w:rPr>
        <w:t>（二）前次日常关联交易的预计和执行情况</w:t>
      </w:r>
    </w:p>
    <w:p>
      <w:pPr>
        <w:adjustRightInd w:val="0"/>
        <w:snapToGrid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2021年1月7日，本行2021年第一次临时股东大会审议通过《厦门银行股份有限公司关于2021年度日常关联交易预计额度的议案》，批准2021年度预计日常关联交易额度。截至2021年12月31日，前次预计日常关联交易执行情况见下表。</w:t>
      </w:r>
    </w:p>
    <w:p>
      <w:pPr>
        <w:adjustRightInd w:val="0"/>
        <w:snapToGrid w:val="0"/>
        <w:spacing w:line="360" w:lineRule="auto"/>
        <w:ind w:firstLine="480" w:firstLineChars="200"/>
        <w:jc w:val="right"/>
        <w:rPr>
          <w:rFonts w:hint="eastAsia" w:ascii="宋体" w:hAnsi="宋体" w:cs="宋体"/>
          <w:sz w:val="24"/>
          <w:highlight w:val="none"/>
        </w:rPr>
      </w:pPr>
      <w:r>
        <w:rPr>
          <w:rFonts w:hint="eastAsia" w:ascii="宋体" w:hAnsi="宋体" w:eastAsia="宋体" w:cs="宋体"/>
          <w:sz w:val="24"/>
          <w:highlight w:val="none"/>
        </w:rPr>
        <w:t>币种：人民币</w:t>
      </w:r>
    </w:p>
    <w:tbl>
      <w:tblPr>
        <w:tblStyle w:val="13"/>
        <w:tblW w:w="0" w:type="auto"/>
        <w:tblInd w:w="0" w:type="dxa"/>
        <w:tblLayout w:type="fixed"/>
        <w:tblCellMar>
          <w:top w:w="0" w:type="dxa"/>
          <w:left w:w="0" w:type="dxa"/>
          <w:bottom w:w="0" w:type="dxa"/>
          <w:right w:w="0" w:type="dxa"/>
        </w:tblCellMar>
      </w:tblPr>
      <w:tblGrid>
        <w:gridCol w:w="298"/>
        <w:gridCol w:w="2218"/>
        <w:gridCol w:w="1894"/>
        <w:gridCol w:w="1843"/>
        <w:gridCol w:w="2083"/>
      </w:tblGrid>
      <w:tr>
        <w:tblPrEx>
          <w:tblCellMar>
            <w:top w:w="0" w:type="dxa"/>
            <w:left w:w="0" w:type="dxa"/>
            <w:bottom w:w="0" w:type="dxa"/>
            <w:right w:w="0" w:type="dxa"/>
          </w:tblCellMar>
        </w:tblPrEx>
        <w:trPr>
          <w:trHeight w:val="285" w:hRule="atLeast"/>
        </w:trPr>
        <w:tc>
          <w:tcPr>
            <w:tcW w:w="2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000000"/>
                <w:sz w:val="24"/>
                <w:highlight w:val="none"/>
              </w:rPr>
            </w:pPr>
            <w:r>
              <w:rPr>
                <w:rFonts w:hint="eastAsia" w:ascii="宋体" w:hAnsi="宋体" w:cs="宋体"/>
                <w:b/>
                <w:color w:val="000000"/>
                <w:kern w:val="0"/>
                <w:sz w:val="24"/>
                <w:highlight w:val="none"/>
                <w:lang w:bidi="ar"/>
              </w:rPr>
              <w:t>序号</w:t>
            </w:r>
          </w:p>
        </w:tc>
        <w:tc>
          <w:tcPr>
            <w:tcW w:w="22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000000"/>
                <w:sz w:val="24"/>
                <w:highlight w:val="none"/>
              </w:rPr>
            </w:pPr>
            <w:r>
              <w:rPr>
                <w:rFonts w:hint="eastAsia" w:ascii="宋体" w:hAnsi="宋体" w:cs="宋体"/>
                <w:b/>
                <w:color w:val="000000"/>
                <w:kern w:val="0"/>
                <w:sz w:val="24"/>
                <w:highlight w:val="none"/>
                <w:lang w:bidi="ar"/>
              </w:rPr>
              <w:t>关联方</w:t>
            </w:r>
          </w:p>
        </w:tc>
        <w:tc>
          <w:tcPr>
            <w:tcW w:w="1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000000"/>
                <w:sz w:val="24"/>
                <w:highlight w:val="none"/>
              </w:rPr>
            </w:pPr>
            <w:r>
              <w:rPr>
                <w:rFonts w:hint="eastAsia" w:ascii="宋体" w:hAnsi="宋体" w:cs="宋体"/>
                <w:b/>
                <w:color w:val="000000"/>
                <w:kern w:val="0"/>
                <w:sz w:val="24"/>
                <w:highlight w:val="none"/>
                <w:lang w:bidi="ar"/>
              </w:rPr>
              <w:t>2021年度预计额度</w:t>
            </w:r>
          </w:p>
        </w:tc>
        <w:tc>
          <w:tcPr>
            <w:tcW w:w="18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000000"/>
                <w:sz w:val="24"/>
                <w:highlight w:val="none"/>
              </w:rPr>
            </w:pPr>
            <w:r>
              <w:rPr>
                <w:rFonts w:hint="eastAsia" w:ascii="宋体" w:hAnsi="宋体" w:cs="宋体"/>
                <w:b/>
                <w:color w:val="000000"/>
                <w:kern w:val="0"/>
                <w:sz w:val="24"/>
                <w:highlight w:val="none"/>
                <w:lang w:bidi="ar"/>
              </w:rPr>
              <w:t>预计额度的业务品种</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000000"/>
                <w:sz w:val="24"/>
                <w:highlight w:val="none"/>
              </w:rPr>
            </w:pPr>
            <w:r>
              <w:rPr>
                <w:rFonts w:hint="eastAsia" w:ascii="宋体" w:hAnsi="宋体" w:cs="宋体"/>
                <w:b/>
                <w:color w:val="000000"/>
                <w:kern w:val="0"/>
                <w:sz w:val="24"/>
                <w:highlight w:val="none"/>
                <w:lang w:bidi="ar"/>
              </w:rPr>
              <w:t>截止</w:t>
            </w:r>
            <w:r>
              <w:rPr>
                <w:rStyle w:val="31"/>
                <w:rFonts w:hint="eastAsia" w:ascii="宋体" w:hAnsi="宋体" w:cs="宋体"/>
                <w:sz w:val="24"/>
                <w:szCs w:val="24"/>
                <w:highlight w:val="none"/>
                <w:lang w:bidi="ar"/>
              </w:rPr>
              <w:t>2021</w:t>
            </w:r>
            <w:r>
              <w:rPr>
                <w:rFonts w:hint="eastAsia" w:ascii="宋体" w:hAnsi="宋体" w:cs="宋体"/>
                <w:b/>
                <w:color w:val="000000"/>
                <w:kern w:val="0"/>
                <w:sz w:val="24"/>
                <w:highlight w:val="none"/>
                <w:lang w:bidi="ar"/>
              </w:rPr>
              <w:t>年12月末关联交易情况</w:t>
            </w:r>
          </w:p>
        </w:tc>
      </w:tr>
      <w:tr>
        <w:tblPrEx>
          <w:tblCellMar>
            <w:top w:w="0" w:type="dxa"/>
            <w:left w:w="0" w:type="dxa"/>
            <w:bottom w:w="0" w:type="dxa"/>
            <w:right w:w="0" w:type="dxa"/>
          </w:tblCellMar>
        </w:tblPrEx>
        <w:trPr>
          <w:trHeight w:val="540" w:hRule="atLeast"/>
        </w:trPr>
        <w:tc>
          <w:tcPr>
            <w:tcW w:w="2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1</w:t>
            </w:r>
          </w:p>
        </w:tc>
        <w:tc>
          <w:tcPr>
            <w:tcW w:w="22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富邦华一银行有限公司</w:t>
            </w:r>
          </w:p>
        </w:tc>
        <w:tc>
          <w:tcPr>
            <w:tcW w:w="1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同业授信额度20亿元（敞口10亿元）</w:t>
            </w:r>
          </w:p>
        </w:tc>
        <w:tc>
          <w:tcPr>
            <w:tcW w:w="18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主要用于同业授信、同业交易等业务</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both"/>
              <w:textAlignment w:val="center"/>
              <w:rPr>
                <w:rFonts w:hint="eastAsia" w:ascii="宋体" w:hAnsi="宋体" w:cs="宋体"/>
                <w:color w:val="000000"/>
                <w:kern w:val="0"/>
                <w:sz w:val="24"/>
                <w:highlight w:val="none"/>
                <w:lang w:eastAsia="zh-CN" w:bidi="ar"/>
              </w:rPr>
            </w:pPr>
            <w:r>
              <w:rPr>
                <w:rFonts w:hint="eastAsia" w:ascii="宋体" w:hAnsi="宋体" w:cs="宋体"/>
                <w:color w:val="000000"/>
                <w:kern w:val="0"/>
                <w:sz w:val="24"/>
                <w:highlight w:val="none"/>
                <w:lang w:bidi="ar"/>
              </w:rPr>
              <w:t>富邦华一银行有限公司同业授信额度敞口9亿元</w:t>
            </w:r>
            <w:r>
              <w:rPr>
                <w:rFonts w:hint="eastAsia" w:ascii="宋体" w:hAnsi="宋体" w:cs="宋体"/>
                <w:color w:val="000000"/>
                <w:kern w:val="0"/>
                <w:sz w:val="24"/>
                <w:highlight w:val="none"/>
                <w:lang w:eastAsia="zh-CN" w:bidi="ar"/>
              </w:rPr>
              <w:t>。</w:t>
            </w:r>
          </w:p>
          <w:p>
            <w:pPr>
              <w:widowControl/>
              <w:jc w:val="both"/>
              <w:textAlignment w:val="center"/>
              <w:rPr>
                <w:rFonts w:hint="eastAsia" w:ascii="宋体" w:hAnsi="宋体" w:cs="宋体" w:eastAsiaTheme="minorEastAsia"/>
                <w:color w:val="000000"/>
                <w:sz w:val="24"/>
                <w:highlight w:val="none"/>
                <w:lang w:eastAsia="zh-CN"/>
              </w:rPr>
            </w:pPr>
            <w:r>
              <w:rPr>
                <w:rFonts w:hint="eastAsia" w:ascii="宋体" w:hAnsi="宋体" w:cs="宋体"/>
                <w:color w:val="000000"/>
                <w:kern w:val="0"/>
                <w:sz w:val="24"/>
                <w:highlight w:val="none"/>
                <w:lang w:bidi="ar"/>
              </w:rPr>
              <w:t>其中授信余额为0.17亿元</w:t>
            </w:r>
            <w:r>
              <w:rPr>
                <w:rFonts w:hint="eastAsia" w:ascii="宋体" w:hAnsi="宋体" w:cs="宋体"/>
                <w:color w:val="000000"/>
                <w:kern w:val="0"/>
                <w:sz w:val="24"/>
                <w:highlight w:val="none"/>
                <w:lang w:eastAsia="zh-CN" w:bidi="ar"/>
              </w:rPr>
              <w:t>。</w:t>
            </w:r>
          </w:p>
        </w:tc>
      </w:tr>
      <w:tr>
        <w:tblPrEx>
          <w:tblCellMar>
            <w:top w:w="0" w:type="dxa"/>
            <w:left w:w="0" w:type="dxa"/>
            <w:bottom w:w="0" w:type="dxa"/>
            <w:right w:w="0" w:type="dxa"/>
          </w:tblCellMar>
        </w:tblPrEx>
        <w:trPr>
          <w:trHeight w:val="540" w:hRule="atLeast"/>
        </w:trPr>
        <w:tc>
          <w:tcPr>
            <w:tcW w:w="2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2</w:t>
            </w:r>
          </w:p>
        </w:tc>
        <w:tc>
          <w:tcPr>
            <w:tcW w:w="22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台北富邦商业银行股份有限公司</w:t>
            </w:r>
          </w:p>
        </w:tc>
        <w:tc>
          <w:tcPr>
            <w:tcW w:w="1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同业授信额度20亿元（敞口10亿元）</w:t>
            </w:r>
          </w:p>
        </w:tc>
        <w:tc>
          <w:tcPr>
            <w:tcW w:w="18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主要用于同业授信、同业交易等业务</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both"/>
              <w:textAlignment w:val="center"/>
              <w:rPr>
                <w:rFonts w:hint="eastAsia" w:ascii="宋体" w:hAnsi="宋体" w:cs="宋体"/>
                <w:color w:val="000000"/>
                <w:kern w:val="0"/>
                <w:sz w:val="24"/>
                <w:highlight w:val="none"/>
                <w:lang w:eastAsia="zh-CN" w:bidi="ar"/>
              </w:rPr>
            </w:pPr>
            <w:r>
              <w:rPr>
                <w:rFonts w:hint="eastAsia" w:ascii="宋体" w:hAnsi="宋体" w:cs="宋体"/>
                <w:color w:val="000000"/>
                <w:kern w:val="0"/>
                <w:sz w:val="24"/>
                <w:highlight w:val="none"/>
                <w:lang w:bidi="ar"/>
              </w:rPr>
              <w:t>台北富邦商业银行股份有限公司同业授信额度敞口10亿元</w:t>
            </w:r>
            <w:r>
              <w:rPr>
                <w:rFonts w:hint="eastAsia" w:ascii="宋体" w:hAnsi="宋体" w:cs="宋体"/>
                <w:color w:val="000000"/>
                <w:kern w:val="0"/>
                <w:sz w:val="24"/>
                <w:highlight w:val="none"/>
                <w:lang w:eastAsia="zh-CN" w:bidi="ar"/>
              </w:rPr>
              <w:t>。</w:t>
            </w:r>
          </w:p>
          <w:p>
            <w:pPr>
              <w:widowControl/>
              <w:jc w:val="both"/>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其中授信余额为0。</w:t>
            </w:r>
          </w:p>
        </w:tc>
      </w:tr>
      <w:tr>
        <w:tblPrEx>
          <w:tblCellMar>
            <w:top w:w="0" w:type="dxa"/>
            <w:left w:w="0" w:type="dxa"/>
            <w:bottom w:w="0" w:type="dxa"/>
            <w:right w:w="0" w:type="dxa"/>
          </w:tblCellMar>
        </w:tblPrEx>
        <w:trPr>
          <w:trHeight w:val="540" w:hRule="atLeast"/>
        </w:trPr>
        <w:tc>
          <w:tcPr>
            <w:tcW w:w="2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3</w:t>
            </w:r>
          </w:p>
        </w:tc>
        <w:tc>
          <w:tcPr>
            <w:tcW w:w="22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富邦银行（香港）有限公司</w:t>
            </w:r>
          </w:p>
        </w:tc>
        <w:tc>
          <w:tcPr>
            <w:tcW w:w="1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同业授信额度20亿元（敞口10亿元）</w:t>
            </w:r>
          </w:p>
        </w:tc>
        <w:tc>
          <w:tcPr>
            <w:tcW w:w="18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主要用于同业授信、同业交易等业务</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both"/>
              <w:textAlignment w:val="center"/>
              <w:rPr>
                <w:rFonts w:hint="eastAsia" w:ascii="宋体" w:hAnsi="宋体" w:cs="宋体"/>
                <w:color w:val="000000"/>
                <w:kern w:val="0"/>
                <w:sz w:val="24"/>
                <w:highlight w:val="none"/>
                <w:lang w:eastAsia="zh-CN" w:bidi="ar"/>
              </w:rPr>
            </w:pPr>
            <w:r>
              <w:rPr>
                <w:rFonts w:hint="eastAsia" w:ascii="宋体" w:hAnsi="宋体" w:cs="宋体"/>
                <w:color w:val="000000"/>
                <w:kern w:val="0"/>
                <w:sz w:val="24"/>
                <w:highlight w:val="none"/>
                <w:lang w:bidi="ar"/>
              </w:rPr>
              <w:t>富邦银行（香港）有限公司同业授信额度敞口10亿元</w:t>
            </w:r>
            <w:r>
              <w:rPr>
                <w:rFonts w:hint="eastAsia" w:ascii="宋体" w:hAnsi="宋体" w:cs="宋体"/>
                <w:color w:val="000000"/>
                <w:kern w:val="0"/>
                <w:sz w:val="24"/>
                <w:highlight w:val="none"/>
                <w:lang w:eastAsia="zh-CN" w:bidi="ar"/>
              </w:rPr>
              <w:t>。</w:t>
            </w:r>
          </w:p>
          <w:p>
            <w:pPr>
              <w:widowControl/>
              <w:jc w:val="both"/>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其中授信余额为0。</w:t>
            </w:r>
          </w:p>
        </w:tc>
      </w:tr>
      <w:tr>
        <w:tblPrEx>
          <w:tblCellMar>
            <w:top w:w="0" w:type="dxa"/>
            <w:left w:w="0" w:type="dxa"/>
            <w:bottom w:w="0" w:type="dxa"/>
            <w:right w:w="0" w:type="dxa"/>
          </w:tblCellMar>
        </w:tblPrEx>
        <w:trPr>
          <w:trHeight w:val="540" w:hRule="atLeast"/>
        </w:trPr>
        <w:tc>
          <w:tcPr>
            <w:tcW w:w="2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4</w:t>
            </w:r>
          </w:p>
        </w:tc>
        <w:tc>
          <w:tcPr>
            <w:tcW w:w="22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平顶山银行股份有限公司</w:t>
            </w:r>
          </w:p>
        </w:tc>
        <w:tc>
          <w:tcPr>
            <w:tcW w:w="1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同业授信额度13亿元（敞口3亿元）</w:t>
            </w:r>
          </w:p>
        </w:tc>
        <w:tc>
          <w:tcPr>
            <w:tcW w:w="18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主要用于同业授信、同业交易等业务</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both"/>
              <w:textAlignment w:val="center"/>
              <w:rPr>
                <w:rFonts w:hint="eastAsia" w:ascii="宋体" w:hAnsi="宋体" w:cs="宋体"/>
                <w:color w:val="000000"/>
                <w:kern w:val="0"/>
                <w:sz w:val="24"/>
                <w:highlight w:val="none"/>
                <w:lang w:eastAsia="zh-CN" w:bidi="ar"/>
              </w:rPr>
            </w:pPr>
            <w:r>
              <w:rPr>
                <w:rFonts w:hint="eastAsia" w:ascii="宋体" w:hAnsi="宋体" w:cs="宋体"/>
                <w:color w:val="000000"/>
                <w:kern w:val="0"/>
                <w:sz w:val="24"/>
                <w:highlight w:val="none"/>
                <w:lang w:bidi="ar"/>
              </w:rPr>
              <w:t>平顶山银行股份有限公司同业授信额度1亿元</w:t>
            </w:r>
            <w:r>
              <w:rPr>
                <w:rFonts w:hint="eastAsia" w:ascii="宋体" w:hAnsi="宋体" w:cs="宋体"/>
                <w:color w:val="000000"/>
                <w:kern w:val="0"/>
                <w:sz w:val="24"/>
                <w:highlight w:val="none"/>
                <w:lang w:eastAsia="zh-CN" w:bidi="ar"/>
              </w:rPr>
              <w:t>。</w:t>
            </w:r>
          </w:p>
          <w:p>
            <w:pPr>
              <w:widowControl/>
              <w:jc w:val="both"/>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其中授信余额为0。</w:t>
            </w:r>
          </w:p>
        </w:tc>
      </w:tr>
      <w:tr>
        <w:tblPrEx>
          <w:tblCellMar>
            <w:top w:w="0" w:type="dxa"/>
            <w:left w:w="0" w:type="dxa"/>
            <w:bottom w:w="0" w:type="dxa"/>
            <w:right w:w="0" w:type="dxa"/>
          </w:tblCellMar>
        </w:tblPrEx>
        <w:trPr>
          <w:trHeight w:val="540" w:hRule="atLeast"/>
        </w:trPr>
        <w:tc>
          <w:tcPr>
            <w:tcW w:w="2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5</w:t>
            </w:r>
          </w:p>
        </w:tc>
        <w:tc>
          <w:tcPr>
            <w:tcW w:w="22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大连万达商业管理集团股份有限公司</w:t>
            </w:r>
          </w:p>
        </w:tc>
        <w:tc>
          <w:tcPr>
            <w:tcW w:w="1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投资额度1亿元</w:t>
            </w:r>
          </w:p>
        </w:tc>
        <w:tc>
          <w:tcPr>
            <w:tcW w:w="18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主要用于债券投资业务</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both"/>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无</w:t>
            </w:r>
          </w:p>
        </w:tc>
      </w:tr>
      <w:tr>
        <w:tblPrEx>
          <w:tblCellMar>
            <w:top w:w="0" w:type="dxa"/>
            <w:left w:w="0" w:type="dxa"/>
            <w:bottom w:w="0" w:type="dxa"/>
            <w:right w:w="0" w:type="dxa"/>
          </w:tblCellMar>
        </w:tblPrEx>
        <w:trPr>
          <w:trHeight w:val="540" w:hRule="atLeast"/>
        </w:trPr>
        <w:tc>
          <w:tcPr>
            <w:tcW w:w="2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6</w:t>
            </w:r>
          </w:p>
        </w:tc>
        <w:tc>
          <w:tcPr>
            <w:tcW w:w="22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广晟有色金属股份有限公司</w:t>
            </w:r>
          </w:p>
        </w:tc>
        <w:tc>
          <w:tcPr>
            <w:tcW w:w="1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投资额度1亿元</w:t>
            </w:r>
          </w:p>
        </w:tc>
        <w:tc>
          <w:tcPr>
            <w:tcW w:w="18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主要用于债券投资业务</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both"/>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无</w:t>
            </w:r>
          </w:p>
        </w:tc>
      </w:tr>
      <w:tr>
        <w:tblPrEx>
          <w:tblCellMar>
            <w:top w:w="0" w:type="dxa"/>
            <w:left w:w="0" w:type="dxa"/>
            <w:bottom w:w="0" w:type="dxa"/>
            <w:right w:w="0" w:type="dxa"/>
          </w:tblCellMar>
        </w:tblPrEx>
        <w:trPr>
          <w:trHeight w:val="540" w:hRule="atLeast"/>
        </w:trPr>
        <w:tc>
          <w:tcPr>
            <w:tcW w:w="2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7</w:t>
            </w:r>
          </w:p>
        </w:tc>
        <w:tc>
          <w:tcPr>
            <w:tcW w:w="22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天马微电子股份有限公司</w:t>
            </w:r>
          </w:p>
        </w:tc>
        <w:tc>
          <w:tcPr>
            <w:tcW w:w="1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投资额度1亿元</w:t>
            </w:r>
          </w:p>
        </w:tc>
        <w:tc>
          <w:tcPr>
            <w:tcW w:w="18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主要用于债券投资业务</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both"/>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无</w:t>
            </w:r>
          </w:p>
        </w:tc>
      </w:tr>
      <w:tr>
        <w:tblPrEx>
          <w:tblCellMar>
            <w:top w:w="0" w:type="dxa"/>
            <w:left w:w="0" w:type="dxa"/>
            <w:bottom w:w="0" w:type="dxa"/>
            <w:right w:w="0" w:type="dxa"/>
          </w:tblCellMar>
        </w:tblPrEx>
        <w:trPr>
          <w:trHeight w:val="540" w:hRule="atLeast"/>
        </w:trPr>
        <w:tc>
          <w:tcPr>
            <w:tcW w:w="2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8</w:t>
            </w:r>
          </w:p>
        </w:tc>
        <w:tc>
          <w:tcPr>
            <w:tcW w:w="22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福建七匹狼集团有限公司及其关联方</w:t>
            </w:r>
          </w:p>
        </w:tc>
        <w:tc>
          <w:tcPr>
            <w:tcW w:w="1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授信额度12.4亿元（敞口8.5亿元）</w:t>
            </w:r>
          </w:p>
        </w:tc>
        <w:tc>
          <w:tcPr>
            <w:tcW w:w="18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主要用于同业授信、债券投资、传统授信业务</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both"/>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综合授信额度6.1亿元，其中债券投资额度5亿元、同业授信额度0.5亿元、传统授信敞口</w:t>
            </w:r>
            <w:r>
              <w:rPr>
                <w:rFonts w:hint="eastAsia" w:ascii="宋体" w:hAnsi="宋体" w:cs="宋体"/>
                <w:color w:val="000000"/>
                <w:kern w:val="0"/>
                <w:sz w:val="24"/>
                <w:highlight w:val="none"/>
                <w:lang w:val="en-US" w:eastAsia="zh-CN" w:bidi="ar"/>
              </w:rPr>
              <w:t>3.75</w:t>
            </w:r>
            <w:r>
              <w:rPr>
                <w:rFonts w:hint="eastAsia" w:ascii="宋体" w:hAnsi="宋体" w:cs="宋体"/>
                <w:color w:val="000000"/>
                <w:kern w:val="0"/>
                <w:sz w:val="24"/>
                <w:highlight w:val="none"/>
                <w:lang w:bidi="ar"/>
              </w:rPr>
              <w:t>亿元。</w:t>
            </w:r>
          </w:p>
          <w:p>
            <w:pPr>
              <w:widowControl/>
              <w:jc w:val="both"/>
              <w:textAlignment w:val="center"/>
              <w:rPr>
                <w:rFonts w:hint="eastAsia" w:ascii="宋体" w:hAnsi="宋体" w:cs="宋体" w:eastAsiaTheme="minorEastAsia"/>
                <w:color w:val="000000"/>
                <w:sz w:val="24"/>
                <w:highlight w:val="none"/>
                <w:lang w:eastAsia="zh-CN"/>
              </w:rPr>
            </w:pPr>
            <w:r>
              <w:rPr>
                <w:rFonts w:hint="eastAsia" w:ascii="宋体" w:hAnsi="宋体" w:cs="宋体"/>
                <w:color w:val="000000"/>
                <w:kern w:val="0"/>
                <w:sz w:val="24"/>
                <w:highlight w:val="none"/>
                <w:lang w:bidi="ar"/>
              </w:rPr>
              <w:t>其中，债券投资余额2.2亿元；一般授信余额3.</w:t>
            </w:r>
            <w:r>
              <w:rPr>
                <w:rFonts w:hint="eastAsia" w:ascii="宋体" w:hAnsi="宋体" w:cs="宋体"/>
                <w:color w:val="000000"/>
                <w:kern w:val="0"/>
                <w:sz w:val="24"/>
                <w:highlight w:val="none"/>
                <w:lang w:val="en-US" w:eastAsia="zh-CN" w:bidi="ar"/>
              </w:rPr>
              <w:t>68</w:t>
            </w:r>
            <w:r>
              <w:rPr>
                <w:rFonts w:hint="eastAsia" w:ascii="宋体" w:hAnsi="宋体" w:cs="宋体"/>
                <w:color w:val="000000"/>
                <w:kern w:val="0"/>
                <w:sz w:val="24"/>
                <w:highlight w:val="none"/>
                <w:lang w:bidi="ar"/>
              </w:rPr>
              <w:t>亿元</w:t>
            </w:r>
            <w:r>
              <w:rPr>
                <w:rFonts w:hint="eastAsia" w:ascii="宋体" w:hAnsi="宋体" w:cs="宋体"/>
                <w:color w:val="000000"/>
                <w:kern w:val="0"/>
                <w:sz w:val="24"/>
                <w:highlight w:val="none"/>
                <w:lang w:eastAsia="zh-CN" w:bidi="ar"/>
              </w:rPr>
              <w:t>。</w:t>
            </w:r>
          </w:p>
        </w:tc>
      </w:tr>
      <w:tr>
        <w:tblPrEx>
          <w:tblCellMar>
            <w:top w:w="0" w:type="dxa"/>
            <w:left w:w="0" w:type="dxa"/>
            <w:bottom w:w="0" w:type="dxa"/>
            <w:right w:w="0" w:type="dxa"/>
          </w:tblCellMar>
        </w:tblPrEx>
        <w:trPr>
          <w:trHeight w:val="540" w:hRule="atLeast"/>
        </w:trPr>
        <w:tc>
          <w:tcPr>
            <w:tcW w:w="2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9</w:t>
            </w:r>
          </w:p>
        </w:tc>
        <w:tc>
          <w:tcPr>
            <w:tcW w:w="22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大洲控股集团有限公司及其关联方</w:t>
            </w:r>
          </w:p>
        </w:tc>
        <w:tc>
          <w:tcPr>
            <w:tcW w:w="1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授信额度8亿元（敞口5亿元）</w:t>
            </w:r>
          </w:p>
        </w:tc>
        <w:tc>
          <w:tcPr>
            <w:tcW w:w="18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主要用于传统授信业务</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both"/>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综合授信额度8亿元。</w:t>
            </w:r>
          </w:p>
          <w:p>
            <w:pPr>
              <w:widowControl/>
              <w:jc w:val="both"/>
              <w:textAlignment w:val="center"/>
              <w:rPr>
                <w:rFonts w:hint="eastAsia" w:ascii="宋体" w:hAnsi="宋体" w:cs="宋体" w:eastAsiaTheme="minorEastAsia"/>
                <w:color w:val="000000"/>
                <w:sz w:val="24"/>
                <w:highlight w:val="none"/>
                <w:lang w:eastAsia="zh-CN"/>
              </w:rPr>
            </w:pPr>
            <w:r>
              <w:rPr>
                <w:rFonts w:hint="eastAsia" w:ascii="宋体" w:hAnsi="宋体" w:cs="宋体"/>
                <w:color w:val="000000"/>
                <w:kern w:val="0"/>
                <w:sz w:val="24"/>
                <w:highlight w:val="none"/>
                <w:lang w:bidi="ar"/>
              </w:rPr>
              <w:t>其中，授信余额2.95亿元（敞口余额2.95亿元）</w:t>
            </w:r>
            <w:r>
              <w:rPr>
                <w:rFonts w:hint="eastAsia" w:ascii="宋体" w:hAnsi="宋体" w:cs="宋体"/>
                <w:color w:val="000000"/>
                <w:kern w:val="0"/>
                <w:sz w:val="24"/>
                <w:highlight w:val="none"/>
                <w:lang w:eastAsia="zh-CN" w:bidi="ar"/>
              </w:rPr>
              <w:t>。</w:t>
            </w:r>
          </w:p>
        </w:tc>
      </w:tr>
      <w:tr>
        <w:tblPrEx>
          <w:tblCellMar>
            <w:top w:w="0" w:type="dxa"/>
            <w:left w:w="0" w:type="dxa"/>
            <w:bottom w:w="0" w:type="dxa"/>
            <w:right w:w="0" w:type="dxa"/>
          </w:tblCellMar>
        </w:tblPrEx>
        <w:trPr>
          <w:trHeight w:val="810" w:hRule="atLeast"/>
        </w:trPr>
        <w:tc>
          <w:tcPr>
            <w:tcW w:w="2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10</w:t>
            </w:r>
          </w:p>
        </w:tc>
        <w:tc>
          <w:tcPr>
            <w:tcW w:w="22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厦门金圆投资集团有限公司及其关联方</w:t>
            </w:r>
          </w:p>
        </w:tc>
        <w:tc>
          <w:tcPr>
            <w:tcW w:w="1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授信额度40亿元+他用担保额度20亿元（敞口30亿元）</w:t>
            </w:r>
          </w:p>
        </w:tc>
        <w:tc>
          <w:tcPr>
            <w:tcW w:w="18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主要用于传统授信、他用担保额度、同业授信、同业交易、债券投资等业务</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both"/>
              <w:textAlignment w:val="center"/>
              <w:rPr>
                <w:rFonts w:hint="eastAsia" w:ascii="宋体" w:hAnsi="宋体" w:cs="宋体"/>
                <w:color w:val="000000"/>
                <w:kern w:val="0"/>
                <w:sz w:val="24"/>
                <w:highlight w:val="none"/>
                <w:lang w:bidi="ar"/>
              </w:rPr>
            </w:pPr>
            <w:r>
              <w:rPr>
                <w:rFonts w:hint="eastAsia" w:ascii="宋体" w:hAnsi="宋体" w:cs="宋体"/>
                <w:kern w:val="0"/>
                <w:sz w:val="24"/>
                <w:highlight w:val="none"/>
                <w:lang w:bidi="ar"/>
              </w:rPr>
              <w:t>综合授信额度合计</w:t>
            </w:r>
            <w:r>
              <w:rPr>
                <w:rFonts w:hint="eastAsia" w:ascii="宋体" w:hAnsi="宋体" w:cs="宋体"/>
                <w:kern w:val="0"/>
                <w:sz w:val="24"/>
                <w:highlight w:val="none"/>
                <w:lang w:val="en-US" w:eastAsia="zh-CN" w:bidi="ar"/>
              </w:rPr>
              <w:t>37</w:t>
            </w:r>
            <w:r>
              <w:rPr>
                <w:rFonts w:hint="eastAsia" w:ascii="宋体" w:hAnsi="宋体" w:cs="宋体"/>
                <w:kern w:val="0"/>
                <w:sz w:val="24"/>
                <w:highlight w:val="none"/>
                <w:lang w:bidi="ar"/>
              </w:rPr>
              <w:t>亿元</w:t>
            </w:r>
            <w:r>
              <w:rPr>
                <w:rFonts w:hint="eastAsia" w:ascii="宋体" w:hAnsi="宋体" w:eastAsia="宋体" w:cs="宋体"/>
                <w:color w:val="auto"/>
                <w:kern w:val="0"/>
                <w:sz w:val="24"/>
                <w:szCs w:val="24"/>
                <w:highlight w:val="none"/>
                <w:u w:val="none"/>
                <w:lang w:val="en-US" w:eastAsia="zh-CN" w:bidi="ar"/>
              </w:rPr>
              <w:t>（敞口28亿元，</w:t>
            </w:r>
            <w:r>
              <w:rPr>
                <w:rFonts w:hint="eastAsia" w:ascii="宋体" w:hAnsi="宋体" w:cs="宋体"/>
                <w:kern w:val="0"/>
                <w:sz w:val="24"/>
                <w:highlight w:val="none"/>
                <w:lang w:bidi="ar"/>
              </w:rPr>
              <w:t>含同业额度及非融资性分离式保函额度）+他用担保额度人民币18亿元+同业交易额度15亿元（敞口为0）+相关服务费额度不超过0.15亿</w:t>
            </w:r>
            <w:r>
              <w:rPr>
                <w:rFonts w:hint="eastAsia" w:ascii="宋体" w:hAnsi="宋体" w:cs="宋体"/>
                <w:color w:val="000000"/>
                <w:kern w:val="0"/>
                <w:sz w:val="24"/>
                <w:highlight w:val="none"/>
                <w:lang w:bidi="ar"/>
              </w:rPr>
              <w:t>元/年。</w:t>
            </w:r>
          </w:p>
          <w:p>
            <w:pPr>
              <w:widowControl/>
              <w:jc w:val="both"/>
              <w:textAlignment w:val="center"/>
              <w:rPr>
                <w:rFonts w:hint="eastAsia" w:ascii="宋体" w:hAnsi="宋体" w:cs="宋体" w:eastAsiaTheme="minorEastAsia"/>
                <w:color w:val="000000"/>
                <w:kern w:val="0"/>
                <w:sz w:val="24"/>
                <w:highlight w:val="none"/>
                <w:lang w:val="en-US" w:eastAsia="zh-CN" w:bidi="ar"/>
              </w:rPr>
            </w:pPr>
            <w:r>
              <w:rPr>
                <w:rFonts w:hint="eastAsia" w:ascii="宋体" w:hAnsi="宋体" w:cs="宋体"/>
                <w:color w:val="000000"/>
                <w:kern w:val="0"/>
                <w:sz w:val="24"/>
                <w:highlight w:val="none"/>
                <w:lang w:val="en-US" w:eastAsia="zh-CN" w:bidi="ar"/>
              </w:rPr>
              <w:t>其中，</w:t>
            </w:r>
            <w:r>
              <w:rPr>
                <w:rFonts w:hint="eastAsia" w:ascii="宋体" w:hAnsi="宋体" w:cs="宋体"/>
                <w:color w:val="000000"/>
                <w:kern w:val="0"/>
                <w:sz w:val="24"/>
                <w:highlight w:val="none"/>
                <w:lang w:bidi="ar"/>
              </w:rPr>
              <w:t>债券投资余额</w:t>
            </w:r>
            <w:r>
              <w:rPr>
                <w:rStyle w:val="32"/>
                <w:rFonts w:hint="eastAsia" w:ascii="宋体" w:hAnsi="宋体" w:cs="宋体"/>
                <w:sz w:val="24"/>
                <w:szCs w:val="24"/>
                <w:highlight w:val="none"/>
                <w:lang w:bidi="ar"/>
              </w:rPr>
              <w:t>4.1</w:t>
            </w:r>
            <w:r>
              <w:rPr>
                <w:rFonts w:hint="eastAsia" w:ascii="宋体" w:hAnsi="宋体" w:cs="宋体"/>
                <w:color w:val="000000"/>
                <w:kern w:val="0"/>
                <w:sz w:val="24"/>
                <w:highlight w:val="none"/>
                <w:lang w:bidi="ar"/>
              </w:rPr>
              <w:t>亿元（敞口</w:t>
            </w:r>
            <w:r>
              <w:rPr>
                <w:rStyle w:val="32"/>
                <w:rFonts w:hint="eastAsia" w:ascii="宋体" w:hAnsi="宋体" w:cs="宋体"/>
                <w:sz w:val="24"/>
                <w:szCs w:val="24"/>
                <w:highlight w:val="none"/>
                <w:lang w:bidi="ar"/>
              </w:rPr>
              <w:t>4.1</w:t>
            </w:r>
            <w:r>
              <w:rPr>
                <w:rFonts w:hint="eastAsia" w:ascii="宋体" w:hAnsi="宋体" w:cs="宋体"/>
                <w:color w:val="000000"/>
                <w:kern w:val="0"/>
                <w:sz w:val="24"/>
                <w:highlight w:val="none"/>
                <w:lang w:bidi="ar"/>
              </w:rPr>
              <w:t>亿元）、分离式保函余额</w:t>
            </w:r>
            <w:r>
              <w:rPr>
                <w:rStyle w:val="32"/>
                <w:rFonts w:hint="eastAsia" w:ascii="宋体" w:hAnsi="宋体" w:cs="宋体"/>
                <w:sz w:val="24"/>
                <w:szCs w:val="24"/>
                <w:highlight w:val="none"/>
                <w:lang w:bidi="ar"/>
              </w:rPr>
              <w:t>1.70</w:t>
            </w:r>
            <w:r>
              <w:rPr>
                <w:rFonts w:hint="eastAsia" w:ascii="宋体" w:hAnsi="宋体" w:cs="宋体"/>
                <w:color w:val="000000"/>
                <w:kern w:val="0"/>
                <w:sz w:val="24"/>
                <w:highlight w:val="none"/>
                <w:lang w:bidi="ar"/>
              </w:rPr>
              <w:t>亿、他用担保敞口余额</w:t>
            </w:r>
            <w:r>
              <w:rPr>
                <w:rStyle w:val="32"/>
                <w:rFonts w:hint="eastAsia" w:ascii="宋体" w:hAnsi="宋体" w:cs="宋体"/>
                <w:sz w:val="24"/>
                <w:szCs w:val="24"/>
                <w:highlight w:val="none"/>
                <w:lang w:bidi="ar"/>
              </w:rPr>
              <w:t>1.42</w:t>
            </w:r>
            <w:r>
              <w:rPr>
                <w:rFonts w:hint="eastAsia" w:ascii="宋体" w:hAnsi="宋体" w:cs="宋体"/>
                <w:color w:val="000000"/>
                <w:kern w:val="0"/>
                <w:sz w:val="24"/>
                <w:highlight w:val="none"/>
                <w:lang w:bidi="ar"/>
              </w:rPr>
              <w:t>亿</w:t>
            </w:r>
            <w:r>
              <w:rPr>
                <w:rFonts w:hint="eastAsia" w:ascii="宋体" w:hAnsi="宋体" w:cs="宋体"/>
                <w:color w:val="000000"/>
                <w:kern w:val="0"/>
                <w:sz w:val="24"/>
                <w:highlight w:val="none"/>
                <w:lang w:val="en-US" w:eastAsia="zh-CN" w:bidi="ar"/>
              </w:rPr>
              <w:t>元。</w:t>
            </w:r>
          </w:p>
        </w:tc>
      </w:tr>
      <w:tr>
        <w:tblPrEx>
          <w:tblCellMar>
            <w:top w:w="0" w:type="dxa"/>
            <w:left w:w="0" w:type="dxa"/>
            <w:bottom w:w="0" w:type="dxa"/>
            <w:right w:w="0" w:type="dxa"/>
          </w:tblCellMar>
        </w:tblPrEx>
        <w:trPr>
          <w:trHeight w:val="900" w:hRule="atLeast"/>
        </w:trPr>
        <w:tc>
          <w:tcPr>
            <w:tcW w:w="2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11</w:t>
            </w:r>
          </w:p>
        </w:tc>
        <w:tc>
          <w:tcPr>
            <w:tcW w:w="22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泉舜集团有限公司及其关联方</w:t>
            </w:r>
          </w:p>
        </w:tc>
        <w:tc>
          <w:tcPr>
            <w:tcW w:w="1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授信额度15.23亿元（敞口8亿元）</w:t>
            </w:r>
          </w:p>
        </w:tc>
        <w:tc>
          <w:tcPr>
            <w:tcW w:w="18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主要用于传统授信业务</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both"/>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综合授信额度人民币8亿元（总敞口人民币8亿元）+2.6亿元低风险额度(敞口0)+3亿元他用按揭额度。</w:t>
            </w:r>
          </w:p>
          <w:p>
            <w:pPr>
              <w:widowControl/>
              <w:jc w:val="both"/>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其中，授信余额合计8.4</w:t>
            </w:r>
            <w:r>
              <w:rPr>
                <w:rFonts w:hint="eastAsia" w:ascii="宋体" w:hAnsi="宋体" w:cs="宋体"/>
                <w:color w:val="000000"/>
                <w:kern w:val="0"/>
                <w:sz w:val="24"/>
                <w:highlight w:val="none"/>
                <w:lang w:val="en-US" w:eastAsia="zh-CN" w:bidi="ar"/>
              </w:rPr>
              <w:t>7</w:t>
            </w:r>
            <w:r>
              <w:rPr>
                <w:rFonts w:hint="eastAsia" w:ascii="宋体" w:hAnsi="宋体" w:cs="宋体"/>
                <w:color w:val="000000"/>
                <w:kern w:val="0"/>
                <w:sz w:val="24"/>
                <w:highlight w:val="none"/>
                <w:lang w:bidi="ar"/>
              </w:rPr>
              <w:t>亿元（敞口余额6.4</w:t>
            </w:r>
            <w:r>
              <w:rPr>
                <w:rFonts w:hint="eastAsia" w:ascii="宋体" w:hAnsi="宋体" w:cs="宋体"/>
                <w:color w:val="000000"/>
                <w:kern w:val="0"/>
                <w:sz w:val="24"/>
                <w:highlight w:val="none"/>
                <w:lang w:val="en-US" w:eastAsia="zh-CN" w:bidi="ar"/>
              </w:rPr>
              <w:t>7</w:t>
            </w:r>
            <w:r>
              <w:rPr>
                <w:rFonts w:hint="eastAsia" w:ascii="宋体" w:hAnsi="宋体" w:cs="宋体"/>
                <w:color w:val="000000"/>
                <w:kern w:val="0"/>
                <w:sz w:val="24"/>
                <w:highlight w:val="none"/>
                <w:lang w:bidi="ar"/>
              </w:rPr>
              <w:t>亿元），包括一般授信余额6.4</w:t>
            </w:r>
            <w:r>
              <w:rPr>
                <w:rFonts w:hint="eastAsia" w:ascii="宋体" w:hAnsi="宋体" w:cs="宋体"/>
                <w:color w:val="000000"/>
                <w:kern w:val="0"/>
                <w:sz w:val="24"/>
                <w:highlight w:val="none"/>
                <w:lang w:eastAsia="zh-CN" w:bidi="ar"/>
              </w:rPr>
              <w:t>7</w:t>
            </w:r>
            <w:r>
              <w:rPr>
                <w:rFonts w:hint="eastAsia" w:ascii="宋体" w:hAnsi="宋体" w:cs="宋体"/>
                <w:color w:val="000000"/>
                <w:kern w:val="0"/>
                <w:sz w:val="24"/>
                <w:highlight w:val="none"/>
                <w:lang w:bidi="ar"/>
              </w:rPr>
              <w:t>亿元（敞口余额6.4</w:t>
            </w:r>
            <w:r>
              <w:rPr>
                <w:rFonts w:hint="eastAsia" w:ascii="宋体" w:hAnsi="宋体" w:cs="宋体"/>
                <w:color w:val="000000"/>
                <w:kern w:val="0"/>
                <w:sz w:val="24"/>
                <w:highlight w:val="none"/>
                <w:lang w:eastAsia="zh-CN" w:bidi="ar"/>
              </w:rPr>
              <w:t>7</w:t>
            </w:r>
            <w:r>
              <w:rPr>
                <w:rFonts w:hint="eastAsia" w:ascii="宋体" w:hAnsi="宋体" w:cs="宋体"/>
                <w:color w:val="000000"/>
                <w:kern w:val="0"/>
                <w:sz w:val="24"/>
                <w:highlight w:val="none"/>
                <w:lang w:bidi="ar"/>
              </w:rPr>
              <w:t>亿元），低风险授信余额2亿元（敞口0）。</w:t>
            </w:r>
          </w:p>
        </w:tc>
      </w:tr>
      <w:tr>
        <w:tblPrEx>
          <w:tblCellMar>
            <w:top w:w="0" w:type="dxa"/>
            <w:left w:w="0" w:type="dxa"/>
            <w:bottom w:w="0" w:type="dxa"/>
            <w:right w:w="0" w:type="dxa"/>
          </w:tblCellMar>
        </w:tblPrEx>
        <w:trPr>
          <w:trHeight w:val="540" w:hRule="atLeast"/>
        </w:trPr>
        <w:tc>
          <w:tcPr>
            <w:tcW w:w="2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12</w:t>
            </w:r>
          </w:p>
        </w:tc>
        <w:tc>
          <w:tcPr>
            <w:tcW w:w="22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东江环保股份有限公司</w:t>
            </w:r>
          </w:p>
        </w:tc>
        <w:tc>
          <w:tcPr>
            <w:tcW w:w="1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授信额度2亿元（敞口2亿元）</w:t>
            </w:r>
          </w:p>
        </w:tc>
        <w:tc>
          <w:tcPr>
            <w:tcW w:w="18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主要用于传统授信、债券投资业务</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both"/>
              <w:textAlignment w:val="center"/>
              <w:rPr>
                <w:rFonts w:hint="eastAsia" w:ascii="宋体" w:hAnsi="宋体" w:cs="宋体"/>
                <w:color w:val="000000"/>
                <w:kern w:val="0"/>
                <w:sz w:val="24"/>
                <w:highlight w:val="none"/>
                <w:lang w:eastAsia="zh-CN" w:bidi="ar"/>
              </w:rPr>
            </w:pPr>
            <w:r>
              <w:rPr>
                <w:rFonts w:hint="eastAsia" w:ascii="宋体" w:hAnsi="宋体" w:cs="宋体"/>
                <w:color w:val="000000"/>
                <w:kern w:val="0"/>
                <w:sz w:val="24"/>
                <w:highlight w:val="none"/>
                <w:lang w:bidi="ar"/>
              </w:rPr>
              <w:t>综合授信额度0.99亿元</w:t>
            </w:r>
            <w:r>
              <w:rPr>
                <w:rFonts w:hint="eastAsia" w:ascii="宋体" w:hAnsi="宋体" w:cs="宋体"/>
                <w:color w:val="000000"/>
                <w:kern w:val="0"/>
                <w:sz w:val="24"/>
                <w:highlight w:val="none"/>
                <w:lang w:eastAsia="zh-CN" w:bidi="ar"/>
              </w:rPr>
              <w:t>。</w:t>
            </w:r>
          </w:p>
          <w:p>
            <w:pPr>
              <w:widowControl/>
              <w:jc w:val="both"/>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其中授信余额0.99亿元</w:t>
            </w:r>
          </w:p>
        </w:tc>
      </w:tr>
      <w:tr>
        <w:tblPrEx>
          <w:tblCellMar>
            <w:top w:w="0" w:type="dxa"/>
            <w:left w:w="0" w:type="dxa"/>
            <w:bottom w:w="0" w:type="dxa"/>
            <w:right w:w="0" w:type="dxa"/>
          </w:tblCellMar>
        </w:tblPrEx>
        <w:trPr>
          <w:trHeight w:val="540" w:hRule="atLeast"/>
        </w:trPr>
        <w:tc>
          <w:tcPr>
            <w:tcW w:w="2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13</w:t>
            </w:r>
          </w:p>
        </w:tc>
        <w:tc>
          <w:tcPr>
            <w:tcW w:w="22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福建海西金融租赁有限责任公司</w:t>
            </w:r>
          </w:p>
        </w:tc>
        <w:tc>
          <w:tcPr>
            <w:tcW w:w="1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授信额度30亿元（敞口20亿元）</w:t>
            </w:r>
          </w:p>
        </w:tc>
        <w:tc>
          <w:tcPr>
            <w:tcW w:w="18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主要用于同业授信、同业交易、传统授信业务</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both"/>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综合授信</w:t>
            </w:r>
            <w:r>
              <w:rPr>
                <w:rFonts w:hint="eastAsia" w:ascii="宋体" w:hAnsi="宋体" w:cs="宋体"/>
                <w:color w:val="000000"/>
                <w:kern w:val="0"/>
                <w:sz w:val="24"/>
                <w:highlight w:val="none"/>
                <w:lang w:val="en-US" w:eastAsia="zh-CN" w:bidi="ar"/>
              </w:rPr>
              <w:t>额度20亿元（敞口20亿元），其中传统授信不超过</w:t>
            </w:r>
            <w:r>
              <w:rPr>
                <w:rFonts w:hint="eastAsia" w:ascii="宋体" w:hAnsi="宋体" w:cs="宋体"/>
                <w:color w:val="000000"/>
                <w:kern w:val="0"/>
                <w:sz w:val="24"/>
                <w:highlight w:val="none"/>
                <w:lang w:bidi="ar"/>
              </w:rPr>
              <w:t>3.5亿元</w:t>
            </w:r>
            <w:r>
              <w:rPr>
                <w:rFonts w:hint="eastAsia" w:ascii="宋体" w:hAnsi="宋体" w:cs="宋体"/>
                <w:color w:val="000000"/>
                <w:kern w:val="0"/>
                <w:sz w:val="24"/>
                <w:highlight w:val="none"/>
                <w:lang w:eastAsia="zh-CN" w:bidi="ar"/>
              </w:rPr>
              <w:t>、</w:t>
            </w:r>
            <w:r>
              <w:rPr>
                <w:rFonts w:hint="eastAsia" w:ascii="宋体" w:hAnsi="宋体" w:cs="宋体"/>
                <w:color w:val="000000"/>
                <w:kern w:val="0"/>
                <w:sz w:val="24"/>
                <w:highlight w:val="none"/>
                <w:lang w:bidi="ar"/>
              </w:rPr>
              <w:t>同业授信+同业</w:t>
            </w:r>
            <w:r>
              <w:rPr>
                <w:rFonts w:hint="eastAsia" w:ascii="宋体" w:hAnsi="宋体" w:cs="宋体"/>
                <w:color w:val="000000"/>
                <w:kern w:val="0"/>
                <w:sz w:val="24"/>
                <w:highlight w:val="none"/>
                <w:lang w:val="en-US" w:eastAsia="zh-CN" w:bidi="ar"/>
              </w:rPr>
              <w:t>交易</w:t>
            </w:r>
            <w:r>
              <w:rPr>
                <w:rFonts w:hint="eastAsia" w:ascii="宋体" w:hAnsi="宋体" w:cs="宋体"/>
                <w:color w:val="000000"/>
                <w:kern w:val="0"/>
                <w:sz w:val="24"/>
                <w:highlight w:val="none"/>
                <w:lang w:bidi="ar"/>
              </w:rPr>
              <w:t>额度20亿元。</w:t>
            </w:r>
          </w:p>
          <w:p>
            <w:pPr>
              <w:widowControl/>
              <w:jc w:val="both"/>
              <w:textAlignment w:val="center"/>
              <w:rPr>
                <w:rFonts w:hint="eastAsia" w:ascii="宋体" w:hAnsi="宋体" w:cs="宋体" w:eastAsiaTheme="minorEastAsia"/>
                <w:color w:val="000000"/>
                <w:sz w:val="24"/>
                <w:highlight w:val="none"/>
                <w:lang w:eastAsia="zh-CN"/>
              </w:rPr>
            </w:pPr>
            <w:r>
              <w:rPr>
                <w:rFonts w:hint="eastAsia" w:ascii="宋体" w:hAnsi="宋体" w:cs="宋体"/>
                <w:color w:val="000000"/>
                <w:kern w:val="0"/>
                <w:sz w:val="24"/>
                <w:highlight w:val="none"/>
                <w:lang w:bidi="ar"/>
              </w:rPr>
              <w:t>其中，同业借款余额</w:t>
            </w:r>
            <w:r>
              <w:rPr>
                <w:rStyle w:val="32"/>
                <w:rFonts w:hint="eastAsia" w:ascii="宋体" w:hAnsi="宋体" w:cs="宋体"/>
                <w:sz w:val="24"/>
                <w:szCs w:val="24"/>
                <w:highlight w:val="none"/>
                <w:lang w:bidi="ar"/>
              </w:rPr>
              <w:t>6.3</w:t>
            </w:r>
            <w:r>
              <w:rPr>
                <w:rFonts w:hint="eastAsia" w:ascii="宋体" w:hAnsi="宋体" w:cs="宋体"/>
                <w:color w:val="000000"/>
                <w:kern w:val="0"/>
                <w:sz w:val="24"/>
                <w:highlight w:val="none"/>
                <w:lang w:bidi="ar"/>
              </w:rPr>
              <w:t>亿元（敞口</w:t>
            </w:r>
            <w:r>
              <w:rPr>
                <w:rStyle w:val="32"/>
                <w:rFonts w:hint="eastAsia" w:ascii="宋体" w:hAnsi="宋体" w:cs="宋体"/>
                <w:sz w:val="24"/>
                <w:szCs w:val="24"/>
                <w:highlight w:val="none"/>
                <w:lang w:bidi="ar"/>
              </w:rPr>
              <w:t>6.3</w:t>
            </w:r>
            <w:r>
              <w:rPr>
                <w:rFonts w:hint="eastAsia" w:ascii="宋体" w:hAnsi="宋体" w:cs="宋体"/>
                <w:color w:val="000000"/>
                <w:kern w:val="0"/>
                <w:sz w:val="24"/>
                <w:highlight w:val="none"/>
                <w:lang w:bidi="ar"/>
              </w:rPr>
              <w:t>亿元）、表外授信余额1.15亿元</w:t>
            </w:r>
            <w:r>
              <w:rPr>
                <w:rFonts w:hint="eastAsia" w:ascii="宋体" w:hAnsi="宋体" w:cs="宋体"/>
                <w:color w:val="000000"/>
                <w:kern w:val="0"/>
                <w:sz w:val="24"/>
                <w:highlight w:val="none"/>
                <w:lang w:eastAsia="zh-CN" w:bidi="ar"/>
              </w:rPr>
              <w:t>。</w:t>
            </w:r>
          </w:p>
        </w:tc>
      </w:tr>
      <w:tr>
        <w:tblPrEx>
          <w:tblCellMar>
            <w:top w:w="0" w:type="dxa"/>
            <w:left w:w="0" w:type="dxa"/>
            <w:bottom w:w="0" w:type="dxa"/>
            <w:right w:w="0" w:type="dxa"/>
          </w:tblCellMar>
        </w:tblPrEx>
        <w:trPr>
          <w:trHeight w:val="300" w:hRule="atLeast"/>
        </w:trPr>
        <w:tc>
          <w:tcPr>
            <w:tcW w:w="2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14</w:t>
            </w:r>
          </w:p>
        </w:tc>
        <w:tc>
          <w:tcPr>
            <w:tcW w:w="22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关联自然人</w:t>
            </w:r>
          </w:p>
        </w:tc>
        <w:tc>
          <w:tcPr>
            <w:tcW w:w="1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授信额度3亿元</w:t>
            </w:r>
          </w:p>
        </w:tc>
        <w:tc>
          <w:tcPr>
            <w:tcW w:w="18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4"/>
                <w:highlight w:val="none"/>
              </w:rPr>
            </w:pPr>
            <w:r>
              <w:rPr>
                <w:rFonts w:hint="eastAsia" w:ascii="宋体" w:hAnsi="宋体" w:cs="宋体"/>
                <w:color w:val="000000"/>
                <w:kern w:val="0"/>
                <w:sz w:val="24"/>
                <w:highlight w:val="none"/>
                <w:lang w:bidi="ar"/>
              </w:rPr>
              <w:t>主要用于信用卡、贷款等业务</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both"/>
              <w:textAlignment w:val="center"/>
              <w:rPr>
                <w:rFonts w:hint="eastAsia" w:ascii="宋体" w:hAnsi="宋体" w:cs="宋体" w:eastAsiaTheme="minorEastAsia"/>
                <w:color w:val="000000"/>
                <w:sz w:val="24"/>
                <w:highlight w:val="none"/>
                <w:lang w:eastAsia="zh-CN"/>
              </w:rPr>
            </w:pPr>
            <w:r>
              <w:rPr>
                <w:rFonts w:hint="eastAsia" w:ascii="宋体" w:hAnsi="宋体" w:cs="宋体"/>
                <w:color w:val="000000"/>
                <w:kern w:val="0"/>
                <w:sz w:val="24"/>
                <w:highlight w:val="none"/>
                <w:lang w:bidi="ar"/>
              </w:rPr>
              <w:t>授信余额</w:t>
            </w:r>
            <w:r>
              <w:rPr>
                <w:rStyle w:val="32"/>
                <w:rFonts w:hint="eastAsia" w:ascii="宋体" w:hAnsi="宋体" w:cs="宋体"/>
                <w:sz w:val="24"/>
                <w:szCs w:val="24"/>
                <w:highlight w:val="none"/>
                <w:lang w:bidi="ar"/>
              </w:rPr>
              <w:t>2.36</w:t>
            </w:r>
            <w:r>
              <w:rPr>
                <w:rFonts w:hint="eastAsia" w:ascii="宋体" w:hAnsi="宋体" w:cs="宋体"/>
                <w:color w:val="000000"/>
                <w:kern w:val="0"/>
                <w:sz w:val="24"/>
                <w:highlight w:val="none"/>
                <w:lang w:bidi="ar"/>
              </w:rPr>
              <w:t>亿元（敞口余额</w:t>
            </w:r>
            <w:r>
              <w:rPr>
                <w:rStyle w:val="32"/>
                <w:rFonts w:hint="eastAsia" w:ascii="宋体" w:hAnsi="宋体" w:cs="宋体"/>
                <w:sz w:val="24"/>
                <w:szCs w:val="24"/>
                <w:highlight w:val="none"/>
                <w:lang w:bidi="ar"/>
              </w:rPr>
              <w:t>2.3</w:t>
            </w:r>
            <w:r>
              <w:rPr>
                <w:rStyle w:val="32"/>
                <w:rFonts w:hint="eastAsia" w:ascii="宋体" w:hAnsi="宋体" w:cs="宋体"/>
                <w:sz w:val="24"/>
                <w:szCs w:val="24"/>
                <w:highlight w:val="none"/>
                <w:lang w:val="en-US" w:eastAsia="zh-CN" w:bidi="ar"/>
              </w:rPr>
              <w:t>5</w:t>
            </w:r>
            <w:r>
              <w:rPr>
                <w:rFonts w:hint="eastAsia" w:ascii="宋体" w:hAnsi="宋体" w:cs="宋体"/>
                <w:color w:val="000000"/>
                <w:kern w:val="0"/>
                <w:sz w:val="24"/>
                <w:highlight w:val="none"/>
                <w:lang w:bidi="ar"/>
              </w:rPr>
              <w:t>亿元）</w:t>
            </w:r>
            <w:r>
              <w:rPr>
                <w:rFonts w:hint="eastAsia" w:ascii="宋体" w:hAnsi="宋体" w:cs="宋体"/>
                <w:color w:val="000000"/>
                <w:kern w:val="0"/>
                <w:sz w:val="24"/>
                <w:highlight w:val="none"/>
                <w:lang w:eastAsia="zh-CN" w:bidi="ar"/>
              </w:rPr>
              <w:t>。</w:t>
            </w:r>
          </w:p>
        </w:tc>
      </w:tr>
    </w:tbl>
    <w:p>
      <w:pPr>
        <w:adjustRightInd w:val="0"/>
        <w:snapToGrid w:val="0"/>
        <w:spacing w:line="360" w:lineRule="auto"/>
        <w:rPr>
          <w:rFonts w:hint="eastAsia" w:ascii="宋体" w:hAnsi="宋体" w:cs="宋体"/>
          <w:b/>
          <w:bCs/>
          <w:sz w:val="24"/>
          <w:highlight w:val="none"/>
        </w:rPr>
      </w:pPr>
      <w:r>
        <w:rPr>
          <w:rFonts w:hint="eastAsia" w:ascii="宋体" w:hAnsi="宋体" w:cs="宋体"/>
          <w:szCs w:val="21"/>
          <w:highlight w:val="none"/>
        </w:rPr>
        <w:t>注：本行与平顶山银行股份有限公司、福建七匹狼集团有限公司及其关联方、厦门金圆投资集团有限公司及其关联方年末关联交易实际执行情况与年初预计额度存在一定偏离，该情况系以上关联方自有资金充足或授信额度上报时根据关联方实际需求对额度做出相应调整导致。</w:t>
      </w:r>
    </w:p>
    <w:p>
      <w:pPr>
        <w:adjustRightInd w:val="0"/>
        <w:snapToGrid w:val="0"/>
        <w:spacing w:line="360" w:lineRule="auto"/>
        <w:ind w:firstLine="482" w:firstLineChars="200"/>
        <w:rPr>
          <w:rFonts w:hint="eastAsia" w:ascii="宋体" w:hAnsi="宋体"/>
          <w:b/>
          <w:bCs/>
          <w:sz w:val="24"/>
          <w:highlight w:val="none"/>
        </w:rPr>
      </w:pPr>
      <w:r>
        <w:rPr>
          <w:rFonts w:hint="eastAsia" w:ascii="宋体" w:hAnsi="宋体"/>
          <w:b/>
          <w:bCs/>
          <w:sz w:val="24"/>
          <w:highlight w:val="none"/>
        </w:rPr>
        <w:t>（三）2022年度日常关联交易预计额度和类别</w:t>
      </w:r>
    </w:p>
    <w:p>
      <w:pPr>
        <w:adjustRightInd w:val="0"/>
        <w:snapToGrid w:val="0"/>
        <w:spacing w:line="360" w:lineRule="auto"/>
        <w:ind w:firstLine="480" w:firstLineChars="200"/>
        <w:jc w:val="right"/>
        <w:rPr>
          <w:rFonts w:hint="eastAsia" w:ascii="宋体" w:hAnsi="宋体" w:cs="宋体"/>
          <w:sz w:val="24"/>
          <w:highlight w:val="none"/>
        </w:rPr>
      </w:pPr>
      <w:r>
        <w:rPr>
          <w:rFonts w:hint="eastAsia" w:ascii="宋体" w:hAnsi="宋体" w:cs="宋体"/>
          <w:sz w:val="24"/>
          <w:highlight w:val="none"/>
        </w:rPr>
        <w:t>币种：人民币</w:t>
      </w:r>
    </w:p>
    <w:tbl>
      <w:tblPr>
        <w:tblStyle w:val="13"/>
        <w:tblW w:w="0" w:type="auto"/>
        <w:tblInd w:w="0" w:type="dxa"/>
        <w:tblLayout w:type="autofit"/>
        <w:tblCellMar>
          <w:top w:w="0" w:type="dxa"/>
          <w:left w:w="0" w:type="dxa"/>
          <w:bottom w:w="0" w:type="dxa"/>
          <w:right w:w="0" w:type="dxa"/>
        </w:tblCellMar>
      </w:tblPr>
      <w:tblGrid>
        <w:gridCol w:w="299"/>
        <w:gridCol w:w="912"/>
        <w:gridCol w:w="1325"/>
        <w:gridCol w:w="1880"/>
        <w:gridCol w:w="1844"/>
        <w:gridCol w:w="2083"/>
      </w:tblGrid>
      <w:tr>
        <w:tblPrEx>
          <w:tblCellMar>
            <w:top w:w="0" w:type="dxa"/>
            <w:left w:w="0" w:type="dxa"/>
            <w:bottom w:w="0" w:type="dxa"/>
            <w:right w:w="0"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000000"/>
                <w:sz w:val="24"/>
                <w:highlight w:val="none"/>
              </w:rPr>
            </w:pPr>
            <w:r>
              <w:rPr>
                <w:rFonts w:hint="eastAsia" w:ascii="宋体" w:hAnsi="宋体" w:eastAsia="宋体" w:cs="宋体"/>
                <w:b/>
                <w:color w:val="000000"/>
                <w:kern w:val="0"/>
                <w:sz w:val="24"/>
                <w:highlight w:val="none"/>
                <w:lang w:bidi="ar"/>
              </w:rPr>
              <w:t>序号</w:t>
            </w:r>
          </w:p>
        </w:tc>
        <w:tc>
          <w:tcPr>
            <w:tcW w:w="223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000000"/>
                <w:sz w:val="24"/>
                <w:highlight w:val="none"/>
              </w:rPr>
            </w:pPr>
            <w:r>
              <w:rPr>
                <w:rFonts w:hint="eastAsia" w:ascii="宋体" w:hAnsi="宋体" w:eastAsia="宋体" w:cs="宋体"/>
                <w:b/>
                <w:color w:val="000000"/>
                <w:kern w:val="0"/>
                <w:sz w:val="24"/>
                <w:highlight w:val="none"/>
                <w:lang w:bidi="ar"/>
              </w:rPr>
              <w:t>关联方</w:t>
            </w:r>
          </w:p>
        </w:tc>
        <w:tc>
          <w:tcPr>
            <w:tcW w:w="18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000000"/>
                <w:kern w:val="0"/>
                <w:sz w:val="24"/>
                <w:highlight w:val="none"/>
                <w:lang w:bidi="ar"/>
              </w:rPr>
            </w:pPr>
            <w:r>
              <w:rPr>
                <w:rFonts w:hint="eastAsia" w:ascii="宋体" w:hAnsi="宋体" w:eastAsia="宋体" w:cs="宋体"/>
                <w:b/>
                <w:color w:val="000000"/>
                <w:kern w:val="0"/>
                <w:sz w:val="24"/>
                <w:highlight w:val="none"/>
                <w:lang w:bidi="ar"/>
              </w:rPr>
              <w:t>2021年</w:t>
            </w:r>
          </w:p>
          <w:p>
            <w:pPr>
              <w:widowControl/>
              <w:jc w:val="center"/>
              <w:textAlignment w:val="center"/>
              <w:rPr>
                <w:rFonts w:hint="eastAsia" w:ascii="宋体" w:hAnsi="宋体" w:eastAsia="宋体" w:cs="宋体"/>
                <w:b/>
                <w:color w:val="000000"/>
                <w:sz w:val="24"/>
                <w:highlight w:val="none"/>
              </w:rPr>
            </w:pPr>
            <w:r>
              <w:rPr>
                <w:rFonts w:hint="eastAsia" w:ascii="宋体" w:hAnsi="宋体" w:eastAsia="宋体" w:cs="宋体"/>
                <w:b/>
                <w:color w:val="000000"/>
                <w:kern w:val="0"/>
                <w:sz w:val="24"/>
                <w:highlight w:val="none"/>
                <w:lang w:bidi="ar"/>
              </w:rPr>
              <w:t>预计额度</w:t>
            </w:r>
          </w:p>
        </w:tc>
        <w:tc>
          <w:tcPr>
            <w:tcW w:w="18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000000"/>
                <w:kern w:val="0"/>
                <w:sz w:val="24"/>
                <w:highlight w:val="none"/>
                <w:lang w:bidi="ar"/>
              </w:rPr>
            </w:pPr>
            <w:r>
              <w:rPr>
                <w:rFonts w:hint="eastAsia" w:ascii="宋体" w:hAnsi="宋体" w:eastAsia="宋体" w:cs="宋体"/>
                <w:b/>
                <w:color w:val="000000"/>
                <w:kern w:val="0"/>
                <w:sz w:val="24"/>
                <w:highlight w:val="none"/>
                <w:lang w:bidi="ar"/>
              </w:rPr>
              <w:t>2022年</w:t>
            </w:r>
          </w:p>
          <w:p>
            <w:pPr>
              <w:widowControl/>
              <w:jc w:val="center"/>
              <w:textAlignment w:val="center"/>
              <w:rPr>
                <w:rFonts w:hint="eastAsia" w:ascii="宋体" w:hAnsi="宋体" w:eastAsia="宋体" w:cs="宋体"/>
                <w:b/>
                <w:color w:val="000000"/>
                <w:sz w:val="24"/>
                <w:highlight w:val="none"/>
              </w:rPr>
            </w:pPr>
            <w:r>
              <w:rPr>
                <w:rFonts w:hint="eastAsia" w:ascii="宋体" w:hAnsi="宋体" w:eastAsia="宋体" w:cs="宋体"/>
                <w:b/>
                <w:color w:val="000000"/>
                <w:kern w:val="0"/>
                <w:sz w:val="24"/>
                <w:highlight w:val="none"/>
                <w:lang w:bidi="ar"/>
              </w:rPr>
              <w:t>预计额度</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000000"/>
                <w:kern w:val="0"/>
                <w:sz w:val="24"/>
                <w:highlight w:val="none"/>
                <w:lang w:bidi="ar"/>
              </w:rPr>
            </w:pPr>
            <w:r>
              <w:rPr>
                <w:rFonts w:hint="eastAsia" w:ascii="宋体" w:hAnsi="宋体" w:eastAsia="宋体" w:cs="宋体"/>
                <w:b/>
                <w:color w:val="000000"/>
                <w:kern w:val="0"/>
                <w:sz w:val="24"/>
                <w:highlight w:val="none"/>
                <w:lang w:bidi="ar"/>
              </w:rPr>
              <w:t>2022年</w:t>
            </w:r>
          </w:p>
          <w:p>
            <w:pPr>
              <w:widowControl/>
              <w:jc w:val="center"/>
              <w:textAlignment w:val="center"/>
              <w:rPr>
                <w:rFonts w:hint="eastAsia" w:ascii="宋体" w:hAnsi="宋体" w:eastAsia="宋体" w:cs="宋体"/>
                <w:b/>
                <w:color w:val="000000"/>
                <w:sz w:val="24"/>
                <w:highlight w:val="none"/>
              </w:rPr>
            </w:pPr>
            <w:r>
              <w:rPr>
                <w:rFonts w:hint="eastAsia" w:ascii="宋体" w:hAnsi="宋体" w:eastAsia="宋体" w:cs="宋体"/>
                <w:b/>
                <w:color w:val="000000"/>
                <w:kern w:val="0"/>
                <w:sz w:val="24"/>
                <w:highlight w:val="none"/>
                <w:lang w:bidi="ar"/>
              </w:rPr>
              <w:t>预计额度的业务品种</w:t>
            </w:r>
          </w:p>
        </w:tc>
      </w:tr>
      <w:tr>
        <w:tblPrEx>
          <w:tblCellMar>
            <w:top w:w="0" w:type="dxa"/>
            <w:left w:w="0" w:type="dxa"/>
            <w:bottom w:w="0" w:type="dxa"/>
            <w:right w:w="0" w:type="dxa"/>
          </w:tblCellMar>
        </w:tblPrEx>
        <w:trPr>
          <w:trHeight w:val="540" w:hRule="atLeast"/>
        </w:trPr>
        <w:tc>
          <w:tcPr>
            <w:tcW w:w="0" w:type="auto"/>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1</w:t>
            </w:r>
          </w:p>
        </w:tc>
        <w:tc>
          <w:tcPr>
            <w:tcW w:w="912"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富邦金融控股股份有限公司及其关联方</w:t>
            </w:r>
            <w:r>
              <w:rPr>
                <w:rStyle w:val="18"/>
                <w:rFonts w:hint="eastAsia" w:ascii="宋体" w:hAnsi="宋体" w:eastAsia="宋体" w:cs="宋体"/>
                <w:color w:val="000000"/>
                <w:kern w:val="0"/>
                <w:sz w:val="24"/>
                <w:highlight w:val="none"/>
                <w:lang w:bidi="ar"/>
              </w:rPr>
              <w:footnoteReference w:id="0"/>
            </w:r>
          </w:p>
        </w:tc>
        <w:tc>
          <w:tcPr>
            <w:tcW w:w="13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富邦华一银行有限公司</w:t>
            </w:r>
          </w:p>
        </w:tc>
        <w:tc>
          <w:tcPr>
            <w:tcW w:w="18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同业授信额度20亿元（敞口10亿元）</w:t>
            </w:r>
          </w:p>
        </w:tc>
        <w:tc>
          <w:tcPr>
            <w:tcW w:w="18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同业授信额度2</w:t>
            </w:r>
            <w:r>
              <w:rPr>
                <w:rFonts w:hint="eastAsia" w:ascii="宋体" w:hAnsi="宋体" w:eastAsia="宋体" w:cs="宋体"/>
                <w:color w:val="000000"/>
                <w:kern w:val="0"/>
                <w:sz w:val="24"/>
                <w:highlight w:val="none"/>
                <w:lang w:val="en-US" w:eastAsia="zh-CN" w:bidi="ar"/>
              </w:rPr>
              <w:t>0</w:t>
            </w:r>
            <w:r>
              <w:rPr>
                <w:rFonts w:hint="eastAsia" w:ascii="宋体" w:hAnsi="宋体" w:eastAsia="宋体" w:cs="宋体"/>
                <w:color w:val="000000"/>
                <w:kern w:val="0"/>
                <w:sz w:val="24"/>
                <w:highlight w:val="none"/>
                <w:lang w:bidi="ar"/>
              </w:rPr>
              <w:t>亿元（敞口1</w:t>
            </w:r>
            <w:r>
              <w:rPr>
                <w:rFonts w:hint="eastAsia" w:ascii="宋体" w:hAnsi="宋体" w:eastAsia="宋体" w:cs="宋体"/>
                <w:color w:val="000000"/>
                <w:kern w:val="0"/>
                <w:sz w:val="24"/>
                <w:highlight w:val="none"/>
                <w:lang w:val="en-US" w:eastAsia="zh-CN" w:bidi="ar"/>
              </w:rPr>
              <w:t>0</w:t>
            </w:r>
            <w:r>
              <w:rPr>
                <w:rFonts w:hint="eastAsia" w:ascii="宋体" w:hAnsi="宋体" w:eastAsia="宋体" w:cs="宋体"/>
                <w:color w:val="000000"/>
                <w:kern w:val="0"/>
                <w:sz w:val="24"/>
                <w:highlight w:val="none"/>
                <w:lang w:bidi="ar"/>
              </w:rPr>
              <w:t>亿元）</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主要用于同业授信、同业交易等业务</w:t>
            </w:r>
          </w:p>
        </w:tc>
      </w:tr>
      <w:tr>
        <w:tblPrEx>
          <w:tblCellMar>
            <w:top w:w="0" w:type="dxa"/>
            <w:left w:w="0" w:type="dxa"/>
            <w:bottom w:w="0" w:type="dxa"/>
            <w:right w:w="0"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000000"/>
                <w:sz w:val="24"/>
                <w:highlight w:val="none"/>
              </w:rPr>
            </w:pPr>
          </w:p>
        </w:tc>
        <w:tc>
          <w:tcPr>
            <w:tcW w:w="912" w:type="dxa"/>
            <w:vMerge w:val="continue"/>
            <w:tcBorders>
              <w:left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000000"/>
                <w:sz w:val="24"/>
                <w:highlight w:val="none"/>
              </w:rPr>
            </w:pPr>
          </w:p>
        </w:tc>
        <w:tc>
          <w:tcPr>
            <w:tcW w:w="13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台北富邦商业银行股份有限公司</w:t>
            </w:r>
          </w:p>
        </w:tc>
        <w:tc>
          <w:tcPr>
            <w:tcW w:w="18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同业授信额度20亿元（敞口10亿元）</w:t>
            </w:r>
          </w:p>
        </w:tc>
        <w:tc>
          <w:tcPr>
            <w:tcW w:w="18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同业授信额度2</w:t>
            </w:r>
            <w:r>
              <w:rPr>
                <w:rFonts w:hint="eastAsia" w:ascii="宋体" w:hAnsi="宋体" w:eastAsia="宋体" w:cs="宋体"/>
                <w:color w:val="000000"/>
                <w:kern w:val="0"/>
                <w:sz w:val="24"/>
                <w:highlight w:val="none"/>
                <w:lang w:val="en-US" w:eastAsia="zh-CN" w:bidi="ar"/>
              </w:rPr>
              <w:t>0</w:t>
            </w:r>
            <w:r>
              <w:rPr>
                <w:rFonts w:hint="eastAsia" w:ascii="宋体" w:hAnsi="宋体" w:eastAsia="宋体" w:cs="宋体"/>
                <w:color w:val="000000"/>
                <w:kern w:val="0"/>
                <w:sz w:val="24"/>
                <w:highlight w:val="none"/>
                <w:lang w:bidi="ar"/>
              </w:rPr>
              <w:t>亿元（敞口1</w:t>
            </w:r>
            <w:r>
              <w:rPr>
                <w:rFonts w:hint="eastAsia" w:ascii="宋体" w:hAnsi="宋体" w:eastAsia="宋体" w:cs="宋体"/>
                <w:color w:val="000000"/>
                <w:kern w:val="0"/>
                <w:sz w:val="24"/>
                <w:highlight w:val="none"/>
                <w:lang w:val="en-US" w:eastAsia="zh-CN" w:bidi="ar"/>
              </w:rPr>
              <w:t>0</w:t>
            </w:r>
            <w:r>
              <w:rPr>
                <w:rFonts w:hint="eastAsia" w:ascii="宋体" w:hAnsi="宋体" w:eastAsia="宋体" w:cs="宋体"/>
                <w:color w:val="000000"/>
                <w:kern w:val="0"/>
                <w:sz w:val="24"/>
                <w:highlight w:val="none"/>
                <w:lang w:bidi="ar"/>
              </w:rPr>
              <w:t>亿元）</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主要用于同业授信、同业交易等业务</w:t>
            </w:r>
          </w:p>
        </w:tc>
      </w:tr>
      <w:tr>
        <w:tblPrEx>
          <w:tblCellMar>
            <w:top w:w="0" w:type="dxa"/>
            <w:left w:w="0" w:type="dxa"/>
            <w:bottom w:w="0" w:type="dxa"/>
            <w:right w:w="0"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000000"/>
                <w:sz w:val="24"/>
                <w:highlight w:val="none"/>
              </w:rPr>
            </w:pPr>
          </w:p>
        </w:tc>
        <w:tc>
          <w:tcPr>
            <w:tcW w:w="912" w:type="dxa"/>
            <w:vMerge w:val="continue"/>
            <w:tcBorders>
              <w:left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000000"/>
                <w:sz w:val="24"/>
                <w:highlight w:val="none"/>
              </w:rPr>
            </w:pPr>
          </w:p>
        </w:tc>
        <w:tc>
          <w:tcPr>
            <w:tcW w:w="13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富邦银行（香港）有限公司</w:t>
            </w:r>
          </w:p>
        </w:tc>
        <w:tc>
          <w:tcPr>
            <w:tcW w:w="18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同业授信额度20亿元（敞口10亿元）</w:t>
            </w:r>
          </w:p>
        </w:tc>
        <w:tc>
          <w:tcPr>
            <w:tcW w:w="18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同业授信额度20亿元（敞口10亿元）</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主要用于同业授信、同业交易等业务</w:t>
            </w:r>
          </w:p>
        </w:tc>
      </w:tr>
      <w:tr>
        <w:tblPrEx>
          <w:tblCellMar>
            <w:top w:w="0" w:type="dxa"/>
            <w:left w:w="0" w:type="dxa"/>
            <w:bottom w:w="0" w:type="dxa"/>
            <w:right w:w="0"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000000"/>
                <w:sz w:val="24"/>
                <w:highlight w:val="none"/>
              </w:rPr>
            </w:pPr>
          </w:p>
        </w:tc>
        <w:tc>
          <w:tcPr>
            <w:tcW w:w="912" w:type="dxa"/>
            <w:vMerge w:val="continue"/>
            <w:tcBorders>
              <w:left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000000"/>
                <w:sz w:val="24"/>
                <w:highlight w:val="none"/>
              </w:rPr>
            </w:pPr>
          </w:p>
        </w:tc>
        <w:tc>
          <w:tcPr>
            <w:tcW w:w="13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日盛国际商业银行股份有限公司</w:t>
            </w:r>
          </w:p>
        </w:tc>
        <w:tc>
          <w:tcPr>
            <w:tcW w:w="18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4"/>
                <w:highlight w:val="none"/>
                <w:lang w:bidi="ar"/>
              </w:rPr>
            </w:pPr>
            <w:r>
              <w:rPr>
                <w:rFonts w:hint="eastAsia" w:ascii="宋体" w:hAnsi="宋体" w:eastAsia="宋体" w:cs="宋体"/>
                <w:color w:val="000000"/>
                <w:kern w:val="0"/>
                <w:sz w:val="24"/>
                <w:highlight w:val="none"/>
                <w:lang w:bidi="ar"/>
              </w:rPr>
              <w:t>无</w:t>
            </w:r>
          </w:p>
        </w:tc>
        <w:tc>
          <w:tcPr>
            <w:tcW w:w="18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同业授信额度</w:t>
            </w:r>
            <w:r>
              <w:rPr>
                <w:rFonts w:hint="eastAsia" w:ascii="宋体" w:hAnsi="宋体" w:eastAsia="宋体" w:cs="宋体"/>
                <w:color w:val="000000"/>
                <w:kern w:val="0"/>
                <w:sz w:val="24"/>
                <w:highlight w:val="none"/>
                <w:lang w:val="en-US" w:eastAsia="zh-CN" w:bidi="ar"/>
              </w:rPr>
              <w:t>5</w:t>
            </w:r>
            <w:r>
              <w:rPr>
                <w:rFonts w:hint="eastAsia" w:ascii="宋体" w:hAnsi="宋体" w:eastAsia="宋体" w:cs="宋体"/>
                <w:color w:val="000000"/>
                <w:kern w:val="0"/>
                <w:sz w:val="24"/>
                <w:highlight w:val="none"/>
                <w:lang w:bidi="ar"/>
              </w:rPr>
              <w:t>亿元（敞口</w:t>
            </w:r>
            <w:r>
              <w:rPr>
                <w:rFonts w:hint="eastAsia" w:ascii="宋体" w:hAnsi="宋体" w:eastAsia="宋体" w:cs="宋体"/>
                <w:color w:val="000000"/>
                <w:kern w:val="0"/>
                <w:sz w:val="24"/>
                <w:highlight w:val="none"/>
                <w:lang w:val="en-US" w:eastAsia="zh-CN" w:bidi="ar"/>
              </w:rPr>
              <w:t>5</w:t>
            </w:r>
            <w:r>
              <w:rPr>
                <w:rFonts w:hint="eastAsia" w:ascii="宋体" w:hAnsi="宋体" w:eastAsia="宋体" w:cs="宋体"/>
                <w:color w:val="000000"/>
                <w:kern w:val="0"/>
                <w:sz w:val="24"/>
                <w:highlight w:val="none"/>
                <w:lang w:bidi="ar"/>
              </w:rPr>
              <w:t>亿元）</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主要用于同业授信、同业交易等业务</w:t>
            </w:r>
          </w:p>
        </w:tc>
      </w:tr>
      <w:tr>
        <w:tblPrEx>
          <w:tblCellMar>
            <w:top w:w="0" w:type="dxa"/>
            <w:left w:w="0" w:type="dxa"/>
            <w:bottom w:w="0" w:type="dxa"/>
            <w:right w:w="0"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2</w:t>
            </w:r>
          </w:p>
        </w:tc>
        <w:tc>
          <w:tcPr>
            <w:tcW w:w="223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平顶山银行股份有限公司</w:t>
            </w:r>
          </w:p>
        </w:tc>
        <w:tc>
          <w:tcPr>
            <w:tcW w:w="18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4"/>
                <w:highlight w:val="none"/>
                <w:lang w:bidi="ar"/>
              </w:rPr>
            </w:pPr>
            <w:r>
              <w:rPr>
                <w:rFonts w:hint="eastAsia" w:ascii="宋体" w:hAnsi="宋体" w:eastAsia="宋体" w:cs="宋体"/>
                <w:color w:val="000000"/>
                <w:kern w:val="0"/>
                <w:sz w:val="24"/>
                <w:highlight w:val="none"/>
                <w:lang w:bidi="ar"/>
              </w:rPr>
              <w:t>同业授信额度13亿元（敞口3亿元）</w:t>
            </w:r>
          </w:p>
        </w:tc>
        <w:tc>
          <w:tcPr>
            <w:tcW w:w="18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同业授信额度13亿元（敞口3亿元）</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主要用于同业授信、同业交易等业务</w:t>
            </w:r>
          </w:p>
        </w:tc>
      </w:tr>
      <w:tr>
        <w:tblPrEx>
          <w:tblCellMar>
            <w:top w:w="0" w:type="dxa"/>
            <w:left w:w="0" w:type="dxa"/>
            <w:bottom w:w="0" w:type="dxa"/>
            <w:right w:w="0" w:type="dxa"/>
          </w:tblCellMar>
        </w:tblPrEx>
        <w:trPr>
          <w:trHeight w:val="510" w:hRule="atLeast"/>
        </w:trPr>
        <w:tc>
          <w:tcPr>
            <w:tcW w:w="0" w:type="auto"/>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3</w:t>
            </w:r>
          </w:p>
        </w:tc>
        <w:tc>
          <w:tcPr>
            <w:tcW w:w="223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福建七匹狼集团有限公司及其关联方</w:t>
            </w:r>
          </w:p>
        </w:tc>
        <w:tc>
          <w:tcPr>
            <w:tcW w:w="18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4"/>
                <w:highlight w:val="none"/>
                <w:lang w:bidi="ar"/>
              </w:rPr>
            </w:pPr>
            <w:r>
              <w:rPr>
                <w:rFonts w:hint="eastAsia" w:ascii="宋体" w:hAnsi="宋体" w:eastAsia="宋体" w:cs="宋体"/>
                <w:color w:val="000000"/>
                <w:kern w:val="0"/>
                <w:sz w:val="24"/>
                <w:highlight w:val="none"/>
                <w:lang w:bidi="ar"/>
              </w:rPr>
              <w:t>授信额度12.4亿元（敞口8.5亿元）</w:t>
            </w:r>
          </w:p>
        </w:tc>
        <w:tc>
          <w:tcPr>
            <w:tcW w:w="18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授信额度</w:t>
            </w:r>
            <w:r>
              <w:rPr>
                <w:rFonts w:hint="eastAsia" w:ascii="宋体" w:hAnsi="宋体" w:eastAsia="宋体" w:cs="宋体"/>
                <w:color w:val="000000"/>
                <w:kern w:val="0"/>
                <w:sz w:val="24"/>
                <w:highlight w:val="none"/>
                <w:lang w:val="en-US" w:eastAsia="zh-CN" w:bidi="ar"/>
              </w:rPr>
              <w:t>12.4</w:t>
            </w:r>
            <w:r>
              <w:rPr>
                <w:rFonts w:hint="eastAsia" w:ascii="宋体" w:hAnsi="宋体" w:eastAsia="宋体" w:cs="宋体"/>
                <w:color w:val="000000"/>
                <w:kern w:val="0"/>
                <w:sz w:val="24"/>
                <w:highlight w:val="none"/>
                <w:lang w:bidi="ar"/>
              </w:rPr>
              <w:t>亿（敞口</w:t>
            </w:r>
            <w:r>
              <w:rPr>
                <w:rFonts w:hint="eastAsia" w:ascii="宋体" w:hAnsi="宋体" w:eastAsia="宋体" w:cs="宋体"/>
                <w:color w:val="000000"/>
                <w:kern w:val="0"/>
                <w:sz w:val="24"/>
                <w:highlight w:val="none"/>
                <w:lang w:val="en-US" w:eastAsia="zh-CN" w:bidi="ar"/>
              </w:rPr>
              <w:t>8.5</w:t>
            </w:r>
            <w:r>
              <w:rPr>
                <w:rFonts w:hint="eastAsia" w:ascii="宋体" w:hAnsi="宋体" w:eastAsia="宋体" w:cs="宋体"/>
                <w:color w:val="000000"/>
                <w:kern w:val="0"/>
                <w:sz w:val="24"/>
                <w:highlight w:val="none"/>
                <w:lang w:bidi="ar"/>
              </w:rPr>
              <w:t>亿</w:t>
            </w:r>
            <w:r>
              <w:rPr>
                <w:rFonts w:hint="eastAsia" w:ascii="宋体" w:hAnsi="宋体" w:eastAsia="宋体" w:cs="宋体"/>
                <w:color w:val="000000"/>
                <w:kern w:val="0"/>
                <w:sz w:val="24"/>
                <w:highlight w:val="none"/>
                <w:lang w:val="en-US" w:eastAsia="zh-CN" w:bidi="ar"/>
              </w:rPr>
              <w:t>元</w:t>
            </w:r>
            <w:r>
              <w:rPr>
                <w:rFonts w:hint="eastAsia" w:ascii="宋体" w:hAnsi="宋体" w:eastAsia="宋体" w:cs="宋体"/>
                <w:color w:val="000000"/>
                <w:kern w:val="0"/>
                <w:sz w:val="24"/>
                <w:highlight w:val="none"/>
                <w:lang w:bidi="ar"/>
              </w:rPr>
              <w:t>）</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主要用于同业授信、债券投资、传统授信业务</w:t>
            </w:r>
          </w:p>
        </w:tc>
      </w:tr>
      <w:tr>
        <w:tblPrEx>
          <w:tblCellMar>
            <w:top w:w="0" w:type="dxa"/>
            <w:left w:w="0" w:type="dxa"/>
            <w:bottom w:w="0" w:type="dxa"/>
            <w:right w:w="0" w:type="dxa"/>
          </w:tblCellMar>
        </w:tblPrEx>
        <w:trPr>
          <w:trHeight w:val="510" w:hRule="atLeast"/>
        </w:trPr>
        <w:tc>
          <w:tcPr>
            <w:tcW w:w="0" w:type="auto"/>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4</w:t>
            </w:r>
          </w:p>
        </w:tc>
        <w:tc>
          <w:tcPr>
            <w:tcW w:w="223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大洲控股集团有限公司及其关联方</w:t>
            </w:r>
          </w:p>
        </w:tc>
        <w:tc>
          <w:tcPr>
            <w:tcW w:w="18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4"/>
                <w:highlight w:val="none"/>
                <w:lang w:bidi="ar"/>
              </w:rPr>
            </w:pPr>
            <w:r>
              <w:rPr>
                <w:rFonts w:hint="eastAsia" w:ascii="宋体" w:hAnsi="宋体" w:eastAsia="宋体" w:cs="宋体"/>
                <w:color w:val="000000"/>
                <w:kern w:val="0"/>
                <w:sz w:val="24"/>
                <w:highlight w:val="none"/>
                <w:lang w:bidi="ar"/>
              </w:rPr>
              <w:t>授信额度8亿元（敞口5亿元）</w:t>
            </w:r>
          </w:p>
        </w:tc>
        <w:tc>
          <w:tcPr>
            <w:tcW w:w="1844"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授信额度</w:t>
            </w:r>
            <w:r>
              <w:rPr>
                <w:rFonts w:hint="eastAsia" w:ascii="宋体" w:hAnsi="宋体" w:eastAsia="宋体" w:cs="宋体"/>
                <w:color w:val="000000"/>
                <w:kern w:val="0"/>
                <w:sz w:val="24"/>
                <w:highlight w:val="none"/>
                <w:lang w:val="en-US" w:eastAsia="zh-CN" w:bidi="ar"/>
              </w:rPr>
              <w:t>8</w:t>
            </w:r>
            <w:r>
              <w:rPr>
                <w:rFonts w:hint="eastAsia" w:ascii="宋体" w:hAnsi="宋体" w:eastAsia="宋体" w:cs="宋体"/>
                <w:color w:val="000000"/>
                <w:kern w:val="0"/>
                <w:sz w:val="24"/>
                <w:highlight w:val="none"/>
                <w:lang w:bidi="ar"/>
              </w:rPr>
              <w:t>亿元（敞口额度</w:t>
            </w:r>
            <w:r>
              <w:rPr>
                <w:rFonts w:hint="eastAsia" w:ascii="宋体" w:hAnsi="宋体" w:eastAsia="宋体" w:cs="宋体"/>
                <w:color w:val="000000"/>
                <w:kern w:val="0"/>
                <w:sz w:val="24"/>
                <w:highlight w:val="none"/>
                <w:lang w:val="en-US" w:eastAsia="zh-CN" w:bidi="ar"/>
              </w:rPr>
              <w:t>5</w:t>
            </w:r>
            <w:r>
              <w:rPr>
                <w:rFonts w:hint="eastAsia" w:ascii="宋体" w:hAnsi="宋体" w:eastAsia="宋体" w:cs="宋体"/>
                <w:color w:val="000000"/>
                <w:kern w:val="0"/>
                <w:sz w:val="24"/>
                <w:highlight w:val="none"/>
                <w:lang w:bidi="ar"/>
              </w:rPr>
              <w:t>亿元）</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主要用于传统授信业务</w:t>
            </w:r>
          </w:p>
        </w:tc>
      </w:tr>
      <w:tr>
        <w:tblPrEx>
          <w:tblCellMar>
            <w:top w:w="0" w:type="dxa"/>
            <w:left w:w="0" w:type="dxa"/>
            <w:bottom w:w="0" w:type="dxa"/>
            <w:right w:w="0" w:type="dxa"/>
          </w:tblCellMar>
        </w:tblPrEx>
        <w:trPr>
          <w:trHeight w:val="765" w:hRule="atLeast"/>
        </w:trPr>
        <w:tc>
          <w:tcPr>
            <w:tcW w:w="0" w:type="auto"/>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5</w:t>
            </w:r>
          </w:p>
        </w:tc>
        <w:tc>
          <w:tcPr>
            <w:tcW w:w="223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厦门金圆投资集团有限公司及其关联方</w:t>
            </w:r>
          </w:p>
        </w:tc>
        <w:tc>
          <w:tcPr>
            <w:tcW w:w="18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4"/>
                <w:highlight w:val="none"/>
                <w:lang w:bidi="ar"/>
              </w:rPr>
            </w:pPr>
            <w:r>
              <w:rPr>
                <w:rFonts w:hint="eastAsia" w:ascii="宋体" w:hAnsi="宋体" w:eastAsia="宋体" w:cs="宋体"/>
                <w:color w:val="000000"/>
                <w:kern w:val="0"/>
                <w:sz w:val="24"/>
                <w:highlight w:val="none"/>
                <w:lang w:bidi="ar"/>
              </w:rPr>
              <w:t>授信额度40亿元+他用担保额度20亿元（敞口30亿元）</w:t>
            </w:r>
          </w:p>
        </w:tc>
        <w:tc>
          <w:tcPr>
            <w:tcW w:w="18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4"/>
                <w:highlight w:val="none"/>
                <w:lang w:bidi="ar"/>
              </w:rPr>
            </w:pPr>
            <w:r>
              <w:rPr>
                <w:rFonts w:hint="eastAsia" w:ascii="宋体" w:hAnsi="宋体" w:eastAsia="宋体" w:cs="宋体"/>
                <w:color w:val="000000"/>
                <w:kern w:val="0"/>
                <w:sz w:val="24"/>
                <w:highlight w:val="none"/>
                <w:lang w:bidi="ar"/>
              </w:rPr>
              <w:t>授信额度4</w:t>
            </w:r>
            <w:r>
              <w:rPr>
                <w:rFonts w:hint="eastAsia" w:ascii="宋体" w:hAnsi="宋体" w:eastAsia="宋体" w:cs="宋体"/>
                <w:color w:val="000000"/>
                <w:kern w:val="0"/>
                <w:sz w:val="24"/>
                <w:highlight w:val="none"/>
                <w:lang w:val="en-US" w:eastAsia="zh-CN" w:bidi="ar"/>
              </w:rPr>
              <w:t>5</w:t>
            </w:r>
            <w:r>
              <w:rPr>
                <w:rFonts w:hint="eastAsia" w:ascii="宋体" w:hAnsi="宋体" w:eastAsia="宋体" w:cs="宋体"/>
                <w:color w:val="000000"/>
                <w:kern w:val="0"/>
                <w:sz w:val="24"/>
                <w:highlight w:val="none"/>
                <w:lang w:bidi="ar"/>
              </w:rPr>
              <w:t>亿元+他用担保额度20亿元（敞口3</w:t>
            </w:r>
            <w:r>
              <w:rPr>
                <w:rFonts w:hint="eastAsia" w:ascii="宋体" w:hAnsi="宋体" w:eastAsia="宋体" w:cs="宋体"/>
                <w:color w:val="000000"/>
                <w:kern w:val="0"/>
                <w:sz w:val="24"/>
                <w:highlight w:val="none"/>
                <w:lang w:val="en-US" w:eastAsia="zh-CN" w:bidi="ar"/>
              </w:rPr>
              <w:t>5</w:t>
            </w:r>
            <w:r>
              <w:rPr>
                <w:rFonts w:hint="eastAsia" w:ascii="宋体" w:hAnsi="宋体" w:eastAsia="宋体" w:cs="宋体"/>
                <w:color w:val="000000"/>
                <w:kern w:val="0"/>
                <w:sz w:val="24"/>
                <w:highlight w:val="none"/>
                <w:lang w:bidi="ar"/>
              </w:rPr>
              <w:t>亿元）</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主要用于传统授信、他用担保额度、同业授信、同业交易、债券投资等业务</w:t>
            </w:r>
          </w:p>
        </w:tc>
      </w:tr>
      <w:tr>
        <w:tblPrEx>
          <w:tblCellMar>
            <w:top w:w="0" w:type="dxa"/>
            <w:left w:w="0" w:type="dxa"/>
            <w:bottom w:w="0" w:type="dxa"/>
            <w:right w:w="0"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6</w:t>
            </w:r>
          </w:p>
        </w:tc>
        <w:tc>
          <w:tcPr>
            <w:tcW w:w="223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泉舜集团有限公司及其关联方</w:t>
            </w:r>
          </w:p>
        </w:tc>
        <w:tc>
          <w:tcPr>
            <w:tcW w:w="18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授信额度15.23亿元（敞口8亿元）</w:t>
            </w:r>
          </w:p>
        </w:tc>
        <w:tc>
          <w:tcPr>
            <w:tcW w:w="18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授信额度1</w:t>
            </w:r>
            <w:r>
              <w:rPr>
                <w:rFonts w:hint="eastAsia" w:ascii="宋体" w:hAnsi="宋体" w:eastAsia="宋体" w:cs="宋体"/>
                <w:color w:val="000000"/>
                <w:kern w:val="0"/>
                <w:sz w:val="24"/>
                <w:highlight w:val="none"/>
                <w:lang w:val="en-US" w:eastAsia="zh-CN" w:bidi="ar"/>
              </w:rPr>
              <w:t>5</w:t>
            </w:r>
            <w:r>
              <w:rPr>
                <w:rFonts w:hint="eastAsia" w:ascii="宋体" w:hAnsi="宋体" w:eastAsia="宋体" w:cs="宋体"/>
                <w:color w:val="000000"/>
                <w:kern w:val="0"/>
                <w:sz w:val="24"/>
                <w:highlight w:val="none"/>
                <w:lang w:bidi="ar"/>
              </w:rPr>
              <w:t>.23亿元（敞口</w:t>
            </w:r>
            <w:r>
              <w:rPr>
                <w:rFonts w:hint="eastAsia" w:ascii="宋体" w:hAnsi="宋体" w:eastAsia="宋体" w:cs="宋体"/>
                <w:color w:val="000000"/>
                <w:kern w:val="0"/>
                <w:sz w:val="24"/>
                <w:highlight w:val="none"/>
                <w:lang w:val="en-US" w:eastAsia="zh-CN" w:bidi="ar"/>
              </w:rPr>
              <w:t>8</w:t>
            </w:r>
            <w:r>
              <w:rPr>
                <w:rFonts w:hint="eastAsia" w:ascii="宋体" w:hAnsi="宋体" w:eastAsia="宋体" w:cs="宋体"/>
                <w:color w:val="000000"/>
                <w:kern w:val="0"/>
                <w:sz w:val="24"/>
                <w:highlight w:val="none"/>
                <w:lang w:bidi="ar"/>
              </w:rPr>
              <w:t>亿元）</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主要用于传统授信业务</w:t>
            </w:r>
          </w:p>
        </w:tc>
      </w:tr>
      <w:tr>
        <w:tblPrEx>
          <w:tblCellMar>
            <w:top w:w="0" w:type="dxa"/>
            <w:left w:w="0" w:type="dxa"/>
            <w:bottom w:w="0" w:type="dxa"/>
            <w:right w:w="0"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7</w:t>
            </w:r>
          </w:p>
        </w:tc>
        <w:tc>
          <w:tcPr>
            <w:tcW w:w="223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东江环保股份有限公司</w:t>
            </w:r>
          </w:p>
        </w:tc>
        <w:tc>
          <w:tcPr>
            <w:tcW w:w="18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4"/>
                <w:highlight w:val="none"/>
                <w:lang w:bidi="ar"/>
              </w:rPr>
            </w:pPr>
            <w:r>
              <w:rPr>
                <w:rFonts w:hint="eastAsia" w:ascii="宋体" w:hAnsi="宋体" w:eastAsia="宋体" w:cs="宋体"/>
                <w:color w:val="000000"/>
                <w:kern w:val="0"/>
                <w:sz w:val="24"/>
                <w:highlight w:val="none"/>
                <w:lang w:bidi="ar"/>
              </w:rPr>
              <w:t>授信额度2亿元（敞口2亿元）</w:t>
            </w:r>
          </w:p>
        </w:tc>
        <w:tc>
          <w:tcPr>
            <w:tcW w:w="18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4"/>
                <w:highlight w:val="none"/>
                <w:lang w:bidi="ar"/>
              </w:rPr>
            </w:pPr>
            <w:r>
              <w:rPr>
                <w:rFonts w:hint="eastAsia" w:ascii="宋体" w:hAnsi="宋体" w:eastAsia="宋体" w:cs="宋体"/>
                <w:color w:val="000000"/>
                <w:kern w:val="0"/>
                <w:sz w:val="24"/>
                <w:highlight w:val="none"/>
                <w:lang w:bidi="ar"/>
              </w:rPr>
              <w:t>授信额度</w:t>
            </w:r>
            <w:r>
              <w:rPr>
                <w:rFonts w:hint="eastAsia" w:ascii="宋体" w:hAnsi="宋体" w:eastAsia="宋体" w:cs="宋体"/>
                <w:color w:val="000000"/>
                <w:kern w:val="0"/>
                <w:sz w:val="24"/>
                <w:highlight w:val="none"/>
                <w:lang w:val="en-US" w:eastAsia="zh-CN" w:bidi="ar"/>
              </w:rPr>
              <w:t>2</w:t>
            </w:r>
            <w:r>
              <w:rPr>
                <w:rFonts w:hint="eastAsia" w:ascii="宋体" w:hAnsi="宋体" w:eastAsia="宋体" w:cs="宋体"/>
                <w:color w:val="000000"/>
                <w:kern w:val="0"/>
                <w:sz w:val="24"/>
                <w:highlight w:val="none"/>
                <w:lang w:bidi="ar"/>
              </w:rPr>
              <w:t>亿元（敞口</w:t>
            </w:r>
            <w:r>
              <w:rPr>
                <w:rFonts w:hint="eastAsia" w:ascii="宋体" w:hAnsi="宋体" w:eastAsia="宋体" w:cs="宋体"/>
                <w:color w:val="000000"/>
                <w:kern w:val="0"/>
                <w:sz w:val="24"/>
                <w:highlight w:val="none"/>
                <w:lang w:val="en-US" w:eastAsia="zh-CN" w:bidi="ar"/>
              </w:rPr>
              <w:t>2</w:t>
            </w:r>
            <w:r>
              <w:rPr>
                <w:rFonts w:hint="eastAsia" w:ascii="宋体" w:hAnsi="宋体" w:eastAsia="宋体" w:cs="宋体"/>
                <w:color w:val="000000"/>
                <w:kern w:val="0"/>
                <w:sz w:val="24"/>
                <w:highlight w:val="none"/>
                <w:lang w:bidi="ar"/>
              </w:rPr>
              <w:t>亿元）</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主要用于传统授信、债券投资业务</w:t>
            </w:r>
          </w:p>
        </w:tc>
      </w:tr>
      <w:tr>
        <w:tblPrEx>
          <w:tblCellMar>
            <w:top w:w="0" w:type="dxa"/>
            <w:left w:w="0" w:type="dxa"/>
            <w:bottom w:w="0" w:type="dxa"/>
            <w:right w:w="0"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rPr>
              <w:t>8</w:t>
            </w:r>
          </w:p>
        </w:tc>
        <w:tc>
          <w:tcPr>
            <w:tcW w:w="223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福建海西金融租赁有限责任公司</w:t>
            </w:r>
          </w:p>
        </w:tc>
        <w:tc>
          <w:tcPr>
            <w:tcW w:w="18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授信额度30亿元（敞口20亿元）</w:t>
            </w:r>
          </w:p>
        </w:tc>
        <w:tc>
          <w:tcPr>
            <w:tcW w:w="18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授信额度3</w:t>
            </w:r>
            <w:r>
              <w:rPr>
                <w:rFonts w:hint="eastAsia" w:ascii="宋体" w:hAnsi="宋体" w:eastAsia="宋体" w:cs="宋体"/>
                <w:color w:val="000000"/>
                <w:kern w:val="0"/>
                <w:sz w:val="24"/>
                <w:highlight w:val="none"/>
                <w:lang w:val="en-US" w:eastAsia="zh-CN" w:bidi="ar"/>
              </w:rPr>
              <w:t>0</w:t>
            </w:r>
            <w:r>
              <w:rPr>
                <w:rFonts w:hint="eastAsia" w:ascii="宋体" w:hAnsi="宋体" w:eastAsia="宋体" w:cs="宋体"/>
                <w:color w:val="000000"/>
                <w:kern w:val="0"/>
                <w:sz w:val="24"/>
                <w:highlight w:val="none"/>
                <w:lang w:bidi="ar"/>
              </w:rPr>
              <w:t>亿元（敞口2</w:t>
            </w:r>
            <w:r>
              <w:rPr>
                <w:rFonts w:hint="eastAsia" w:ascii="宋体" w:hAnsi="宋体" w:eastAsia="宋体" w:cs="宋体"/>
                <w:color w:val="000000"/>
                <w:kern w:val="0"/>
                <w:sz w:val="24"/>
                <w:highlight w:val="none"/>
                <w:lang w:val="en-US" w:eastAsia="zh-CN" w:bidi="ar"/>
              </w:rPr>
              <w:t>0</w:t>
            </w:r>
            <w:r>
              <w:rPr>
                <w:rFonts w:hint="eastAsia" w:ascii="宋体" w:hAnsi="宋体" w:eastAsia="宋体" w:cs="宋体"/>
                <w:color w:val="000000"/>
                <w:kern w:val="0"/>
                <w:sz w:val="24"/>
                <w:highlight w:val="none"/>
                <w:lang w:bidi="ar"/>
              </w:rPr>
              <w:t>亿元）</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4"/>
                <w:highlight w:val="none"/>
                <w:lang w:bidi="ar"/>
              </w:rPr>
            </w:pPr>
            <w:r>
              <w:rPr>
                <w:rFonts w:hint="eastAsia" w:ascii="宋体" w:hAnsi="宋体" w:eastAsia="宋体" w:cs="宋体"/>
                <w:color w:val="000000"/>
                <w:kern w:val="0"/>
                <w:sz w:val="24"/>
                <w:highlight w:val="none"/>
                <w:lang w:bidi="ar"/>
              </w:rPr>
              <w:t>主要用于同业授信、同业交易、传统授信业务</w:t>
            </w:r>
          </w:p>
        </w:tc>
      </w:tr>
      <w:tr>
        <w:tblPrEx>
          <w:tblCellMar>
            <w:top w:w="0" w:type="dxa"/>
            <w:left w:w="0" w:type="dxa"/>
            <w:bottom w:w="0" w:type="dxa"/>
            <w:right w:w="0" w:type="dxa"/>
          </w:tblCellMar>
        </w:tblPrEx>
        <w:trPr>
          <w:trHeight w:val="510" w:hRule="atLeast"/>
        </w:trPr>
        <w:tc>
          <w:tcPr>
            <w:tcW w:w="0" w:type="auto"/>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rPr>
              <w:t>9</w:t>
            </w:r>
          </w:p>
        </w:tc>
        <w:tc>
          <w:tcPr>
            <w:tcW w:w="223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厦门国有资本运营有限责任公司及其关联方</w:t>
            </w:r>
          </w:p>
        </w:tc>
        <w:tc>
          <w:tcPr>
            <w:tcW w:w="18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无</w:t>
            </w:r>
          </w:p>
        </w:tc>
        <w:tc>
          <w:tcPr>
            <w:tcW w:w="18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授信额度1</w:t>
            </w:r>
            <w:r>
              <w:rPr>
                <w:rFonts w:hint="eastAsia" w:ascii="宋体" w:hAnsi="宋体" w:eastAsia="宋体" w:cs="宋体"/>
                <w:color w:val="000000"/>
                <w:kern w:val="0"/>
                <w:sz w:val="24"/>
                <w:highlight w:val="none"/>
                <w:lang w:val="en-US" w:eastAsia="zh-CN" w:bidi="ar"/>
              </w:rPr>
              <w:t>0</w:t>
            </w:r>
            <w:r>
              <w:rPr>
                <w:rFonts w:hint="eastAsia" w:ascii="宋体" w:hAnsi="宋体" w:eastAsia="宋体" w:cs="宋体"/>
                <w:color w:val="000000"/>
                <w:kern w:val="0"/>
                <w:sz w:val="24"/>
                <w:highlight w:val="none"/>
                <w:lang w:bidi="ar"/>
              </w:rPr>
              <w:t>亿元（敞口1</w:t>
            </w:r>
            <w:r>
              <w:rPr>
                <w:rFonts w:hint="eastAsia" w:ascii="宋体" w:hAnsi="宋体" w:eastAsia="宋体" w:cs="宋体"/>
                <w:color w:val="000000"/>
                <w:kern w:val="0"/>
                <w:sz w:val="24"/>
                <w:highlight w:val="none"/>
                <w:lang w:val="en-US" w:eastAsia="zh-CN" w:bidi="ar"/>
              </w:rPr>
              <w:t>0</w:t>
            </w:r>
            <w:r>
              <w:rPr>
                <w:rFonts w:hint="eastAsia" w:ascii="宋体" w:hAnsi="宋体" w:eastAsia="宋体" w:cs="宋体"/>
                <w:color w:val="000000"/>
                <w:kern w:val="0"/>
                <w:sz w:val="24"/>
                <w:highlight w:val="none"/>
                <w:lang w:bidi="ar"/>
              </w:rPr>
              <w:t>亿元）</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主要用于债券投资、传统授信业务</w:t>
            </w:r>
          </w:p>
        </w:tc>
      </w:tr>
      <w:tr>
        <w:tblPrEx>
          <w:tblCellMar>
            <w:top w:w="0" w:type="dxa"/>
            <w:left w:w="0" w:type="dxa"/>
            <w:bottom w:w="0" w:type="dxa"/>
            <w:right w:w="0" w:type="dxa"/>
          </w:tblCellMar>
        </w:tblPrEx>
        <w:trPr>
          <w:trHeight w:val="510" w:hRule="atLeast"/>
        </w:trPr>
        <w:tc>
          <w:tcPr>
            <w:tcW w:w="0" w:type="auto"/>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10</w:t>
            </w:r>
          </w:p>
        </w:tc>
        <w:tc>
          <w:tcPr>
            <w:tcW w:w="223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关联自然人</w:t>
            </w:r>
          </w:p>
        </w:tc>
        <w:tc>
          <w:tcPr>
            <w:tcW w:w="18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授信额度3亿元</w:t>
            </w:r>
          </w:p>
        </w:tc>
        <w:tc>
          <w:tcPr>
            <w:tcW w:w="18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授信额度3亿元（敞口3亿元）</w:t>
            </w:r>
          </w:p>
        </w:tc>
        <w:tc>
          <w:tcPr>
            <w:tcW w:w="2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bidi="ar"/>
              </w:rPr>
              <w:t>主要用于信用卡、贷款等业务</w:t>
            </w:r>
          </w:p>
        </w:tc>
      </w:tr>
    </w:tbl>
    <w:p>
      <w:pPr>
        <w:adjustRightInd w:val="0"/>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注：1.上述关联法人、关联自然人包括中国银行保险监督管理委员会</w:t>
      </w:r>
      <w:r>
        <w:rPr>
          <w:rFonts w:hint="eastAsia" w:ascii="宋体" w:hAnsi="宋体" w:cs="宋体"/>
          <w:szCs w:val="21"/>
          <w:highlight w:val="none"/>
          <w:lang w:eastAsia="zh-CN"/>
        </w:rPr>
        <w:t>（</w:t>
      </w:r>
      <w:r>
        <w:rPr>
          <w:rFonts w:hint="eastAsia" w:ascii="宋体" w:hAnsi="宋体" w:cs="宋体"/>
          <w:szCs w:val="21"/>
          <w:highlight w:val="none"/>
          <w:lang w:val="en-US" w:eastAsia="zh-CN"/>
        </w:rPr>
        <w:t>以下简称“</w:t>
      </w:r>
      <w:r>
        <w:rPr>
          <w:rFonts w:hint="eastAsia" w:ascii="宋体" w:hAnsi="宋体" w:cs="宋体"/>
          <w:szCs w:val="21"/>
          <w:highlight w:val="none"/>
        </w:rPr>
        <w:t>中国银保监会</w:t>
      </w:r>
      <w:r>
        <w:rPr>
          <w:rFonts w:hint="eastAsia" w:ascii="宋体" w:hAnsi="宋体" w:cs="宋体"/>
          <w:szCs w:val="21"/>
          <w:highlight w:val="none"/>
          <w:lang w:val="en-US" w:eastAsia="zh-CN"/>
        </w:rPr>
        <w:t>”</w:t>
      </w:r>
      <w:r>
        <w:rPr>
          <w:rFonts w:hint="eastAsia" w:ascii="宋体" w:hAnsi="宋体" w:cs="宋体"/>
          <w:szCs w:val="21"/>
          <w:highlight w:val="none"/>
          <w:lang w:eastAsia="zh-CN"/>
        </w:rPr>
        <w:t>）</w:t>
      </w:r>
      <w:r>
        <w:rPr>
          <w:rFonts w:hint="eastAsia" w:ascii="宋体" w:hAnsi="宋体" w:cs="宋体"/>
          <w:szCs w:val="21"/>
          <w:highlight w:val="none"/>
        </w:rPr>
        <w:t>定义的关联方和中国证券监督管理委员会</w:t>
      </w:r>
      <w:r>
        <w:rPr>
          <w:rFonts w:hint="eastAsia" w:ascii="宋体" w:hAnsi="宋体" w:cs="宋体"/>
          <w:szCs w:val="21"/>
          <w:highlight w:val="none"/>
          <w:lang w:eastAsia="zh-CN"/>
        </w:rPr>
        <w:t>（</w:t>
      </w:r>
      <w:r>
        <w:rPr>
          <w:rFonts w:hint="eastAsia" w:ascii="宋体" w:hAnsi="宋体" w:cs="宋体"/>
          <w:szCs w:val="21"/>
          <w:highlight w:val="none"/>
          <w:lang w:val="en-US" w:eastAsia="zh-CN"/>
        </w:rPr>
        <w:t>以下简称“</w:t>
      </w:r>
      <w:r>
        <w:rPr>
          <w:rFonts w:hint="eastAsia" w:ascii="宋体" w:hAnsi="宋体" w:cs="宋体"/>
          <w:szCs w:val="21"/>
          <w:highlight w:val="none"/>
        </w:rPr>
        <w:t>中国证监会</w:t>
      </w:r>
      <w:r>
        <w:rPr>
          <w:rFonts w:hint="eastAsia" w:ascii="宋体" w:hAnsi="宋体" w:cs="宋体"/>
          <w:szCs w:val="21"/>
          <w:highlight w:val="none"/>
          <w:lang w:val="en-US" w:eastAsia="zh-CN"/>
        </w:rPr>
        <w:t>”</w:t>
      </w:r>
      <w:r>
        <w:rPr>
          <w:rFonts w:hint="eastAsia" w:ascii="宋体" w:hAnsi="宋体" w:cs="宋体"/>
          <w:szCs w:val="21"/>
          <w:highlight w:val="none"/>
          <w:lang w:eastAsia="zh-CN"/>
        </w:rPr>
        <w:t>）</w:t>
      </w:r>
      <w:r>
        <w:rPr>
          <w:rFonts w:hint="eastAsia" w:ascii="宋体" w:hAnsi="宋体" w:cs="宋体"/>
          <w:szCs w:val="21"/>
          <w:highlight w:val="none"/>
        </w:rPr>
        <w:t>定义的关联方；</w:t>
      </w:r>
    </w:p>
    <w:p>
      <w:pPr>
        <w:adjustRightInd w:val="0"/>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2.以上预计额度不构成本行对客户的承诺。预计额度内的关联交易实际发生时，将按本行授权制度履行业务风险及关联交易审批程序，实际交易方案以本行有权审批机构出具的书面批复为准；</w:t>
      </w:r>
    </w:p>
    <w:p>
      <w:pPr>
        <w:adjustRightInd w:val="0"/>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3.上述授信类日常关联交易可以滚动发生，任一时点的余额不超过上述预计额度；</w:t>
      </w:r>
    </w:p>
    <w:p>
      <w:pPr>
        <w:adjustRightInd w:val="0"/>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4.本次预计额度的有效期自本行2021年度股东大会审议通过之日起至2022年度股东大会审议通过2023年度日常关联交易预计额度之日止；</w:t>
      </w:r>
    </w:p>
    <w:p>
      <w:pPr>
        <w:adjustRightInd w:val="0"/>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5.上述关联方的预计额度余额合计不超过大额风险暴露制度要求；传统授信包括但不限于贷款、银行承兑汇票、国内信用证等业务；同业交易额度项下仅限于承做由利率债质押的同业业务、深沪证券交易所债券逆回购、银行间市场债券逆回购、利率债债券借贷业务、外汇交易中心即期外汇交易等非敞口业务。</w:t>
      </w:r>
    </w:p>
    <w:p>
      <w:pPr>
        <w:adjustRightInd w:val="0"/>
        <w:snapToGrid w:val="0"/>
        <w:spacing w:line="360" w:lineRule="auto"/>
        <w:ind w:firstLine="420" w:firstLineChars="200"/>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6.本行与平顶山银行股份有限公司、福建七匹狼集团有限公司及其关联方、厦门金圆投资集团有限公司及其关联方上年末关联交易实际执行情况与2022年预计额度存在一定偏离，该情况系以上关联方上年末自有资金充足或上年度授信额度上报时根据关联方上年融资需求对额度做出相应调整导致。</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二、关联方介绍和关联关系</w:t>
      </w:r>
    </w:p>
    <w:p>
      <w:pPr>
        <w:keepNext w:val="0"/>
        <w:keepLines w:val="0"/>
        <w:pageBreakBefore w:val="0"/>
        <w:widowControl w:val="0"/>
        <w:numPr>
          <w:ilvl w:val="0"/>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富邦金融控股股份有限公司（以下简称“富邦金控”）及其关联方</w:t>
      </w:r>
    </w:p>
    <w:p>
      <w:pPr>
        <w:keepNext w:val="0"/>
        <w:keepLines w:val="0"/>
        <w:pageBreakBefore w:val="0"/>
        <w:widowControl w:val="0"/>
        <w:numPr>
          <w:ilvl w:val="1"/>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富邦华一银行有限公司（以下简称“富邦华一银行”）</w:t>
      </w:r>
    </w:p>
    <w:p>
      <w:pPr>
        <w:keepNext w:val="0"/>
        <w:keepLines w:val="0"/>
        <w:pageBreakBefore w:val="0"/>
        <w:widowControl w:val="0"/>
        <w:numPr>
          <w:ilvl w:val="2"/>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基本情况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富邦华一银行成立于1997年3月20日，公司类型为有限责任公司（台港澳合资），法定代表人为马立新，注册地址为中国（上海）自由贸易试验区世纪大道1168号A座101室、18楼、19楼及20楼，经营范围为在下列范围内经营对各类客户的外汇业务和人民币业务：吸收公众存款；发放短期、中期和长期贷款；办理票据承兑与贴现；买卖政府债券、金融债券，买卖股票以外的其他外币有价证券；提供信用证服务及担保；办理国内外结算；买卖、代理买卖外汇；代理保险；从事同业拆借；从事银行卡业务；提供保管箱服务；提供资信调查和咨询服务；经中国银行业监督管理委员会批准的其他业务。【依法须经批准的项目，经相关部门批准后方可开展经营活动】。富邦华一银行注册资本为人民币</w:t>
      </w:r>
      <w:r>
        <w:rPr>
          <w:rFonts w:hint="eastAsia" w:ascii="宋体" w:hAnsi="宋体" w:eastAsia="宋体" w:cs="宋体"/>
          <w:sz w:val="24"/>
          <w:highlight w:val="none"/>
          <w:lang w:val="en-US" w:eastAsia="zh-CN"/>
        </w:rPr>
        <w:t>24.45</w:t>
      </w:r>
      <w:r>
        <w:rPr>
          <w:rFonts w:hint="eastAsia" w:ascii="宋体" w:hAnsi="宋体" w:eastAsia="宋体" w:cs="宋体"/>
          <w:sz w:val="24"/>
          <w:highlight w:val="none"/>
        </w:rPr>
        <w:t>亿元，其中富邦金控持股</w:t>
      </w:r>
      <w:r>
        <w:rPr>
          <w:rFonts w:hint="eastAsia" w:ascii="宋体" w:hAnsi="宋体" w:eastAsia="宋体" w:cs="宋体"/>
          <w:sz w:val="24"/>
          <w:highlight w:val="none"/>
          <w:lang w:val="en-US" w:eastAsia="zh-CN"/>
        </w:rPr>
        <w:t>42.09</w:t>
      </w:r>
      <w:r>
        <w:rPr>
          <w:rFonts w:hint="eastAsia" w:ascii="宋体" w:hAnsi="宋体" w:eastAsia="宋体" w:cs="宋体"/>
          <w:sz w:val="24"/>
          <w:highlight w:val="none"/>
        </w:rPr>
        <w:t>%、台北富邦商业银行股份有限公司（以下简称“台北富邦银行”）持股</w:t>
      </w:r>
      <w:r>
        <w:rPr>
          <w:rFonts w:hint="eastAsia" w:ascii="宋体" w:hAnsi="宋体" w:eastAsia="宋体" w:cs="宋体"/>
          <w:sz w:val="24"/>
          <w:highlight w:val="none"/>
          <w:lang w:val="en-US" w:eastAsia="zh-CN"/>
        </w:rPr>
        <w:t>57.91</w:t>
      </w:r>
      <w:r>
        <w:rPr>
          <w:rFonts w:hint="eastAsia" w:ascii="宋体" w:hAnsi="宋体" w:eastAsia="宋体" w:cs="宋体"/>
          <w:sz w:val="24"/>
          <w:highlight w:val="none"/>
        </w:rPr>
        <w:t>%，台北富邦银行为富邦金控全资子公司。截至2021年9月末，富邦华一银行资产总额1327.55亿元，净资产77.26亿元，实现营业收入35.98亿元，净利润3.80亿元。</w:t>
      </w:r>
    </w:p>
    <w:p>
      <w:pPr>
        <w:keepNext w:val="0"/>
        <w:keepLines w:val="0"/>
        <w:pageBreakBefore w:val="0"/>
        <w:widowControl w:val="0"/>
        <w:numPr>
          <w:ilvl w:val="2"/>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关联关系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b w:val="0"/>
          <w:bCs/>
          <w:sz w:val="24"/>
          <w:highlight w:val="none"/>
        </w:rPr>
        <w:t>富邦华一银行</w:t>
      </w:r>
      <w:r>
        <w:rPr>
          <w:rFonts w:hint="eastAsia" w:ascii="宋体" w:hAnsi="宋体" w:eastAsia="宋体" w:cs="宋体"/>
          <w:sz w:val="24"/>
          <w:highlight w:val="none"/>
        </w:rPr>
        <w:t>为持有本行5%以上股份的股东富邦金控的关联方</w:t>
      </w:r>
      <w:r>
        <w:rPr>
          <w:rFonts w:hint="eastAsia" w:ascii="宋体" w:hAnsi="宋体" w:eastAsia="宋体" w:cs="宋体"/>
          <w:sz w:val="24"/>
          <w:highlight w:val="none"/>
          <w:lang w:eastAsia="zh-CN"/>
        </w:rPr>
        <w:t>，</w:t>
      </w:r>
      <w:r>
        <w:rPr>
          <w:rFonts w:hint="eastAsia" w:ascii="宋体" w:hAnsi="宋体" w:eastAsia="宋体" w:cs="宋体"/>
          <w:sz w:val="24"/>
          <w:highlight w:val="none"/>
        </w:rPr>
        <w:t>符合</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上海证券交易所股票上市规则</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第6.3.3条第四项中规定的关联关系情形、符合</w:t>
      </w:r>
      <w:r>
        <w:rPr>
          <w:rFonts w:hint="eastAsia" w:ascii="宋体" w:hAnsi="宋体" w:eastAsia="宋体" w:cs="宋体"/>
          <w:sz w:val="24"/>
          <w:highlight w:val="none"/>
        </w:rPr>
        <w:t>《银行保险机构关联交易管理办法》第七条第三项中规定的关联关系情形。</w:t>
      </w:r>
    </w:p>
    <w:p>
      <w:pPr>
        <w:keepNext w:val="0"/>
        <w:keepLines w:val="0"/>
        <w:pageBreakBefore w:val="0"/>
        <w:widowControl w:val="0"/>
        <w:numPr>
          <w:ilvl w:val="1"/>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台北富邦商业银行股份有限公司</w:t>
      </w:r>
    </w:p>
    <w:p>
      <w:pPr>
        <w:keepNext w:val="0"/>
        <w:keepLines w:val="0"/>
        <w:pageBreakBefore w:val="0"/>
        <w:widowControl w:val="0"/>
        <w:numPr>
          <w:ilvl w:val="2"/>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基本情况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台北富邦银行为富邦金控全资子公司，由台北银行与富邦银行于2005年1月1日正式整并而成，董事长为陈圣德，地址为台北市中山区中山北路2段50号，主要提供各地法人、个人客户所需之存款、放款、外汇、财富管理、信托、信用卡及电子商务等金融服务。截至2021年9月末，台北富邦银行资产总额（折合人民币，下同）7058.09亿元，净资产514.72亿元，2021年1-9月实现营业收入79.14亿元，净利润33.86亿元。</w:t>
      </w:r>
      <w:r>
        <w:rPr>
          <w:rStyle w:val="18"/>
          <w:rFonts w:hint="eastAsia" w:ascii="宋体" w:hAnsi="宋体" w:eastAsia="宋体" w:cs="宋体"/>
          <w:sz w:val="24"/>
          <w:highlight w:val="none"/>
        </w:rPr>
        <w:footnoteReference w:id="1"/>
      </w:r>
    </w:p>
    <w:p>
      <w:pPr>
        <w:keepNext w:val="0"/>
        <w:keepLines w:val="0"/>
        <w:pageBreakBefore w:val="0"/>
        <w:widowControl w:val="0"/>
        <w:numPr>
          <w:ilvl w:val="2"/>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关联关系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台北富邦银行为持有本行5%以上股份的股东富邦金控的关联方</w:t>
      </w:r>
      <w:r>
        <w:rPr>
          <w:rFonts w:hint="eastAsia" w:ascii="宋体" w:hAnsi="宋体" w:eastAsia="宋体" w:cs="宋体"/>
          <w:sz w:val="24"/>
          <w:highlight w:val="none"/>
          <w:lang w:eastAsia="zh-CN"/>
        </w:rPr>
        <w:t>，</w:t>
      </w:r>
      <w:r>
        <w:rPr>
          <w:rFonts w:hint="eastAsia" w:ascii="宋体" w:hAnsi="宋体" w:eastAsia="宋体" w:cs="宋体"/>
          <w:sz w:val="24"/>
          <w:highlight w:val="none"/>
        </w:rPr>
        <w:t>符合</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上海证券交易所股票上市规则</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第6.3.3条第四项中规定的关联关系情形、</w:t>
      </w:r>
      <w:r>
        <w:rPr>
          <w:rFonts w:hint="eastAsia" w:ascii="宋体" w:hAnsi="宋体" w:eastAsia="宋体" w:cs="宋体"/>
          <w:sz w:val="24"/>
          <w:highlight w:val="none"/>
        </w:rPr>
        <w:t>符合《银行保险机构关联交易管理办法》第七条第三项中规定的关联关系情形。</w:t>
      </w:r>
    </w:p>
    <w:p>
      <w:pPr>
        <w:keepNext w:val="0"/>
        <w:keepLines w:val="0"/>
        <w:pageBreakBefore w:val="0"/>
        <w:widowControl w:val="0"/>
        <w:numPr>
          <w:ilvl w:val="1"/>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富邦银行（香港）有限公司</w:t>
      </w:r>
    </w:p>
    <w:p>
      <w:pPr>
        <w:keepNext w:val="0"/>
        <w:keepLines w:val="0"/>
        <w:pageBreakBefore w:val="0"/>
        <w:widowControl w:val="0"/>
        <w:numPr>
          <w:ilvl w:val="2"/>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基本情况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富邦银行（香港）有限公司是富邦金控的全资子公司，董事长为蔡明忠，地址为香港中环德辅道中38号富邦银行大厦，为客户提供全面的优质银行服务，包括零售及商业银行、财富管理、金融市场、证券及投资服务。截至2021年6月末，富邦银行（香港）有限公司总资产（折合人民币，下同）943.3亿元，净资产120.83亿元，2021年1-6月实现营业收入7.04亿元，净利润1.65亿元。</w:t>
      </w:r>
      <w:r>
        <w:rPr>
          <w:rStyle w:val="18"/>
          <w:rFonts w:hint="eastAsia" w:ascii="宋体" w:hAnsi="宋体" w:eastAsia="宋体" w:cs="宋体"/>
          <w:sz w:val="24"/>
          <w:highlight w:val="none"/>
        </w:rPr>
        <w:footnoteReference w:id="2"/>
      </w:r>
    </w:p>
    <w:p>
      <w:pPr>
        <w:keepNext w:val="0"/>
        <w:keepLines w:val="0"/>
        <w:pageBreakBefore w:val="0"/>
        <w:widowControl w:val="0"/>
        <w:numPr>
          <w:ilvl w:val="2"/>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关联关系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富邦银行（香港）有限公司为持有本行5%以上股份的股东富邦金控的关联方</w:t>
      </w:r>
      <w:r>
        <w:rPr>
          <w:rFonts w:hint="eastAsia" w:ascii="宋体" w:hAnsi="宋体" w:eastAsia="宋体" w:cs="宋体"/>
          <w:sz w:val="24"/>
          <w:highlight w:val="none"/>
          <w:lang w:eastAsia="zh-CN"/>
        </w:rPr>
        <w:t>，</w:t>
      </w:r>
      <w:r>
        <w:rPr>
          <w:rFonts w:hint="eastAsia" w:ascii="宋体" w:hAnsi="宋体" w:eastAsia="宋体" w:cs="宋体"/>
          <w:sz w:val="24"/>
          <w:highlight w:val="none"/>
        </w:rPr>
        <w:t>符合</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上海证券交易所股票上市规则</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第6.3.3条第四项中规定的关联关系情形、</w:t>
      </w:r>
      <w:r>
        <w:rPr>
          <w:rFonts w:hint="eastAsia" w:ascii="宋体" w:hAnsi="宋体" w:eastAsia="宋体" w:cs="宋体"/>
          <w:sz w:val="24"/>
          <w:highlight w:val="none"/>
        </w:rPr>
        <w:t>符合《银行保险机构关联交易管理办法》第七条第三项中规定的关联关系情形。</w:t>
      </w:r>
    </w:p>
    <w:p>
      <w:pPr>
        <w:keepNext w:val="0"/>
        <w:keepLines w:val="0"/>
        <w:pageBreakBefore w:val="0"/>
        <w:widowControl w:val="0"/>
        <w:numPr>
          <w:ilvl w:val="1"/>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日盛国际商业银行股份有限公司</w:t>
      </w:r>
    </w:p>
    <w:p>
      <w:pPr>
        <w:keepNext w:val="0"/>
        <w:keepLines w:val="0"/>
        <w:pageBreakBefore w:val="0"/>
        <w:widowControl w:val="0"/>
        <w:numPr>
          <w:ilvl w:val="2"/>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基本情况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日盛国际商业银行股份有限公司成立于1992年3月，法定代表人为郭倍廷，注册资本为192.48亿新台币，注册地址为台北市中正区重庆南路1段10号1楼，经营范围为：（1）收受支票存款，（2）收受活期存款，（3）收受定期存款，（4）发行金融债券</w:t>
      </w:r>
      <w:r>
        <w:rPr>
          <w:rFonts w:hint="eastAsia" w:ascii="宋体" w:hAnsi="宋体" w:eastAsia="宋体" w:cs="宋体"/>
          <w:sz w:val="24"/>
          <w:highlight w:val="none"/>
          <w:lang w:eastAsia="zh-CN"/>
        </w:rPr>
        <w:t>，</w:t>
      </w:r>
      <w:r>
        <w:rPr>
          <w:rFonts w:hint="eastAsia" w:ascii="宋体" w:hAnsi="宋体" w:eastAsia="宋体" w:cs="宋体"/>
          <w:sz w:val="24"/>
          <w:highlight w:val="none"/>
        </w:rPr>
        <w:t>（5）办理短期、中期及长期放款</w:t>
      </w:r>
      <w:r>
        <w:rPr>
          <w:rFonts w:hint="eastAsia" w:ascii="宋体" w:hAnsi="宋体" w:eastAsia="宋体" w:cs="宋体"/>
          <w:sz w:val="24"/>
          <w:highlight w:val="none"/>
          <w:lang w:eastAsia="zh-CN"/>
        </w:rPr>
        <w:t>，</w:t>
      </w:r>
      <w:r>
        <w:rPr>
          <w:rFonts w:hint="eastAsia" w:ascii="宋体" w:hAnsi="宋体" w:eastAsia="宋体" w:cs="宋体"/>
          <w:sz w:val="24"/>
          <w:highlight w:val="none"/>
        </w:rPr>
        <w:t>（6）办理票据贴现</w:t>
      </w:r>
      <w:r>
        <w:rPr>
          <w:rFonts w:hint="eastAsia" w:ascii="宋体" w:hAnsi="宋体" w:eastAsia="宋体" w:cs="宋体"/>
          <w:sz w:val="24"/>
          <w:highlight w:val="none"/>
          <w:lang w:eastAsia="zh-CN"/>
        </w:rPr>
        <w:t>，</w:t>
      </w:r>
      <w:r>
        <w:rPr>
          <w:rFonts w:hint="eastAsia" w:ascii="宋体" w:hAnsi="宋体" w:eastAsia="宋体" w:cs="宋体"/>
          <w:sz w:val="24"/>
          <w:highlight w:val="none"/>
        </w:rPr>
        <w:t>（7）投资公债、短期票券、公司债券、金融债券及公司股票</w:t>
      </w:r>
      <w:r>
        <w:rPr>
          <w:rFonts w:hint="eastAsia" w:ascii="宋体" w:hAnsi="宋体" w:eastAsia="宋体" w:cs="宋体"/>
          <w:sz w:val="24"/>
          <w:highlight w:val="none"/>
          <w:lang w:eastAsia="zh-CN"/>
        </w:rPr>
        <w:t>，</w:t>
      </w:r>
      <w:r>
        <w:rPr>
          <w:rFonts w:hint="eastAsia" w:ascii="宋体" w:hAnsi="宋体" w:eastAsia="宋体" w:cs="宋体"/>
          <w:sz w:val="24"/>
          <w:highlight w:val="none"/>
        </w:rPr>
        <w:t>（8）办理国内外汇兑</w:t>
      </w:r>
      <w:r>
        <w:rPr>
          <w:rFonts w:hint="eastAsia" w:ascii="宋体" w:hAnsi="宋体" w:eastAsia="宋体" w:cs="宋体"/>
          <w:sz w:val="24"/>
          <w:highlight w:val="none"/>
          <w:lang w:eastAsia="zh-CN"/>
        </w:rPr>
        <w:t>，</w:t>
      </w:r>
      <w:r>
        <w:rPr>
          <w:rFonts w:hint="eastAsia" w:ascii="宋体" w:hAnsi="宋体" w:eastAsia="宋体" w:cs="宋体"/>
          <w:sz w:val="24"/>
          <w:highlight w:val="none"/>
        </w:rPr>
        <w:t>（9）办理商业汇票之承兑</w:t>
      </w:r>
      <w:r>
        <w:rPr>
          <w:rFonts w:hint="eastAsia" w:ascii="宋体" w:hAnsi="宋体" w:eastAsia="宋体" w:cs="宋体"/>
          <w:sz w:val="24"/>
          <w:highlight w:val="none"/>
          <w:lang w:eastAsia="zh-CN"/>
        </w:rPr>
        <w:t>，</w:t>
      </w:r>
      <w:r>
        <w:rPr>
          <w:rFonts w:hint="eastAsia" w:ascii="宋体" w:hAnsi="宋体" w:eastAsia="宋体" w:cs="宋体"/>
          <w:sz w:val="24"/>
          <w:highlight w:val="none"/>
        </w:rPr>
        <w:t>（10）签发国内外信用状</w:t>
      </w:r>
      <w:r>
        <w:rPr>
          <w:rFonts w:hint="eastAsia" w:ascii="宋体" w:hAnsi="宋体" w:eastAsia="宋体" w:cs="宋体"/>
          <w:sz w:val="24"/>
          <w:highlight w:val="none"/>
          <w:lang w:eastAsia="zh-CN"/>
        </w:rPr>
        <w:t>，</w:t>
      </w:r>
      <w:r>
        <w:rPr>
          <w:rFonts w:hint="eastAsia" w:ascii="宋体" w:hAnsi="宋体" w:eastAsia="宋体" w:cs="宋体"/>
          <w:sz w:val="24"/>
          <w:highlight w:val="none"/>
        </w:rPr>
        <w:t>（11）保证发行公司债券</w:t>
      </w:r>
      <w:r>
        <w:rPr>
          <w:rFonts w:hint="eastAsia" w:ascii="宋体" w:hAnsi="宋体" w:eastAsia="宋体" w:cs="宋体"/>
          <w:sz w:val="24"/>
          <w:highlight w:val="none"/>
          <w:lang w:eastAsia="zh-CN"/>
        </w:rPr>
        <w:t>，</w:t>
      </w:r>
      <w:r>
        <w:rPr>
          <w:rFonts w:hint="eastAsia" w:ascii="宋体" w:hAnsi="宋体" w:eastAsia="宋体" w:cs="宋体"/>
          <w:sz w:val="24"/>
          <w:highlight w:val="none"/>
        </w:rPr>
        <w:t>（12）办理国内外保证业务，(13)代理收付款项，(14)代销公债、国库券、公司债券及公司股票，(15)办理与前列各款业务有关之仓库、保管及代理服务业务，(16)经中央主管机关核准办理之其他有关业务。截至2021年9月末，日盛国际商业银行股份有限公司合并报表总资产（折合人民币，下同）646.65亿元，所有者权益合计54.34亿元，2021年1-9月实现营业收入6.98亿元，实现净利润1.46亿元。</w:t>
      </w:r>
      <w:r>
        <w:rPr>
          <w:rStyle w:val="18"/>
          <w:rFonts w:hint="eastAsia" w:ascii="宋体" w:hAnsi="宋体" w:eastAsia="宋体" w:cs="宋体"/>
          <w:sz w:val="24"/>
          <w:highlight w:val="none"/>
        </w:rPr>
        <w:footnoteReference w:id="3"/>
      </w:r>
    </w:p>
    <w:p>
      <w:pPr>
        <w:keepNext w:val="0"/>
        <w:keepLines w:val="0"/>
        <w:pageBreakBefore w:val="0"/>
        <w:widowControl w:val="0"/>
        <w:numPr>
          <w:ilvl w:val="2"/>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关联关系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日盛国际商业银行股份有限公司为持有本行5%以上股份的股东富邦金控的关联方</w:t>
      </w:r>
      <w:r>
        <w:rPr>
          <w:rStyle w:val="18"/>
          <w:rFonts w:hint="eastAsia" w:ascii="宋体" w:hAnsi="宋体" w:eastAsia="宋体" w:cs="宋体"/>
          <w:sz w:val="24"/>
          <w:highlight w:val="none"/>
        </w:rPr>
        <w:footnoteReference w:id="4"/>
      </w:r>
      <w:r>
        <w:rPr>
          <w:rFonts w:hint="eastAsia" w:ascii="宋体" w:hAnsi="宋体" w:eastAsia="宋体" w:cs="宋体"/>
          <w:sz w:val="24"/>
          <w:highlight w:val="none"/>
          <w:lang w:eastAsia="zh-CN"/>
        </w:rPr>
        <w:t>，</w:t>
      </w:r>
      <w:r>
        <w:rPr>
          <w:rFonts w:hint="eastAsia" w:ascii="宋体" w:hAnsi="宋体" w:eastAsia="宋体" w:cs="宋体"/>
          <w:sz w:val="24"/>
          <w:highlight w:val="none"/>
        </w:rPr>
        <w:t>符合</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上海证券交易所股票上市规则</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第6.3.3条第四项中规定的关联关系情形、</w:t>
      </w:r>
      <w:r>
        <w:rPr>
          <w:rFonts w:hint="eastAsia" w:ascii="宋体" w:hAnsi="宋体" w:eastAsia="宋体" w:cs="宋体"/>
          <w:sz w:val="24"/>
          <w:highlight w:val="none"/>
        </w:rPr>
        <w:t>符合《银行保险机构关联交易管理办法》第七条第三项中规定的关联关系情形。</w:t>
      </w:r>
    </w:p>
    <w:p>
      <w:pPr>
        <w:keepNext w:val="0"/>
        <w:keepLines w:val="0"/>
        <w:pageBreakBefore w:val="0"/>
        <w:widowControl w:val="0"/>
        <w:numPr>
          <w:ilvl w:val="0"/>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平顶山银行股份有限公司</w:t>
      </w:r>
    </w:p>
    <w:p>
      <w:pPr>
        <w:keepNext w:val="0"/>
        <w:keepLines w:val="0"/>
        <w:pageBreakBefore w:val="0"/>
        <w:widowControl w:val="0"/>
        <w:numPr>
          <w:ilvl w:val="2"/>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基本情况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平顶山银行股份有限公司成立于2001年12月31日，法定代表人高永华，注册资本37.33亿元，注册地址位于河南省平顶山市湛河区姚电大道7号，经营范围为吸收公众存款；发放短期、中期和长期贷款；办理国内结算；办理票据承兑与贴现；发行金融债券；代理发行、代理兑付、承销政府债券；买卖政府债券、金融债券；从事同业拆借；代理收付款项及代理保险业务；提供保险箱服务；从事银行卡业务；经国务院银行业监督管理机构批准的其他业务。平顶山银行是经银监会批准的城商行。截至2021年9月末，平顶山银行股份有限公司资产总额1,176.10亿元，净资产101.32亿元，实现净利润2.46亿元。</w:t>
      </w:r>
    </w:p>
    <w:p>
      <w:pPr>
        <w:keepNext w:val="0"/>
        <w:keepLines w:val="0"/>
        <w:pageBreakBefore w:val="0"/>
        <w:widowControl w:val="0"/>
        <w:numPr>
          <w:ilvl w:val="2"/>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关联关系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本行监事吴泉水担任该公司董事</w:t>
      </w:r>
      <w:r>
        <w:rPr>
          <w:rFonts w:hint="eastAsia" w:ascii="宋体" w:hAnsi="宋体" w:eastAsia="宋体" w:cs="宋体"/>
          <w:sz w:val="24"/>
          <w:highlight w:val="none"/>
          <w:lang w:eastAsia="zh-CN"/>
        </w:rPr>
        <w:t>，</w:t>
      </w:r>
      <w:r>
        <w:rPr>
          <w:rFonts w:hint="eastAsia" w:ascii="宋体" w:hAnsi="宋体" w:eastAsia="宋体" w:cs="宋体"/>
          <w:sz w:val="24"/>
          <w:highlight w:val="none"/>
        </w:rPr>
        <w:t>符合《上海证券交易所股票上市规则》第6.3.3条第二款第三项中规定的关联关系情形。</w:t>
      </w:r>
    </w:p>
    <w:p>
      <w:pPr>
        <w:keepNext w:val="0"/>
        <w:keepLines w:val="0"/>
        <w:pageBreakBefore w:val="0"/>
        <w:widowControl w:val="0"/>
        <w:numPr>
          <w:ilvl w:val="0"/>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福建七匹狼集团有限公司及其关联方</w:t>
      </w:r>
    </w:p>
    <w:p>
      <w:pPr>
        <w:keepNext w:val="0"/>
        <w:keepLines w:val="0"/>
        <w:pageBreakBefore w:val="0"/>
        <w:widowControl w:val="0"/>
        <w:numPr>
          <w:ilvl w:val="2"/>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基本情况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福建七匹狼集团有限公司成立于2002年1月18日，</w:t>
      </w:r>
      <w:r>
        <w:rPr>
          <w:rFonts w:hint="eastAsia" w:ascii="宋体" w:hAnsi="宋体" w:eastAsia="宋体" w:cs="宋体"/>
          <w:sz w:val="24"/>
          <w:highlight w:val="none"/>
          <w:lang w:val="en-US" w:eastAsia="zh-CN"/>
        </w:rPr>
        <w:t>公司类型为有限责任公司（自然人投资或控股），</w:t>
      </w:r>
      <w:r>
        <w:rPr>
          <w:rFonts w:hint="eastAsia" w:ascii="宋体" w:hAnsi="宋体" w:eastAsia="宋体" w:cs="宋体"/>
          <w:sz w:val="24"/>
          <w:highlight w:val="none"/>
        </w:rPr>
        <w:t>法定代表人周永伟，注册地址位于金井中兴南路655号。福建七匹狼集团有限公司</w:t>
      </w:r>
      <w:r>
        <w:rPr>
          <w:rFonts w:hint="eastAsia" w:ascii="宋体" w:hAnsi="宋体" w:eastAsia="宋体" w:cs="宋体"/>
          <w:sz w:val="24"/>
          <w:highlight w:val="none"/>
          <w:lang w:val="en-US" w:eastAsia="zh-CN"/>
        </w:rPr>
        <w:t>经营范围为对外投资（国家法律、法规允许的行业及项目的投资）；资产管理；物业管理；供应链管理服务；国内贸易代理服务；实物贵金属销售（不含期货等需经前置许可的项目）；国际货物运输代理；国内货物运输代理；农业机械租赁；建筑工程机械与设备租赁；信息技术咨询服务；批发：纺织品、针织品及原料、服装、鞋帽、五金产品、日用杂品、建材（不含石材及危险化学品）、金属及金属矿（不含危险化学品和监控化学品）、非金属矿及制品（不含危险化学品和监控化学品、不含石材）、化工产品（不含危险化学品和监控化学品）、棉花、麻类、农牧产品（不含禽类）。（依法须经批准的项目，经相关部门批准后方可开展经营活动）。</w:t>
      </w:r>
      <w:r>
        <w:rPr>
          <w:rFonts w:hint="eastAsia" w:ascii="宋体" w:hAnsi="宋体" w:eastAsia="宋体" w:cs="宋体"/>
          <w:sz w:val="24"/>
          <w:highlight w:val="none"/>
        </w:rPr>
        <w:t>福建七匹狼集团有限公司</w:t>
      </w:r>
      <w:r>
        <w:rPr>
          <w:rFonts w:hint="eastAsia" w:ascii="宋体" w:hAnsi="宋体" w:eastAsia="宋体" w:cs="宋体"/>
          <w:sz w:val="24"/>
          <w:highlight w:val="none"/>
          <w:lang w:val="en-US" w:eastAsia="zh-CN"/>
        </w:rPr>
        <w:t>注册资本为15.00亿元，其中周永伟持股37.82%、周少雄持股31.09%、周少明持股31.09%。</w:t>
      </w:r>
      <w:r>
        <w:rPr>
          <w:rFonts w:hint="eastAsia" w:ascii="宋体" w:hAnsi="宋体" w:eastAsia="宋体" w:cs="宋体"/>
          <w:sz w:val="24"/>
          <w:highlight w:val="none"/>
        </w:rPr>
        <w:t>截至2021年9月末，福建七匹狼集团有限公司资产总额289.74亿元，净资产147.01亿元，实现营业收入38.71亿元，净利润3.51亿元。</w:t>
      </w:r>
    </w:p>
    <w:p>
      <w:pPr>
        <w:keepNext w:val="0"/>
        <w:keepLines w:val="0"/>
        <w:pageBreakBefore w:val="0"/>
        <w:widowControl w:val="0"/>
        <w:numPr>
          <w:ilvl w:val="2"/>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关联关系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福建七匹狼集团有限公司为持有本行5%以上股份的股东，本行董事周永伟先生为该集团董事长</w:t>
      </w:r>
      <w:r>
        <w:rPr>
          <w:rFonts w:hint="eastAsia" w:ascii="宋体" w:hAnsi="宋体" w:eastAsia="宋体" w:cs="宋体"/>
          <w:sz w:val="24"/>
          <w:highlight w:val="none"/>
          <w:lang w:eastAsia="zh-CN"/>
        </w:rPr>
        <w:t>，</w:t>
      </w:r>
      <w:r>
        <w:rPr>
          <w:rFonts w:hint="eastAsia" w:ascii="宋体" w:hAnsi="宋体" w:eastAsia="宋体" w:cs="宋体"/>
          <w:sz w:val="24"/>
          <w:highlight w:val="none"/>
        </w:rPr>
        <w:t>符合《上海证券交易所股票上市规则》第6.3.3条第二款第三项、第四项中规定的关联关系情形。</w:t>
      </w:r>
    </w:p>
    <w:p>
      <w:pPr>
        <w:keepNext w:val="0"/>
        <w:keepLines w:val="0"/>
        <w:pageBreakBefore w:val="0"/>
        <w:widowControl w:val="0"/>
        <w:numPr>
          <w:ilvl w:val="0"/>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大洲控股集团有限公司及其关联方</w:t>
      </w:r>
    </w:p>
    <w:p>
      <w:pPr>
        <w:keepNext w:val="0"/>
        <w:keepLines w:val="0"/>
        <w:pageBreakBefore w:val="0"/>
        <w:widowControl w:val="0"/>
        <w:numPr>
          <w:ilvl w:val="2"/>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基本情况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lang w:val="zh-CN"/>
        </w:rPr>
      </w:pPr>
      <w:r>
        <w:rPr>
          <w:rFonts w:hint="eastAsia" w:ascii="宋体" w:hAnsi="宋体" w:eastAsia="宋体" w:cs="宋体"/>
          <w:sz w:val="24"/>
          <w:highlight w:val="none"/>
        </w:rPr>
        <w:t>大洲控股集团有限公司成立于1997年3月10日，</w:t>
      </w:r>
      <w:r>
        <w:rPr>
          <w:rFonts w:hint="eastAsia" w:ascii="宋体" w:hAnsi="宋体" w:eastAsia="宋体" w:cs="宋体"/>
          <w:sz w:val="24"/>
          <w:highlight w:val="none"/>
          <w:lang w:val="en-US" w:eastAsia="zh-CN"/>
        </w:rPr>
        <w:t>公司类型为有限责任公司（自然人投资或控股），</w:t>
      </w:r>
      <w:r>
        <w:rPr>
          <w:rFonts w:hint="eastAsia" w:ascii="宋体" w:hAnsi="宋体" w:eastAsia="宋体" w:cs="宋体"/>
          <w:sz w:val="24"/>
          <w:highlight w:val="none"/>
        </w:rPr>
        <w:t>法定代表人为陈铁铭</w:t>
      </w:r>
      <w:r>
        <w:rPr>
          <w:rFonts w:hint="eastAsia" w:ascii="宋体" w:hAnsi="宋体" w:eastAsia="宋体" w:cs="宋体"/>
          <w:sz w:val="24"/>
          <w:highlight w:val="none"/>
          <w:lang w:eastAsia="zh-CN"/>
        </w:rPr>
        <w:t>，</w:t>
      </w:r>
      <w:r>
        <w:rPr>
          <w:rFonts w:hint="eastAsia" w:ascii="宋体" w:hAnsi="宋体" w:eastAsia="宋体" w:cs="宋体"/>
          <w:sz w:val="24"/>
          <w:highlight w:val="none"/>
        </w:rPr>
        <w:t>注册地址位于厦门市思明区鹭江道2号厦门第一广场28层01</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经营范围为一般项目：以自有资金从事投资活动；自有资金投资的资产管理服务；信息咨询服务（不含许可类信息咨询服务）；物业管理；农村民间工艺及制品、休闲农业和乡村旅游资源的开发经营；金属材料销售；金属制品销售；金属矿石销售；矿山机械销售。（除依法须经批准的项目外，凭营业执照依法自主开展经营活动）。</w:t>
      </w:r>
      <w:r>
        <w:rPr>
          <w:rFonts w:hint="eastAsia" w:ascii="宋体" w:hAnsi="宋体" w:eastAsia="宋体" w:cs="宋体"/>
          <w:sz w:val="24"/>
          <w:highlight w:val="none"/>
        </w:rPr>
        <w:t>大洲控股集团有限公司</w:t>
      </w:r>
      <w:r>
        <w:rPr>
          <w:rFonts w:hint="eastAsia" w:ascii="宋体" w:hAnsi="宋体" w:eastAsia="宋体" w:cs="宋体"/>
          <w:sz w:val="24"/>
          <w:highlight w:val="none"/>
          <w:lang w:val="en-US" w:eastAsia="zh-CN"/>
        </w:rPr>
        <w:t>注册资本11.8亿元，其中厦门港润投资管理有限公司持股53.14%、陈铁铭持股46.86%。</w:t>
      </w:r>
      <w:r>
        <w:rPr>
          <w:rFonts w:hint="eastAsia" w:ascii="宋体" w:hAnsi="宋体" w:eastAsia="宋体" w:cs="宋体"/>
          <w:sz w:val="24"/>
          <w:highlight w:val="none"/>
          <w:lang w:val="zh-CN"/>
        </w:rPr>
        <w:t>截至</w:t>
      </w:r>
      <w:r>
        <w:rPr>
          <w:rFonts w:hint="eastAsia" w:ascii="宋体" w:hAnsi="宋体" w:eastAsia="宋体" w:cs="宋体"/>
          <w:sz w:val="24"/>
          <w:highlight w:val="none"/>
        </w:rPr>
        <w:t>2021年9月末</w:t>
      </w:r>
      <w:r>
        <w:rPr>
          <w:rFonts w:hint="eastAsia" w:ascii="宋体" w:hAnsi="宋体" w:eastAsia="宋体" w:cs="宋体"/>
          <w:sz w:val="24"/>
          <w:highlight w:val="none"/>
          <w:lang w:val="zh-CN"/>
        </w:rPr>
        <w:t>，</w:t>
      </w:r>
      <w:r>
        <w:rPr>
          <w:rFonts w:hint="eastAsia" w:ascii="宋体" w:hAnsi="宋体" w:eastAsia="宋体" w:cs="宋体"/>
          <w:sz w:val="24"/>
          <w:highlight w:val="none"/>
        </w:rPr>
        <w:t>大洲控股集团有限公司（本部）</w:t>
      </w:r>
      <w:r>
        <w:rPr>
          <w:rFonts w:hint="eastAsia" w:ascii="宋体" w:hAnsi="宋体" w:eastAsia="宋体" w:cs="宋体"/>
          <w:sz w:val="24"/>
          <w:highlight w:val="none"/>
          <w:lang w:val="zh-CN"/>
        </w:rPr>
        <w:t>总资产</w:t>
      </w:r>
      <w:r>
        <w:rPr>
          <w:rFonts w:hint="eastAsia" w:ascii="宋体" w:hAnsi="宋体" w:eastAsia="宋体" w:cs="宋体"/>
          <w:sz w:val="24"/>
          <w:highlight w:val="none"/>
        </w:rPr>
        <w:t>14.78</w:t>
      </w:r>
      <w:r>
        <w:rPr>
          <w:rFonts w:hint="eastAsia" w:ascii="宋体" w:hAnsi="宋体" w:eastAsia="宋体" w:cs="宋体"/>
          <w:sz w:val="24"/>
          <w:highlight w:val="none"/>
          <w:lang w:val="zh-CN"/>
        </w:rPr>
        <w:t>亿元，净资产</w:t>
      </w:r>
      <w:r>
        <w:rPr>
          <w:rFonts w:hint="eastAsia" w:ascii="宋体" w:hAnsi="宋体" w:eastAsia="宋体" w:cs="宋体"/>
          <w:sz w:val="24"/>
          <w:highlight w:val="none"/>
        </w:rPr>
        <w:t>12.80</w:t>
      </w:r>
      <w:r>
        <w:rPr>
          <w:rFonts w:hint="eastAsia" w:ascii="宋体" w:hAnsi="宋体" w:eastAsia="宋体" w:cs="宋体"/>
          <w:sz w:val="24"/>
          <w:highlight w:val="none"/>
          <w:lang w:val="zh-CN"/>
        </w:rPr>
        <w:t>亿元，实现营业收入</w:t>
      </w:r>
      <w:r>
        <w:rPr>
          <w:rFonts w:hint="eastAsia" w:ascii="宋体" w:hAnsi="宋体" w:eastAsia="宋体" w:cs="宋体"/>
          <w:sz w:val="24"/>
          <w:highlight w:val="none"/>
        </w:rPr>
        <w:t>0.003</w:t>
      </w:r>
      <w:r>
        <w:rPr>
          <w:rFonts w:hint="eastAsia" w:ascii="宋体" w:hAnsi="宋体" w:eastAsia="宋体" w:cs="宋体"/>
          <w:sz w:val="24"/>
          <w:highlight w:val="none"/>
          <w:lang w:val="zh-CN"/>
        </w:rPr>
        <w:t>亿元，净利润</w:t>
      </w:r>
      <w:r>
        <w:rPr>
          <w:rFonts w:hint="eastAsia" w:ascii="宋体" w:hAnsi="宋体" w:eastAsia="宋体" w:cs="宋体"/>
          <w:sz w:val="24"/>
          <w:highlight w:val="none"/>
        </w:rPr>
        <w:t>0.08</w:t>
      </w:r>
      <w:r>
        <w:rPr>
          <w:rFonts w:hint="eastAsia" w:ascii="宋体" w:hAnsi="宋体" w:eastAsia="宋体" w:cs="宋体"/>
          <w:sz w:val="24"/>
          <w:highlight w:val="none"/>
          <w:lang w:val="zh-CN"/>
        </w:rPr>
        <w:t>亿元。</w:t>
      </w:r>
    </w:p>
    <w:p>
      <w:pPr>
        <w:keepNext w:val="0"/>
        <w:keepLines w:val="0"/>
        <w:pageBreakBefore w:val="0"/>
        <w:widowControl w:val="0"/>
        <w:numPr>
          <w:ilvl w:val="2"/>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关联关系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大洲控股集团有限公司为本行监事陈铁铭先生实际控制的企业，且截至2022年3月31日，该公司持有本行3.79%股份</w:t>
      </w:r>
      <w:r>
        <w:rPr>
          <w:rFonts w:hint="eastAsia" w:ascii="宋体" w:hAnsi="宋体" w:eastAsia="宋体" w:cs="宋体"/>
          <w:sz w:val="24"/>
          <w:highlight w:val="none"/>
          <w:lang w:eastAsia="zh-CN"/>
        </w:rPr>
        <w:t>，</w:t>
      </w:r>
      <w:r>
        <w:rPr>
          <w:rFonts w:hint="eastAsia" w:ascii="宋体" w:hAnsi="宋体" w:eastAsia="宋体" w:cs="宋体"/>
          <w:sz w:val="24"/>
          <w:highlight w:val="none"/>
        </w:rPr>
        <w:t>符合《上海证券交易所股票上市规则》第6.3.3条第二款第三项中规定的关联关系情形。</w:t>
      </w:r>
    </w:p>
    <w:p>
      <w:pPr>
        <w:keepNext w:val="0"/>
        <w:keepLines w:val="0"/>
        <w:pageBreakBefore w:val="0"/>
        <w:widowControl w:val="0"/>
        <w:numPr>
          <w:ilvl w:val="0"/>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厦门金圆投资集团有限公司及其关联方</w:t>
      </w:r>
    </w:p>
    <w:p>
      <w:pPr>
        <w:keepNext w:val="0"/>
        <w:keepLines w:val="0"/>
        <w:pageBreakBefore w:val="0"/>
        <w:widowControl w:val="0"/>
        <w:numPr>
          <w:ilvl w:val="2"/>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基本情况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厦门金圆投资集团有限公司</w:t>
      </w:r>
      <w:r>
        <w:rPr>
          <w:rFonts w:hint="eastAsia" w:ascii="宋体" w:hAnsi="宋体" w:eastAsia="宋体" w:cs="宋体"/>
          <w:sz w:val="24"/>
          <w:highlight w:val="none"/>
          <w:lang w:val="en-US" w:eastAsia="zh-CN"/>
        </w:rPr>
        <w:t>为</w:t>
      </w:r>
      <w:r>
        <w:rPr>
          <w:rFonts w:hint="eastAsia" w:ascii="宋体" w:hAnsi="宋体" w:eastAsia="宋体" w:cs="宋体"/>
          <w:sz w:val="24"/>
          <w:highlight w:val="none"/>
        </w:rPr>
        <w:t>国有企业，</w:t>
      </w:r>
      <w:r>
        <w:rPr>
          <w:rFonts w:hint="eastAsia" w:ascii="宋体" w:hAnsi="宋体" w:eastAsia="宋体" w:cs="宋体"/>
          <w:sz w:val="24"/>
          <w:highlight w:val="none"/>
          <w:lang w:eastAsia="zh-CN"/>
        </w:rPr>
        <w:t>成立于</w:t>
      </w:r>
      <w:r>
        <w:rPr>
          <w:rFonts w:hint="eastAsia" w:ascii="宋体" w:hAnsi="宋体" w:eastAsia="宋体" w:cs="宋体"/>
          <w:sz w:val="24"/>
          <w:highlight w:val="none"/>
          <w:lang w:val="en-US" w:eastAsia="zh-CN"/>
        </w:rPr>
        <w:t>2011年7月13日，</w:t>
      </w:r>
      <w:r>
        <w:rPr>
          <w:rFonts w:hint="eastAsia" w:ascii="宋体" w:hAnsi="宋体" w:eastAsia="宋体" w:cs="宋体"/>
          <w:sz w:val="24"/>
          <w:highlight w:val="none"/>
        </w:rPr>
        <w:t>是厦门市财政局的全资子公司，</w:t>
      </w:r>
      <w:r>
        <w:rPr>
          <w:rFonts w:hint="eastAsia" w:ascii="宋体" w:hAnsi="宋体" w:eastAsia="宋体" w:cs="宋体"/>
          <w:sz w:val="24"/>
          <w:highlight w:val="none"/>
          <w:lang w:eastAsia="zh-CN"/>
        </w:rPr>
        <w:t>注册地址为思明区展鸿路</w:t>
      </w:r>
      <w:r>
        <w:rPr>
          <w:rFonts w:hint="eastAsia" w:ascii="宋体" w:hAnsi="宋体" w:eastAsia="宋体" w:cs="宋体"/>
          <w:sz w:val="24"/>
          <w:highlight w:val="none"/>
          <w:lang w:val="en-US" w:eastAsia="zh-CN"/>
        </w:rPr>
        <w:t>82号厦门国际金融中心46层4610-4620单元，</w:t>
      </w:r>
      <w:r>
        <w:rPr>
          <w:rFonts w:hint="eastAsia" w:ascii="宋体" w:hAnsi="宋体" w:eastAsia="宋体" w:cs="宋体"/>
          <w:sz w:val="24"/>
          <w:highlight w:val="none"/>
        </w:rPr>
        <w:t>法定代表人檀庄龙，注册资本</w:t>
      </w:r>
      <w:r>
        <w:rPr>
          <w:rFonts w:hint="eastAsia" w:ascii="宋体" w:hAnsi="宋体" w:eastAsia="宋体" w:cs="宋体"/>
          <w:sz w:val="24"/>
          <w:highlight w:val="none"/>
          <w:lang w:val="en-US" w:eastAsia="zh-CN"/>
        </w:rPr>
        <w:t>216.11</w:t>
      </w:r>
      <w:r>
        <w:rPr>
          <w:rFonts w:hint="eastAsia" w:ascii="宋体" w:hAnsi="宋体" w:eastAsia="宋体" w:cs="宋体"/>
          <w:sz w:val="24"/>
          <w:highlight w:val="none"/>
        </w:rPr>
        <w:t>亿元，主营业务包括</w:t>
      </w:r>
      <w:r>
        <w:rPr>
          <w:rFonts w:hint="eastAsia" w:ascii="宋体" w:hAnsi="宋体" w:eastAsia="宋体" w:cs="宋体"/>
          <w:sz w:val="24"/>
          <w:highlight w:val="none"/>
          <w:lang w:val="en-US" w:eastAsia="zh-CN"/>
        </w:rPr>
        <w:t>1、对金融、工业、文化、服务、信息等行业的投资于运营；2、产业投资、股权投资的管理与运营；3、土地综合开发与运营、房地产开发运营等</w:t>
      </w:r>
      <w:r>
        <w:rPr>
          <w:rFonts w:hint="eastAsia" w:ascii="宋体" w:hAnsi="宋体" w:eastAsia="宋体" w:cs="宋体"/>
          <w:sz w:val="24"/>
          <w:highlight w:val="none"/>
        </w:rPr>
        <w:t>。截至202</w:t>
      </w:r>
      <w:r>
        <w:rPr>
          <w:rFonts w:hint="eastAsia" w:ascii="宋体" w:hAnsi="宋体" w:eastAsia="宋体" w:cs="宋体"/>
          <w:sz w:val="24"/>
          <w:highlight w:val="none"/>
          <w:lang w:val="en-US" w:eastAsia="zh-CN"/>
        </w:rPr>
        <w:t>1</w:t>
      </w:r>
      <w:r>
        <w:rPr>
          <w:rFonts w:hint="eastAsia" w:ascii="宋体" w:hAnsi="宋体" w:eastAsia="宋体" w:cs="宋体"/>
          <w:sz w:val="24"/>
          <w:highlight w:val="none"/>
        </w:rPr>
        <w:t>年</w:t>
      </w:r>
      <w:r>
        <w:rPr>
          <w:rFonts w:hint="eastAsia" w:ascii="宋体" w:hAnsi="宋体" w:eastAsia="宋体" w:cs="宋体"/>
          <w:sz w:val="24"/>
          <w:highlight w:val="none"/>
          <w:lang w:val="en-US" w:eastAsia="zh-CN"/>
        </w:rPr>
        <w:t>12</w:t>
      </w:r>
      <w:r>
        <w:rPr>
          <w:rFonts w:hint="eastAsia" w:ascii="宋体" w:hAnsi="宋体" w:eastAsia="宋体" w:cs="宋体"/>
          <w:sz w:val="24"/>
          <w:highlight w:val="none"/>
        </w:rPr>
        <w:t>月末，厦门金圆投资集团有限公司资产总额</w:t>
      </w:r>
      <w:r>
        <w:rPr>
          <w:rFonts w:hint="eastAsia" w:ascii="宋体" w:hAnsi="宋体" w:eastAsia="宋体" w:cs="宋体"/>
          <w:sz w:val="24"/>
          <w:highlight w:val="none"/>
          <w:lang w:val="en-US" w:eastAsia="zh-CN"/>
        </w:rPr>
        <w:t>595.15</w:t>
      </w:r>
      <w:r>
        <w:rPr>
          <w:rFonts w:hint="eastAsia" w:ascii="宋体" w:hAnsi="宋体" w:eastAsia="宋体" w:cs="宋体"/>
          <w:sz w:val="24"/>
          <w:highlight w:val="none"/>
        </w:rPr>
        <w:t>亿元，净资产31</w:t>
      </w:r>
      <w:r>
        <w:rPr>
          <w:rFonts w:hint="eastAsia" w:ascii="宋体" w:hAnsi="宋体" w:eastAsia="宋体" w:cs="宋体"/>
          <w:sz w:val="24"/>
          <w:highlight w:val="none"/>
          <w:lang w:val="en-US" w:eastAsia="zh-CN"/>
        </w:rPr>
        <w:t>9.25</w:t>
      </w:r>
      <w:r>
        <w:rPr>
          <w:rFonts w:hint="eastAsia" w:ascii="宋体" w:hAnsi="宋体" w:eastAsia="宋体" w:cs="宋体"/>
          <w:sz w:val="24"/>
          <w:highlight w:val="none"/>
        </w:rPr>
        <w:t>亿元，实现营业收入</w:t>
      </w:r>
      <w:r>
        <w:rPr>
          <w:rFonts w:hint="eastAsia" w:ascii="宋体" w:hAnsi="宋体" w:eastAsia="宋体" w:cs="宋体"/>
          <w:sz w:val="24"/>
          <w:highlight w:val="none"/>
          <w:lang w:val="en-US" w:eastAsia="zh-CN"/>
        </w:rPr>
        <w:t>92.29</w:t>
      </w:r>
      <w:r>
        <w:rPr>
          <w:rFonts w:hint="eastAsia" w:ascii="宋体" w:hAnsi="宋体" w:eastAsia="宋体" w:cs="宋体"/>
          <w:sz w:val="24"/>
          <w:highlight w:val="none"/>
        </w:rPr>
        <w:t>亿元，净利润</w:t>
      </w:r>
      <w:r>
        <w:rPr>
          <w:rFonts w:hint="eastAsia" w:ascii="宋体" w:hAnsi="宋体" w:eastAsia="宋体" w:cs="宋体"/>
          <w:sz w:val="24"/>
          <w:highlight w:val="none"/>
          <w:lang w:val="en-US" w:eastAsia="zh-CN"/>
        </w:rPr>
        <w:t>13</w:t>
      </w:r>
      <w:r>
        <w:rPr>
          <w:rFonts w:hint="eastAsia" w:ascii="宋体" w:hAnsi="宋体" w:eastAsia="宋体" w:cs="宋体"/>
          <w:sz w:val="24"/>
          <w:highlight w:val="none"/>
        </w:rPr>
        <w:t>亿元。</w:t>
      </w:r>
    </w:p>
    <w:p>
      <w:pPr>
        <w:keepNext w:val="0"/>
        <w:keepLines w:val="0"/>
        <w:pageBreakBefore w:val="0"/>
        <w:widowControl w:val="0"/>
        <w:numPr>
          <w:ilvl w:val="2"/>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关联关系</w:t>
      </w:r>
    </w:p>
    <w:p>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厦门金圆投资集团有限公司董事长檀庄龙先生为本行董事。符合《上海证券交易所股票上市规则》第6.3.3条第二款第三项中规定的关联关系情形。</w:t>
      </w:r>
    </w:p>
    <w:p>
      <w:pPr>
        <w:keepNext w:val="0"/>
        <w:keepLines w:val="0"/>
        <w:pageBreakBefore w:val="0"/>
        <w:widowControl w:val="0"/>
        <w:numPr>
          <w:ilvl w:val="0"/>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泉舜集团有限公司及其关联方</w:t>
      </w:r>
    </w:p>
    <w:p>
      <w:pPr>
        <w:keepNext w:val="0"/>
        <w:keepLines w:val="0"/>
        <w:pageBreakBefore w:val="0"/>
        <w:widowControl w:val="0"/>
        <w:numPr>
          <w:ilvl w:val="2"/>
          <w:numId w:val="13"/>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基本情况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FF0000"/>
          <w:sz w:val="24"/>
          <w:highlight w:val="none"/>
        </w:rPr>
      </w:pPr>
      <w:r>
        <w:rPr>
          <w:rFonts w:hint="eastAsia" w:ascii="宋体" w:hAnsi="宋体" w:eastAsia="宋体" w:cs="宋体"/>
          <w:sz w:val="24"/>
          <w:highlight w:val="none"/>
        </w:rPr>
        <w:t>泉舜集团有限公司成立于1998年3月6日，</w:t>
      </w:r>
      <w:r>
        <w:rPr>
          <w:rFonts w:hint="eastAsia" w:ascii="宋体" w:hAnsi="宋体" w:eastAsia="宋体" w:cs="宋体"/>
          <w:sz w:val="24"/>
          <w:highlight w:val="none"/>
          <w:lang w:val="en-US" w:eastAsia="zh-CN"/>
        </w:rPr>
        <w:t>公司类型为有限责任公司（港澳台法人独资），</w:t>
      </w:r>
      <w:r>
        <w:rPr>
          <w:rFonts w:hint="eastAsia" w:ascii="宋体" w:hAnsi="宋体" w:eastAsia="宋体" w:cs="宋体"/>
          <w:sz w:val="24"/>
          <w:highlight w:val="none"/>
        </w:rPr>
        <w:t>法定代表人吴泉水，</w:t>
      </w:r>
      <w:r>
        <w:rPr>
          <w:rFonts w:hint="eastAsia" w:ascii="宋体" w:hAnsi="宋体" w:eastAsia="宋体" w:cs="宋体"/>
          <w:sz w:val="24"/>
          <w:highlight w:val="none"/>
          <w:lang w:val="en-US" w:eastAsia="zh-CN"/>
        </w:rPr>
        <w:t>注册地址为：经营范围为社会经济咨询、企业管理咨询、投资咨询（法律法规另有规定除外）、信息技术咨询服务；软件开发；办公服务；贸易代理；谷物、豆及薯类批发；饲料批发；棉、麻批发；林业产品批发；其他农牧产品批发；果品批发；蔬菜批发；肉、禽、蛋批发；水产品批发；纺织品、针织品及原料批发；服装批发；鞋帽批发；化妆品及卫生用品批发；厨房、卫生间用具及日用杂货批发；灯具、装饰物品批发；家用电器批发；其他家庭用品批发；文具用品批发；体育用品及器材批发（不含弩）；首饰、工艺品及收藏品批发(不含文物)；其他文化用品批发；第一类医疗器械批发；煤炭及制品批发（不含危险化学品和监控化学品）；石油制品批发（不含成品油、危险化学品和监控化学品）；非金属矿及制品批发（不含危险化学品和监控化学品）；金属及金属矿批发（不含危险化学品和监控化学品）；建材批发；化肥批发；农药批发（不含危险化学品和监控化学品及非药品类易制毒化学品）；农用薄膜批发；其他化工产品批发（不含危险化学品和监控化学品）；农业机械批发；汽车零配件批发；摩托车零配件批发；五金产品批发；电气设备批发；计算机、软件及辅助设备批发；通讯及广播电视设备批发；其他机械设备及电子产品批发；经营各类商品和技术的进出口（不另附进出口商品目录），但国家限定公司经营或禁止进出口的商品及技术除外；其他未列明批发业（不含需经许可审批的经营项目及外商投资产业指导目录的限制类、禁止类项目）。</w:t>
      </w:r>
      <w:r>
        <w:rPr>
          <w:rFonts w:hint="eastAsia" w:ascii="宋体" w:hAnsi="宋体" w:eastAsia="宋体" w:cs="宋体"/>
          <w:sz w:val="24"/>
          <w:highlight w:val="none"/>
        </w:rPr>
        <w:t>泉舜集团有限公司</w:t>
      </w:r>
      <w:r>
        <w:rPr>
          <w:rFonts w:hint="eastAsia" w:ascii="宋体" w:hAnsi="宋体" w:eastAsia="宋体" w:cs="宋体"/>
          <w:sz w:val="24"/>
          <w:highlight w:val="none"/>
          <w:lang w:val="en-US" w:eastAsia="zh-CN"/>
        </w:rPr>
        <w:t>注册资本5600万人民币，其中泉舜集团（香港）控股有限公司持股100%。注册地址为厦门市湖里区枋湖北二路1521号8-9层。</w:t>
      </w:r>
      <w:r>
        <w:rPr>
          <w:rFonts w:hint="eastAsia" w:ascii="宋体" w:hAnsi="宋体" w:eastAsia="宋体" w:cs="宋体"/>
          <w:sz w:val="24"/>
          <w:highlight w:val="none"/>
        </w:rPr>
        <w:t>截至2021年9月，泉舜集团总资产75.67亿元，净资产30.25亿元，实现营业收入39.36亿元，净利润3.89亿元。</w:t>
      </w:r>
    </w:p>
    <w:p>
      <w:pPr>
        <w:keepNext w:val="0"/>
        <w:keepLines w:val="0"/>
        <w:pageBreakBefore w:val="0"/>
        <w:widowControl w:val="0"/>
        <w:numPr>
          <w:ilvl w:val="2"/>
          <w:numId w:val="13"/>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关联关系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本行监事吴泉水先生为泉舜集团有限公司董事长兼总经理</w:t>
      </w:r>
      <w:r>
        <w:rPr>
          <w:rFonts w:hint="eastAsia" w:ascii="宋体" w:hAnsi="宋体" w:eastAsia="宋体" w:cs="宋体"/>
          <w:sz w:val="24"/>
          <w:highlight w:val="none"/>
          <w:lang w:eastAsia="zh-CN"/>
        </w:rPr>
        <w:t>，</w:t>
      </w:r>
      <w:r>
        <w:rPr>
          <w:rFonts w:hint="eastAsia" w:ascii="宋体" w:hAnsi="宋体" w:eastAsia="宋体" w:cs="宋体"/>
          <w:sz w:val="24"/>
          <w:highlight w:val="none"/>
        </w:rPr>
        <w:t>符合《上海证券交易所股票上市规则》第6.3.3条第二款第三项中规定的关联关系情形。</w:t>
      </w:r>
    </w:p>
    <w:p>
      <w:pPr>
        <w:keepNext w:val="0"/>
        <w:keepLines w:val="0"/>
        <w:pageBreakBefore w:val="0"/>
        <w:widowControl w:val="0"/>
        <w:numPr>
          <w:ilvl w:val="0"/>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东江环保股份有限公司</w:t>
      </w:r>
    </w:p>
    <w:p>
      <w:pPr>
        <w:keepNext w:val="0"/>
        <w:keepLines w:val="0"/>
        <w:pageBreakBefore w:val="0"/>
        <w:widowControl w:val="0"/>
        <w:numPr>
          <w:ilvl w:val="2"/>
          <w:numId w:val="14"/>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基本情况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东江环保股份有限公司为深交所中小板上市公司，成立于1999年9月16日，</w:t>
      </w:r>
      <w:r>
        <w:rPr>
          <w:rFonts w:hint="eastAsia" w:ascii="宋体" w:hAnsi="宋体" w:eastAsia="宋体" w:cs="宋体"/>
          <w:sz w:val="24"/>
          <w:highlight w:val="none"/>
          <w:lang w:val="en-US" w:eastAsia="zh-CN"/>
        </w:rPr>
        <w:t>公司类型为股份有限公司，</w:t>
      </w:r>
      <w:r>
        <w:rPr>
          <w:rFonts w:hint="eastAsia" w:ascii="宋体" w:hAnsi="宋体" w:eastAsia="宋体" w:cs="宋体"/>
          <w:sz w:val="24"/>
          <w:highlight w:val="none"/>
        </w:rPr>
        <w:t>法定代表人谭侃，注册地址为深圳市南山区高新区北区朗山路9号东江环保大楼1楼、3楼、8楼北面、9-12楼。东江环保股份有限公司经营范围主要为一般经营项目是：废物的处置及综合利用(执照另行申办）；废水、废气、噪声的治理；环境保护设施的设计、建设及运营；化工产品的销售（危险品取得经营许可证后方可经营）；环保材料、环保再生产品、环保设备的生产与购销（生产场所营业执照另行申办）环保新产品、新技术的开发、推广及应用；兴办实业（具体项目另行申报）；从事货物、技术进出口业务（不含分销、国家专营专控商品）；物业租赁；沼气等生物质发电。截至2021年9月末，东江环保股份有限公司资产总额115.64亿元，净资产55.77亿元；实现营业收入26.42亿元，净利润1.72亿元。</w:t>
      </w:r>
    </w:p>
    <w:p>
      <w:pPr>
        <w:keepNext w:val="0"/>
        <w:keepLines w:val="0"/>
        <w:pageBreakBefore w:val="0"/>
        <w:widowControl w:val="0"/>
        <w:numPr>
          <w:ilvl w:val="2"/>
          <w:numId w:val="14"/>
        </w:numPr>
        <w:kinsoku/>
        <w:wordWrap/>
        <w:overflowPunct/>
        <w:topLinePunct w:val="0"/>
        <w:autoSpaceDE/>
        <w:autoSpaceDN/>
        <w:bidi w:val="0"/>
        <w:adjustRightInd w:val="0"/>
        <w:snapToGrid w:val="0"/>
        <w:spacing w:line="360" w:lineRule="auto"/>
        <w:ind w:left="0"/>
        <w:textAlignment w:val="auto"/>
        <w:rPr>
          <w:rFonts w:hint="eastAsia" w:ascii="宋体" w:hAnsi="宋体" w:eastAsia="宋体" w:cs="宋体"/>
          <w:sz w:val="24"/>
          <w:highlight w:val="none"/>
        </w:rPr>
      </w:pPr>
      <w:r>
        <w:rPr>
          <w:rFonts w:hint="eastAsia" w:ascii="宋体" w:hAnsi="宋体" w:eastAsia="宋体" w:cs="宋体"/>
          <w:sz w:val="24"/>
          <w:highlight w:val="none"/>
        </w:rPr>
        <w:t>关联关系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东江环保股份有限公司为公司主要股东佛山电器照明股份有限公司的关联方</w:t>
      </w:r>
      <w:r>
        <w:rPr>
          <w:rFonts w:hint="eastAsia" w:ascii="宋体" w:hAnsi="宋体" w:eastAsia="宋体" w:cs="宋体"/>
          <w:sz w:val="24"/>
          <w:highlight w:val="none"/>
          <w:lang w:eastAsia="zh-CN"/>
        </w:rPr>
        <w:t>，</w:t>
      </w:r>
      <w:r>
        <w:rPr>
          <w:rFonts w:hint="eastAsia" w:ascii="宋体" w:hAnsi="宋体" w:eastAsia="宋体" w:cs="宋体"/>
          <w:sz w:val="24"/>
          <w:highlight w:val="none"/>
        </w:rPr>
        <w:t>符合《银行保险机构关联交易管理办法》第七条第三项中规定的关联关系情形。</w:t>
      </w:r>
    </w:p>
    <w:p>
      <w:pPr>
        <w:keepNext w:val="0"/>
        <w:keepLines w:val="0"/>
        <w:pageBreakBefore w:val="0"/>
        <w:widowControl w:val="0"/>
        <w:numPr>
          <w:ilvl w:val="0"/>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福建海西金融租赁有限责任公司</w:t>
      </w:r>
    </w:p>
    <w:p>
      <w:pPr>
        <w:keepNext w:val="0"/>
        <w:keepLines w:val="0"/>
        <w:pageBreakBefore w:val="0"/>
        <w:widowControl w:val="0"/>
        <w:numPr>
          <w:ilvl w:val="2"/>
          <w:numId w:val="15"/>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基本情况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福建海西金融租赁有限责任公司成立于2016年9月9日，</w:t>
      </w:r>
      <w:r>
        <w:rPr>
          <w:rFonts w:hint="eastAsia" w:ascii="宋体" w:hAnsi="宋体" w:eastAsia="宋体" w:cs="宋体"/>
          <w:sz w:val="24"/>
          <w:highlight w:val="none"/>
          <w:lang w:val="en-US" w:eastAsia="zh-CN"/>
        </w:rPr>
        <w:t>公司类型为其他有限责任公司，</w:t>
      </w:r>
      <w:r>
        <w:rPr>
          <w:rFonts w:hint="eastAsia" w:ascii="宋体" w:hAnsi="宋体" w:eastAsia="宋体" w:cs="宋体"/>
          <w:sz w:val="24"/>
          <w:highlight w:val="none"/>
        </w:rPr>
        <w:t>法定代表人为潘青松，注册地址为福建省泉州市丰泽区湖心街474号5楼。福建海西金融租赁有限责任公司</w:t>
      </w:r>
      <w:r>
        <w:rPr>
          <w:rFonts w:hint="eastAsia" w:ascii="宋体" w:hAnsi="宋体" w:eastAsia="宋体" w:cs="宋体"/>
          <w:sz w:val="24"/>
          <w:highlight w:val="none"/>
          <w:lang w:val="en-US" w:eastAsia="zh-CN"/>
        </w:rPr>
        <w:t>经营范围为融资租赁业务；转让和受让融资租赁资产；固定收益类证券投资业务；接受承租人的租赁保证金；吸收非银行股东3个月（含）以上定期存款；同业拆借；向金融机构借款；境外借款；租赁物变卖及处理业务；经济咨询；经银监会批准的其他业务。（依法须经批准的项目，经相关部门批准后方可开展经营活动）。</w:t>
      </w:r>
      <w:r>
        <w:rPr>
          <w:rFonts w:hint="eastAsia" w:ascii="宋体" w:hAnsi="宋体" w:eastAsia="宋体" w:cs="宋体"/>
          <w:sz w:val="24"/>
          <w:highlight w:val="none"/>
        </w:rPr>
        <w:t>福建海西金融租赁有限责任公司</w:t>
      </w:r>
      <w:r>
        <w:rPr>
          <w:rFonts w:hint="eastAsia" w:ascii="宋体" w:hAnsi="宋体" w:eastAsia="宋体" w:cs="宋体"/>
          <w:sz w:val="24"/>
          <w:highlight w:val="none"/>
          <w:lang w:val="en-US" w:eastAsia="zh-CN"/>
        </w:rPr>
        <w:t>注册资本12亿元，其中厦门银行股份有限公司持股69.75%、石狮市城市建设有限公司持股23.25%、</w:t>
      </w:r>
      <w:r>
        <w:rPr>
          <w:rFonts w:hint="eastAsia" w:ascii="宋体" w:hAnsi="宋体" w:eastAsia="宋体" w:cs="宋体"/>
          <w:sz w:val="24"/>
          <w:highlight w:val="none"/>
        </w:rPr>
        <w:t>福建晋工机械有限公司持股4.0833%、福建省铁拓机械股份有限公司持股2.9167%</w:t>
      </w:r>
      <w:r>
        <w:rPr>
          <w:rFonts w:hint="eastAsia" w:ascii="宋体" w:hAnsi="宋体" w:eastAsia="宋体" w:cs="宋体"/>
          <w:sz w:val="24"/>
          <w:highlight w:val="none"/>
          <w:lang w:val="en-US" w:eastAsia="zh-CN"/>
        </w:rPr>
        <w:t>。</w:t>
      </w:r>
      <w:r>
        <w:rPr>
          <w:rFonts w:hint="eastAsia" w:ascii="宋体" w:hAnsi="宋体" w:eastAsia="宋体" w:cs="宋体"/>
          <w:sz w:val="24"/>
          <w:highlight w:val="none"/>
        </w:rPr>
        <w:t>截至2021年9月末，福建海西金融租赁有限责任公司资产总额105.49亿元，净资产16.19亿元，实现营业收入2.75亿元，净利润0.86亿元。</w:t>
      </w:r>
    </w:p>
    <w:p>
      <w:pPr>
        <w:keepNext w:val="0"/>
        <w:keepLines w:val="0"/>
        <w:pageBreakBefore w:val="0"/>
        <w:widowControl w:val="0"/>
        <w:numPr>
          <w:ilvl w:val="2"/>
          <w:numId w:val="15"/>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关联关系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福建海西金融租赁有限责任公司为本行持有66%股份的控股子公司</w:t>
      </w:r>
      <w:r>
        <w:rPr>
          <w:rFonts w:hint="eastAsia" w:ascii="宋体" w:hAnsi="宋体" w:eastAsia="宋体" w:cs="宋体"/>
          <w:sz w:val="24"/>
          <w:highlight w:val="none"/>
          <w:lang w:eastAsia="zh-CN"/>
        </w:rPr>
        <w:t>，</w:t>
      </w:r>
      <w:r>
        <w:rPr>
          <w:rFonts w:hint="eastAsia" w:ascii="宋体" w:hAnsi="宋体" w:eastAsia="宋体" w:cs="宋体"/>
          <w:sz w:val="24"/>
          <w:highlight w:val="none"/>
        </w:rPr>
        <w:t>符合《银行保险机构关联交易管理办法》第七条第四项中规定的关联关系情形。</w:t>
      </w:r>
    </w:p>
    <w:p>
      <w:pPr>
        <w:keepNext w:val="0"/>
        <w:keepLines w:val="0"/>
        <w:pageBreakBefore w:val="0"/>
        <w:widowControl w:val="0"/>
        <w:numPr>
          <w:ilvl w:val="0"/>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厦门国有资本运营有限责任公司及其关联方</w:t>
      </w:r>
    </w:p>
    <w:p>
      <w:pPr>
        <w:keepNext w:val="0"/>
        <w:keepLines w:val="0"/>
        <w:pageBreakBefore w:val="0"/>
        <w:widowControl w:val="0"/>
        <w:numPr>
          <w:ilvl w:val="2"/>
          <w:numId w:val="16"/>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基本情况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厦门国有资本运营有限责任公司成立于2018年12月，</w:t>
      </w:r>
      <w:r>
        <w:rPr>
          <w:rFonts w:hint="eastAsia" w:ascii="宋体" w:hAnsi="宋体" w:eastAsia="宋体" w:cs="宋体"/>
          <w:sz w:val="24"/>
          <w:highlight w:val="none"/>
          <w:lang w:val="en-US" w:eastAsia="zh-CN"/>
        </w:rPr>
        <w:t>公司类型为有限责任公司（国有独资），</w:t>
      </w:r>
      <w:r>
        <w:rPr>
          <w:rFonts w:hint="eastAsia" w:ascii="宋体" w:hAnsi="宋体" w:eastAsia="宋体" w:cs="宋体"/>
          <w:sz w:val="24"/>
          <w:highlight w:val="none"/>
        </w:rPr>
        <w:t>法定代表人为张立勇，注册地址为中国(福建)自由贸易试验区厦门片区同益路9号地产大厦第6层。厦门国有运营有限责任公司经营范围主要为对第一产业、第二产业、第三产业的投资（法律、法规另有规定除外）；依法从事对非公开交易的企业股权进行投资以及相关咨询服务；投资管理（法律、法规另有规定除外）。厦门国有资本运营有限责任公司</w:t>
      </w:r>
      <w:r>
        <w:rPr>
          <w:rFonts w:hint="eastAsia" w:ascii="宋体" w:hAnsi="宋体" w:eastAsia="宋体" w:cs="宋体"/>
          <w:sz w:val="24"/>
          <w:highlight w:val="none"/>
          <w:lang w:val="en-US" w:eastAsia="zh-CN"/>
        </w:rPr>
        <w:t>注册资本2亿元，其中厦门市人民政府国有资产监督管理委员会持股100%。</w:t>
      </w:r>
      <w:r>
        <w:rPr>
          <w:rFonts w:hint="eastAsia" w:ascii="宋体" w:hAnsi="宋体" w:eastAsia="宋体" w:cs="宋体"/>
          <w:sz w:val="24"/>
          <w:highlight w:val="none"/>
        </w:rPr>
        <w:t>截至2021年9月末合并数据，厦门国有资本运营有限责任公司资产总额102.91亿元，净资产69.53亿元，实现营业收入9.01亿元，净利润0.8亿元。</w:t>
      </w:r>
    </w:p>
    <w:p>
      <w:pPr>
        <w:keepNext w:val="0"/>
        <w:keepLines w:val="0"/>
        <w:pageBreakBefore w:val="0"/>
        <w:widowControl w:val="0"/>
        <w:numPr>
          <w:ilvl w:val="2"/>
          <w:numId w:val="16"/>
        </w:numPr>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highlight w:val="none"/>
        </w:rPr>
      </w:pPr>
      <w:r>
        <w:rPr>
          <w:rFonts w:hint="eastAsia" w:ascii="宋体" w:hAnsi="宋体" w:eastAsia="宋体" w:cs="宋体"/>
          <w:sz w:val="24"/>
          <w:highlight w:val="none"/>
        </w:rPr>
        <w:t>关联关系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厦门国有资本运营有限责任公司为公司主要股东厦门海润通资产管理有限公司关联方。符合《银行保险机构关联交易管理办法》第七条第三项中规定的关联关系情形。</w:t>
      </w:r>
    </w:p>
    <w:p>
      <w:pPr>
        <w:keepNext w:val="0"/>
        <w:keepLines w:val="0"/>
        <w:pageBreakBefore w:val="0"/>
        <w:widowControl w:val="0"/>
        <w:numPr>
          <w:ilvl w:val="0"/>
          <w:numId w:val="12"/>
        </w:numPr>
        <w:kinsoku/>
        <w:wordWrap/>
        <w:overflowPunct/>
        <w:topLinePunct w:val="0"/>
        <w:autoSpaceDE/>
        <w:autoSpaceDN/>
        <w:bidi w:val="0"/>
        <w:adjustRightInd w:val="0"/>
        <w:snapToGrid w:val="0"/>
        <w:spacing w:line="360" w:lineRule="auto"/>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关联自然人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本行关联自然人包括中国银保监会定义的关联自然人和中国证监会定义的关联自然人，具体如下：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《银行保险机构关联交易管理办法》定义的关联自然人：</w:t>
      </w:r>
    </w:p>
    <w:p>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lang w:val="en-US" w:eastAsia="zh-CN"/>
        </w:rPr>
        <w:t>1.</w:t>
      </w:r>
      <w:r>
        <w:rPr>
          <w:rFonts w:hint="eastAsia" w:ascii="宋体" w:hAnsi="宋体" w:eastAsia="宋体" w:cs="宋体"/>
          <w:sz w:val="24"/>
          <w:highlight w:val="none"/>
        </w:rPr>
        <w:t>银行保险机构的自然人控股股东、实际控制人，及其一致行动人、最终受益人；</w:t>
      </w:r>
    </w:p>
    <w:p>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lang w:val="en-US" w:eastAsia="zh-CN"/>
        </w:rPr>
        <w:t>2.</w:t>
      </w:r>
      <w:r>
        <w:rPr>
          <w:rFonts w:hint="eastAsia" w:ascii="宋体" w:hAnsi="宋体" w:eastAsia="宋体" w:cs="宋体"/>
          <w:sz w:val="24"/>
          <w:highlight w:val="none"/>
        </w:rPr>
        <w:t>持有或控制银行保险机构5%以上股权的，或持股不足5%但对银行保险机构经营管理有重大影响的自然人；</w:t>
      </w:r>
    </w:p>
    <w:p>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lang w:val="en-US" w:eastAsia="zh-CN"/>
        </w:rPr>
        <w:t>3.</w:t>
      </w:r>
      <w:r>
        <w:rPr>
          <w:rFonts w:hint="eastAsia" w:ascii="宋体" w:hAnsi="宋体" w:eastAsia="宋体" w:cs="宋体"/>
          <w:sz w:val="24"/>
          <w:highlight w:val="none"/>
        </w:rPr>
        <w:t>银行保险机构的董事、监事、总行（总公司）和重要分行（分公司）的高级管理人员，以及具有大额授信、资产转移、保险资金运用等核心业务审批或决策权的人员；</w:t>
      </w:r>
    </w:p>
    <w:p>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lang w:val="en-US" w:eastAsia="zh-CN"/>
        </w:rPr>
        <w:t>4.</w:t>
      </w:r>
      <w:r>
        <w:rPr>
          <w:rFonts w:hint="eastAsia" w:ascii="宋体" w:hAnsi="宋体" w:eastAsia="宋体" w:cs="宋体"/>
          <w:sz w:val="24"/>
          <w:highlight w:val="none"/>
        </w:rPr>
        <w:t>上述第1项、第2项和第3项所列关联方的配偶、父母、成年子女及兄弟姐妹；</w:t>
      </w:r>
    </w:p>
    <w:p>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lang w:val="en-US" w:eastAsia="zh-CN"/>
        </w:rPr>
        <w:t>5.</w:t>
      </w:r>
      <w:r>
        <w:rPr>
          <w:rFonts w:hint="eastAsia" w:ascii="宋体" w:hAnsi="宋体" w:eastAsia="宋体" w:cs="宋体"/>
          <w:sz w:val="24"/>
          <w:highlight w:val="none"/>
        </w:rPr>
        <w:t>以下关联方的董事、监事、高级管理人员：</w:t>
      </w:r>
    </w:p>
    <w:p>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1</w:t>
      </w:r>
      <w:r>
        <w:rPr>
          <w:rFonts w:hint="eastAsia" w:ascii="宋体" w:hAnsi="宋体" w:eastAsia="宋体" w:cs="宋体"/>
          <w:sz w:val="24"/>
          <w:highlight w:val="none"/>
          <w:lang w:eastAsia="zh-CN"/>
        </w:rPr>
        <w:t>）</w:t>
      </w:r>
      <w:r>
        <w:rPr>
          <w:rFonts w:hint="eastAsia" w:ascii="宋体" w:hAnsi="宋体" w:eastAsia="宋体" w:cs="宋体"/>
          <w:sz w:val="24"/>
          <w:highlight w:val="none"/>
        </w:rPr>
        <w:t>银行保险机构的法人控股股东、实际控制人，及其一致行动人、最终受益人；</w:t>
      </w:r>
    </w:p>
    <w:p>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2</w:t>
      </w:r>
      <w:r>
        <w:rPr>
          <w:rFonts w:hint="eastAsia" w:ascii="宋体" w:hAnsi="宋体" w:eastAsia="宋体" w:cs="宋体"/>
          <w:sz w:val="24"/>
          <w:highlight w:val="none"/>
          <w:lang w:eastAsia="zh-CN"/>
        </w:rPr>
        <w:t>）</w:t>
      </w:r>
      <w:r>
        <w:rPr>
          <w:rFonts w:hint="eastAsia" w:ascii="宋体" w:hAnsi="宋体" w:eastAsia="宋体" w:cs="宋体"/>
          <w:sz w:val="24"/>
          <w:highlight w:val="none"/>
        </w:rPr>
        <w:t>持有或控制银行保险机构5%以上股权的，或者持股不足5%但对银行保险机构经营管理有重大影响的法人或非法人组织，及其控股股东、实际控制人、一致行动人、最终受益人；</w:t>
      </w:r>
    </w:p>
    <w:p>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lang w:val="en-US" w:eastAsia="zh-CN"/>
        </w:rPr>
        <w:t>6.</w:t>
      </w:r>
      <w:r>
        <w:rPr>
          <w:rFonts w:hint="eastAsia" w:ascii="宋体" w:hAnsi="宋体" w:eastAsia="宋体" w:cs="宋体"/>
          <w:sz w:val="24"/>
          <w:highlight w:val="none"/>
        </w:rPr>
        <w:t>银行保险机构按照实质重于形式和穿透的原则</w:t>
      </w:r>
      <w:r>
        <w:rPr>
          <w:rFonts w:hint="eastAsia" w:ascii="宋体" w:hAnsi="宋体" w:eastAsia="宋体" w:cs="宋体"/>
          <w:sz w:val="24"/>
          <w:highlight w:val="none"/>
          <w:lang w:eastAsia="zh-CN"/>
        </w:rPr>
        <w:t>，</w:t>
      </w:r>
      <w:r>
        <w:rPr>
          <w:rFonts w:hint="eastAsia" w:ascii="宋体" w:hAnsi="宋体" w:eastAsia="宋体" w:cs="宋体"/>
          <w:sz w:val="24"/>
          <w:highlight w:val="none"/>
        </w:rPr>
        <w:t>可以认定以下自然人、法人或非法人组织为关联方：</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w:t>
      </w:r>
      <w:r>
        <w:rPr>
          <w:rFonts w:hint="eastAsia" w:ascii="宋体" w:hAnsi="宋体" w:eastAsia="宋体" w:cs="宋体"/>
          <w:sz w:val="24"/>
          <w:highlight w:val="none"/>
          <w:lang w:val="en-US" w:eastAsia="zh-CN"/>
        </w:rPr>
        <w:t>1</w:t>
      </w:r>
      <w:r>
        <w:rPr>
          <w:rFonts w:hint="eastAsia" w:ascii="宋体" w:hAnsi="宋体" w:eastAsia="宋体" w:cs="宋体"/>
          <w:sz w:val="24"/>
          <w:highlight w:val="none"/>
        </w:rPr>
        <w:t>）在过去十二个月内或者根据相关协议安排在未来十二个月内存在本办法第六条、第七条规定情形之一的；</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w:t>
      </w:r>
      <w:r>
        <w:rPr>
          <w:rFonts w:hint="eastAsia" w:ascii="宋体" w:hAnsi="宋体" w:eastAsia="宋体" w:cs="宋体"/>
          <w:sz w:val="24"/>
          <w:highlight w:val="none"/>
          <w:lang w:val="en-US" w:eastAsia="zh-CN"/>
        </w:rPr>
        <w:t>2</w:t>
      </w:r>
      <w:r>
        <w:rPr>
          <w:rFonts w:hint="eastAsia" w:ascii="宋体" w:hAnsi="宋体" w:eastAsia="宋体" w:cs="宋体"/>
          <w:sz w:val="24"/>
          <w:highlight w:val="none"/>
        </w:rPr>
        <w:t>）本办法第六条第（一）至（三）项所列关联方的其他关系密切的家庭成员；</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w:t>
      </w:r>
      <w:r>
        <w:rPr>
          <w:rFonts w:hint="eastAsia" w:ascii="宋体" w:hAnsi="宋体" w:eastAsia="宋体" w:cs="宋体"/>
          <w:sz w:val="24"/>
          <w:highlight w:val="none"/>
          <w:lang w:val="en-US" w:eastAsia="zh-CN"/>
        </w:rPr>
        <w:t>3</w:t>
      </w:r>
      <w:r>
        <w:rPr>
          <w:rFonts w:hint="eastAsia" w:ascii="宋体" w:hAnsi="宋体" w:eastAsia="宋体" w:cs="宋体"/>
          <w:sz w:val="24"/>
          <w:highlight w:val="none"/>
        </w:rPr>
        <w:t>）银行保险机构内部工作人员及其控制的法人或其他组织；</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w:t>
      </w:r>
      <w:r>
        <w:rPr>
          <w:rFonts w:hint="eastAsia" w:ascii="宋体" w:hAnsi="宋体" w:eastAsia="宋体" w:cs="宋体"/>
          <w:sz w:val="24"/>
          <w:highlight w:val="none"/>
          <w:lang w:val="en-US" w:eastAsia="zh-CN"/>
        </w:rPr>
        <w:t>4</w:t>
      </w:r>
      <w:r>
        <w:rPr>
          <w:rFonts w:hint="eastAsia" w:ascii="宋体" w:hAnsi="宋体" w:eastAsia="宋体" w:cs="宋体"/>
          <w:sz w:val="24"/>
          <w:highlight w:val="none"/>
        </w:rPr>
        <w:t>）本办法第六条第（二）（三）项，以及第七条第（二）项所列关联方可施加重大影响的法人或非法人组织；</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rPr>
        <w:t>（</w:t>
      </w:r>
      <w:r>
        <w:rPr>
          <w:rFonts w:hint="eastAsia" w:ascii="宋体" w:hAnsi="宋体" w:eastAsia="宋体" w:cs="宋体"/>
          <w:sz w:val="24"/>
          <w:highlight w:val="none"/>
          <w:lang w:val="en-US" w:eastAsia="zh-CN"/>
        </w:rPr>
        <w:t>5</w:t>
      </w:r>
      <w:r>
        <w:rPr>
          <w:rFonts w:hint="eastAsia" w:ascii="宋体" w:hAnsi="宋体" w:eastAsia="宋体" w:cs="宋体"/>
          <w:sz w:val="24"/>
          <w:highlight w:val="none"/>
        </w:rPr>
        <w:t>）对银行保险机构有影响，与银行保险机构发生或可能发生未遵守商业原则、有失公允的交易行为，并可据以从交易中获取利益的自然人、法人或非法人组织。</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《上海证券交易所股票上市规则》定义的关联自然人</w:t>
      </w:r>
      <w:r>
        <w:rPr>
          <w:rFonts w:hint="eastAsia" w:ascii="宋体" w:hAnsi="宋体" w:eastAsia="宋体" w:cs="宋体"/>
          <w:sz w:val="24"/>
          <w:highlight w:val="none"/>
          <w:lang w:eastAsia="zh-CN"/>
        </w:rPr>
        <w:t>：</w:t>
      </w:r>
    </w:p>
    <w:p>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lang w:val="zh-CN"/>
        </w:rPr>
      </w:pPr>
      <w:r>
        <w:rPr>
          <w:rFonts w:hint="eastAsia" w:ascii="宋体" w:hAnsi="宋体" w:eastAsia="宋体" w:cs="宋体"/>
          <w:sz w:val="24"/>
          <w:highlight w:val="none"/>
          <w:lang w:val="en-US" w:eastAsia="zh-CN"/>
        </w:rPr>
        <w:t>1.</w:t>
      </w:r>
      <w:r>
        <w:rPr>
          <w:rFonts w:hint="eastAsia" w:ascii="宋体" w:hAnsi="宋体" w:eastAsia="宋体" w:cs="宋体"/>
          <w:sz w:val="24"/>
          <w:highlight w:val="none"/>
          <w:lang w:val="zh-CN"/>
        </w:rPr>
        <w:t>直接或者间接持有上市公司5%以上股份的自然人；</w:t>
      </w:r>
      <w:bookmarkStart w:id="18" w:name="No641_D2"/>
      <w:bookmarkEnd w:id="18"/>
    </w:p>
    <w:p>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lang w:val="zh-CN"/>
        </w:rPr>
      </w:pPr>
      <w:r>
        <w:rPr>
          <w:rFonts w:hint="eastAsia" w:ascii="宋体" w:hAnsi="宋体" w:eastAsia="宋体" w:cs="宋体"/>
          <w:sz w:val="24"/>
          <w:highlight w:val="none"/>
          <w:lang w:val="en-US" w:eastAsia="zh-CN"/>
        </w:rPr>
        <w:t>2.</w:t>
      </w:r>
      <w:r>
        <w:rPr>
          <w:rFonts w:hint="eastAsia" w:ascii="宋体" w:hAnsi="宋体" w:eastAsia="宋体" w:cs="宋体"/>
          <w:sz w:val="24"/>
          <w:highlight w:val="none"/>
          <w:lang w:val="zh-CN"/>
        </w:rPr>
        <w:t>上市公司董事、监事和高级管理人员；</w:t>
      </w:r>
      <w:bookmarkStart w:id="19" w:name="No642_D3"/>
      <w:bookmarkEnd w:id="19"/>
    </w:p>
    <w:p>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lang w:val="zh-CN"/>
        </w:rPr>
      </w:pPr>
      <w:r>
        <w:rPr>
          <w:rFonts w:hint="eastAsia" w:ascii="宋体" w:hAnsi="宋体" w:eastAsia="宋体" w:cs="宋体"/>
          <w:sz w:val="24"/>
          <w:highlight w:val="none"/>
          <w:lang w:val="en-US" w:eastAsia="zh-CN"/>
        </w:rPr>
        <w:t>3.</w:t>
      </w:r>
      <w:r>
        <w:rPr>
          <w:rFonts w:hint="eastAsia" w:ascii="宋体" w:hAnsi="宋体" w:eastAsia="宋体" w:cs="宋体"/>
          <w:sz w:val="24"/>
          <w:highlight w:val="none"/>
          <w:lang w:val="zh-CN"/>
        </w:rPr>
        <w:t>直接或者间接地控制上市公司的法人（或者其他组织）的董事、监事和高级管理人员；</w:t>
      </w:r>
      <w:bookmarkStart w:id="20" w:name="No643_D4"/>
      <w:bookmarkEnd w:id="20"/>
    </w:p>
    <w:p>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lang w:val="zh-CN"/>
        </w:rPr>
      </w:pPr>
      <w:r>
        <w:rPr>
          <w:rFonts w:hint="eastAsia" w:ascii="宋体" w:hAnsi="宋体" w:eastAsia="宋体" w:cs="宋体"/>
          <w:sz w:val="24"/>
          <w:highlight w:val="none"/>
          <w:lang w:val="en-US" w:eastAsia="zh-CN"/>
        </w:rPr>
        <w:t>4.</w:t>
      </w:r>
      <w:r>
        <w:rPr>
          <w:rFonts w:hint="eastAsia" w:ascii="宋体" w:hAnsi="宋体" w:eastAsia="宋体" w:cs="宋体"/>
          <w:sz w:val="24"/>
          <w:highlight w:val="none"/>
          <w:lang w:val="zh-CN"/>
        </w:rPr>
        <w:t>本款</w:t>
      </w:r>
      <w:r>
        <w:rPr>
          <w:rFonts w:hint="eastAsia" w:ascii="宋体" w:hAnsi="宋体" w:eastAsia="宋体" w:cs="宋体"/>
          <w:sz w:val="24"/>
          <w:highlight w:val="none"/>
        </w:rPr>
        <w:t>1</w:t>
      </w:r>
      <w:r>
        <w:rPr>
          <w:rFonts w:hint="eastAsia" w:ascii="宋体" w:hAnsi="宋体" w:eastAsia="宋体" w:cs="宋体"/>
          <w:sz w:val="24"/>
          <w:highlight w:val="none"/>
          <w:lang w:val="zh-CN"/>
        </w:rPr>
        <w:t>项、第</w:t>
      </w:r>
      <w:r>
        <w:rPr>
          <w:rFonts w:hint="eastAsia" w:ascii="宋体" w:hAnsi="宋体" w:eastAsia="宋体" w:cs="宋体"/>
          <w:sz w:val="24"/>
          <w:highlight w:val="none"/>
        </w:rPr>
        <w:t>2</w:t>
      </w:r>
      <w:r>
        <w:rPr>
          <w:rFonts w:hint="eastAsia" w:ascii="宋体" w:hAnsi="宋体" w:eastAsia="宋体" w:cs="宋体"/>
          <w:sz w:val="24"/>
          <w:highlight w:val="none"/>
          <w:lang w:val="zh-CN"/>
        </w:rPr>
        <w:t>项所述人士的关系密切的家庭成员。</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lang w:val="en-US" w:eastAsia="zh-CN"/>
        </w:rPr>
      </w:pPr>
      <w:bookmarkStart w:id="21" w:name="No644"/>
      <w:bookmarkEnd w:id="21"/>
      <w:r>
        <w:rPr>
          <w:rFonts w:hint="eastAsia" w:ascii="宋体" w:hAnsi="宋体" w:eastAsia="宋体" w:cs="宋体"/>
          <w:sz w:val="24"/>
          <w:highlight w:val="none"/>
          <w:lang w:val="zh-CN"/>
        </w:rPr>
        <w:t>在过去12个月内或者相关协议或者安排生效后的12个月内，</w:t>
      </w:r>
      <w:r>
        <w:rPr>
          <w:rFonts w:hint="eastAsia" w:ascii="宋体" w:hAnsi="宋体" w:eastAsia="宋体" w:cs="宋体"/>
          <w:sz w:val="24"/>
          <w:highlight w:val="none"/>
          <w:lang w:val="en-US" w:eastAsia="zh-CN"/>
        </w:rPr>
        <w:t>符合</w:t>
      </w:r>
      <w:r>
        <w:rPr>
          <w:rFonts w:hint="eastAsia" w:ascii="宋体" w:hAnsi="宋体" w:eastAsia="宋体" w:cs="宋体"/>
          <w:sz w:val="24"/>
          <w:highlight w:val="none"/>
          <w:lang w:val="zh-CN"/>
        </w:rPr>
        <w:t>上述所述情形之一的自然人，为上市公司的关联人。</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三、关联交易主要内容和定价政策</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本行预计的202</w:t>
      </w:r>
      <w:r>
        <w:rPr>
          <w:rFonts w:hint="eastAsia" w:ascii="宋体" w:hAnsi="宋体" w:eastAsia="宋体" w:cs="宋体"/>
          <w:sz w:val="24"/>
          <w:highlight w:val="none"/>
          <w:lang w:val="en-US" w:eastAsia="zh-CN"/>
        </w:rPr>
        <w:t>2</w:t>
      </w:r>
      <w:r>
        <w:rPr>
          <w:rFonts w:hint="eastAsia" w:ascii="宋体" w:hAnsi="宋体" w:eastAsia="宋体" w:cs="宋体"/>
          <w:sz w:val="24"/>
          <w:highlight w:val="none"/>
        </w:rPr>
        <w:t>年度日常关联交易属于正常经营范围内的常规业务。本行实际发生关联交易时按照等价有偿、公允市值的原则定价，以不优于对非关联方同类交易的条件进行。</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四、关联交易目的和对本行的影响</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上述日常关联交易属于本行正常经营范围内的常规业务，有利于充分发挥优质关联方客户资源优势，积极稳妥拓展本行业务。</w:t>
      </w:r>
    </w:p>
    <w:p>
      <w:pPr>
        <w:pStyle w:val="19"/>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highlight w:val="none"/>
        </w:rPr>
        <w:t>本行与关联方之间的交易按照等价有偿、公允市价的原则定价，以不优于对非关联方同类交易的条件进行，不存在利益输送及价格操纵行为，没有损害本行和股东的利益，符合交易管理要求的公允性原则，不会对本行的持续经营能力、损益及资产状况构成不利影响。</w:t>
      </w:r>
    </w:p>
    <w:p>
      <w:pPr>
        <w:pStyle w:val="19"/>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lang w:val="en-US" w:eastAsia="zh-CN"/>
        </w:rPr>
      </w:pPr>
    </w:p>
    <w:p>
      <w:pPr>
        <w:pStyle w:val="19"/>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szCs w:val="20"/>
        </w:rPr>
      </w:pPr>
      <w:r>
        <w:rPr>
          <w:rFonts w:hint="eastAsia" w:ascii="宋体" w:hAnsi="宋体" w:eastAsia="宋体" w:cs="宋体"/>
          <w:sz w:val="24"/>
        </w:rPr>
        <w:t>本议案已经第八届董事会第十九次会议、第八届监事会第十三次会议审议通过，请各位股东审议。</w:t>
      </w:r>
    </w:p>
    <w:p>
      <w:pPr>
        <w:pStyle w:val="7"/>
        <w:keepNext w:val="0"/>
        <w:keepLines w:val="0"/>
        <w:pageBreakBefore w:val="0"/>
        <w:widowControl w:val="0"/>
        <w:kinsoku/>
        <w:wordWrap/>
        <w:overflowPunct/>
        <w:topLinePunct w:val="0"/>
        <w:autoSpaceDE/>
        <w:autoSpaceDN/>
        <w:bidi w:val="0"/>
        <w:snapToGrid w:val="0"/>
        <w:spacing w:line="360" w:lineRule="auto"/>
        <w:ind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厦门银行股份有限公司</w:t>
      </w:r>
    </w:p>
    <w:p>
      <w:pPr>
        <w:pStyle w:val="7"/>
        <w:keepNext w:val="0"/>
        <w:keepLines w:val="0"/>
        <w:pageBreakBefore w:val="0"/>
        <w:widowControl w:val="0"/>
        <w:kinsoku/>
        <w:wordWrap/>
        <w:overflowPunct/>
        <w:topLinePunct w:val="0"/>
        <w:autoSpaceDE/>
        <w:autoSpaceDN/>
        <w:bidi w:val="0"/>
        <w:snapToGrid w:val="0"/>
        <w:spacing w:line="360" w:lineRule="auto"/>
        <w:ind w:firstLine="480" w:firstLineChars="200"/>
        <w:jc w:val="right"/>
        <w:textAlignment w:val="auto"/>
        <w:rPr>
          <w:rFonts w:hint="eastAsia"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2</w:t>
      </w:r>
      <w:r>
        <w:rPr>
          <w:rFonts w:hint="eastAsia" w:ascii="宋体" w:hAnsi="宋体" w:eastAsia="宋体" w:cs="宋体"/>
          <w:sz w:val="24"/>
          <w:szCs w:val="24"/>
        </w:rPr>
        <w:t>年</w:t>
      </w:r>
      <w:r>
        <w:rPr>
          <w:rFonts w:hint="eastAsia" w:ascii="宋体" w:hAnsi="宋体" w:eastAsia="宋体" w:cs="宋体"/>
          <w:sz w:val="24"/>
          <w:szCs w:val="24"/>
          <w:lang w:val="en-US" w:eastAsia="zh-CN"/>
        </w:rPr>
        <w:t>6</w:t>
      </w:r>
      <w:r>
        <w:rPr>
          <w:rFonts w:hint="eastAsia" w:ascii="宋体" w:hAnsi="宋体" w:eastAsia="宋体" w:cs="宋体"/>
          <w:sz w:val="24"/>
          <w:szCs w:val="24"/>
        </w:rPr>
        <w:t>月</w:t>
      </w:r>
      <w:r>
        <w:rPr>
          <w:rFonts w:hint="eastAsia" w:ascii="宋体" w:hAnsi="宋体" w:eastAsia="宋体" w:cs="宋体"/>
          <w:sz w:val="24"/>
          <w:szCs w:val="24"/>
          <w:lang w:val="en-US" w:eastAsia="zh-CN"/>
        </w:rPr>
        <w:t>2</w:t>
      </w:r>
      <w:r>
        <w:rPr>
          <w:rFonts w:hint="eastAsia" w:ascii="宋体" w:hAnsi="宋体" w:eastAsia="宋体" w:cs="宋体"/>
          <w:sz w:val="24"/>
          <w:szCs w:val="24"/>
        </w:rPr>
        <w:t>日</w:t>
      </w:r>
    </w:p>
    <w:p>
      <w:pPr>
        <w:rPr>
          <w:rFonts w:hint="eastAsia" w:hAnsi="宋体" w:eastAsia="宋体" w:cs="宋体"/>
          <w:sz w:val="24"/>
          <w:szCs w:val="24"/>
        </w:rPr>
      </w:pPr>
      <w:r>
        <w:rPr>
          <w:rFonts w:hint="eastAsia" w:hAnsi="宋体" w:eastAsia="宋体" w:cs="宋体"/>
          <w:sz w:val="24"/>
          <w:szCs w:val="24"/>
        </w:rPr>
        <w:br w:type="page"/>
      </w:r>
    </w:p>
    <w:p>
      <w:pPr>
        <w:pStyle w:val="19"/>
      </w:pPr>
    </w:p>
    <w:p>
      <w:pPr>
        <w:spacing w:line="360" w:lineRule="auto"/>
        <w:jc w:val="center"/>
        <w:rPr>
          <w:rFonts w:ascii="宋体" w:hAnsi="宋体" w:eastAsia="宋体" w:cs="宋体"/>
          <w:b/>
          <w:bCs/>
          <w:sz w:val="28"/>
          <w:szCs w:val="36"/>
        </w:rPr>
      </w:pPr>
      <w:r>
        <w:rPr>
          <w:rFonts w:hint="eastAsia" w:ascii="宋体" w:hAnsi="宋体" w:eastAsia="宋体" w:cs="宋体"/>
          <w:b/>
          <w:bCs/>
          <w:color w:val="000000"/>
          <w:sz w:val="30"/>
          <w:szCs w:val="30"/>
        </w:rP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494915" cy="676275"/>
                <wp:effectExtent l="5080" t="4445" r="14605" b="5080"/>
                <wp:wrapNone/>
                <wp:docPr id="6" name="文本框 3"/>
                <wp:cNvGraphicFramePr/>
                <a:graphic xmlns:a="http://schemas.openxmlformats.org/drawingml/2006/main">
                  <a:graphicData uri="http://schemas.microsoft.com/office/word/2010/wordprocessingShape">
                    <wps:wsp>
                      <wps:cNvSpPr txBox="1"/>
                      <wps:spPr>
                        <a:xfrm>
                          <a:off x="0" y="0"/>
                          <a:ext cx="2494915" cy="676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eastAsia" w:ascii="宋体" w:hAnsi="宋体" w:eastAsia="宋体" w:cs="宋体"/>
                                <w:lang w:eastAsia="zh-CN"/>
                              </w:rPr>
                            </w:pPr>
                            <w:r>
                              <w:rPr>
                                <w:rFonts w:hint="eastAsia" w:ascii="宋体" w:hAnsi="宋体" w:eastAsia="宋体" w:cs="宋体"/>
                              </w:rPr>
                              <w:t>议案</w:t>
                            </w:r>
                            <w:r>
                              <w:rPr>
                                <w:rFonts w:hint="eastAsia" w:ascii="宋体" w:hAnsi="宋体" w:eastAsia="宋体" w:cs="宋体"/>
                                <w:lang w:val="en-US" w:eastAsia="zh-CN"/>
                              </w:rPr>
                              <w:t>7</w:t>
                            </w:r>
                          </w:p>
                        </w:txbxContent>
                      </wps:txbx>
                      <wps:bodyPr wrap="square" upright="1"/>
                    </wps:wsp>
                  </a:graphicData>
                </a:graphic>
              </wp:anchor>
            </w:drawing>
          </mc:Choice>
          <mc:Fallback>
            <w:pict>
              <v:shape id="文本框 3" o:spid="_x0000_s1026" o:spt="202" type="#_x0000_t202" style="position:absolute;left:0pt;margin-left:0pt;margin-top:0pt;height:53.25pt;width:196.45pt;z-index:251666432;mso-width-relative:page;mso-height-relative:page;" fillcolor="#FFFFFF" filled="t" stroked="t" coordsize="21600,21600" o:gfxdata="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hXBbWAAAABQEAAA8AAAAAAAAAAQAgAAAAIgAAAGRycy9kb3ducmV2Lnht&#10;bFBLAQIUABQAAAAIAIdO4kCgDw0w+wEAAPYDAAAOAAAAAAAAAAEAIAAAACUBAABkcnMvZTJvRG9j&#10;LnhtbFBLBQYAAAAABgAGAFkBAACSBQ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eastAsia" w:ascii="宋体" w:hAnsi="宋体" w:eastAsia="宋体" w:cs="宋体"/>
                          <w:lang w:eastAsia="zh-CN"/>
                        </w:rPr>
                      </w:pPr>
                      <w:r>
                        <w:rPr>
                          <w:rFonts w:hint="eastAsia" w:ascii="宋体" w:hAnsi="宋体" w:eastAsia="宋体" w:cs="宋体"/>
                        </w:rPr>
                        <w:t>议案</w:t>
                      </w:r>
                      <w:r>
                        <w:rPr>
                          <w:rFonts w:hint="eastAsia" w:ascii="宋体" w:hAnsi="宋体" w:eastAsia="宋体" w:cs="宋体"/>
                          <w:lang w:val="en-US" w:eastAsia="zh-CN"/>
                        </w:rPr>
                        <w:t>7</w:t>
                      </w:r>
                    </w:p>
                  </w:txbxContent>
                </v:textbox>
              </v:shape>
            </w:pict>
          </mc:Fallback>
        </mc:AlternateContent>
      </w:r>
    </w:p>
    <w:p>
      <w:pPr>
        <w:spacing w:line="360" w:lineRule="auto"/>
        <w:jc w:val="center"/>
        <w:rPr>
          <w:rFonts w:ascii="宋体" w:hAnsi="宋体" w:eastAsia="宋体" w:cs="宋体"/>
          <w:b/>
          <w:bCs/>
          <w:sz w:val="28"/>
          <w:szCs w:val="36"/>
        </w:rPr>
      </w:pPr>
    </w:p>
    <w:p>
      <w:pPr>
        <w:pStyle w:val="2"/>
      </w:pPr>
    </w:p>
    <w:p>
      <w:pPr>
        <w:spacing w:line="360" w:lineRule="auto"/>
        <w:jc w:val="center"/>
        <w:outlineLvl w:val="0"/>
        <w:rPr>
          <w:rFonts w:ascii="宋体" w:hAnsi="宋体" w:eastAsia="宋体" w:cs="宋体"/>
          <w:bCs/>
          <w:color w:val="000000"/>
          <w:kern w:val="36"/>
          <w:sz w:val="24"/>
        </w:rPr>
      </w:pPr>
      <w:r>
        <w:rPr>
          <w:rFonts w:hint="eastAsia" w:ascii="宋体" w:hAnsi="宋体" w:eastAsia="宋体" w:cs="宋体"/>
          <w:b/>
          <w:bCs/>
          <w:sz w:val="28"/>
          <w:szCs w:val="36"/>
        </w:rPr>
        <w:t>厦门银行股份有限公司关于聘请2022年度会计师事务所的议案</w:t>
      </w:r>
    </w:p>
    <w:p>
      <w:pPr>
        <w:snapToGrid w:val="0"/>
        <w:spacing w:line="360" w:lineRule="auto"/>
        <w:rPr>
          <w:rFonts w:hint="eastAsia" w:ascii="宋体" w:hAnsi="宋体" w:eastAsia="宋体" w:cs="宋体"/>
          <w:bCs/>
          <w:color w:val="000000"/>
          <w:kern w:val="36"/>
          <w:sz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cs="宋体"/>
          <w:sz w:val="24"/>
        </w:rPr>
      </w:pPr>
      <w:r>
        <w:rPr>
          <w:rFonts w:hint="eastAsia" w:ascii="宋体" w:hAnsi="宋体" w:eastAsia="宋体" w:cs="宋体"/>
          <w:bCs/>
          <w:color w:val="000000"/>
          <w:kern w:val="36"/>
          <w:sz w:val="24"/>
        </w:rPr>
        <w:t>尊敬的各位</w:t>
      </w:r>
      <w:r>
        <w:rPr>
          <w:rFonts w:hint="eastAsia" w:ascii="宋体" w:hAnsi="宋体" w:eastAsia="宋体" w:cs="宋体"/>
          <w:sz w:val="24"/>
        </w:rPr>
        <w:t>股东</w:t>
      </w:r>
      <w:r>
        <w:rPr>
          <w:rFonts w:hint="eastAsia" w:ascii="宋体" w:hAnsi="宋体" w:eastAsia="宋体" w:cs="宋体"/>
          <w:bCs/>
          <w:color w:val="000000"/>
          <w:kern w:val="36"/>
          <w:sz w:val="24"/>
        </w:rPr>
        <w:t>：</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sz w:val="24"/>
          <w:lang w:val="en-US" w:eastAsia="zh-CN"/>
        </w:rPr>
      </w:pPr>
      <w:r>
        <w:rPr>
          <w:rFonts w:hint="eastAsia" w:ascii="宋体" w:hAnsi="宋体" w:eastAsia="宋体"/>
          <w:sz w:val="24"/>
          <w:lang w:val="en-US" w:eastAsia="zh-CN"/>
        </w:rPr>
        <w:t>根据《国有金融企业选聘会计师事务所管理办法》及《公司章程》等相关规定，拟续聘安永华明为公司2022年度财务审计及内控审计机构，聘期一年。</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sz w:val="24"/>
          <w:lang w:val="en-US" w:eastAsia="zh-CN"/>
        </w:rPr>
      </w:pPr>
      <w:r>
        <w:rPr>
          <w:rFonts w:hint="eastAsia" w:ascii="宋体" w:hAnsi="宋体" w:eastAsia="宋体"/>
          <w:sz w:val="24"/>
          <w:lang w:val="en-US" w:eastAsia="zh-CN"/>
        </w:rPr>
        <w:t>年度审计费用根据审计工作量及公允合理的定价原则确定，公司拟就2022年度审计项目向安永华明支付的费用预计为人民币333万元（包括：年度财务报告审计费用180万元，半年度审阅费用100万元，内部控制审计费用为人民币53万元）。</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宋体" w:hAnsi="宋体" w:eastAsia="宋体"/>
          <w:sz w:val="24"/>
          <w:lang w:val="en-US" w:eastAsia="zh-CN"/>
        </w:rPr>
      </w:pP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ascii="宋体" w:hAnsi="宋体" w:eastAsia="宋体" w:cs="宋体"/>
          <w:sz w:val="24"/>
          <w:szCs w:val="20"/>
        </w:rPr>
      </w:pPr>
      <w:r>
        <w:rPr>
          <w:rFonts w:hint="eastAsia" w:ascii="宋体" w:hAnsi="宋体" w:eastAsia="宋体" w:cs="宋体"/>
          <w:sz w:val="24"/>
        </w:rPr>
        <w:t>本议案已经第八届董事会第十九次会议、第八届监事会第十三次会议审议通过，请各位股东审议。</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ascii="宋体" w:hAnsi="宋体" w:eastAsia="宋体" w:cs="宋体"/>
          <w:sz w:val="24"/>
          <w:szCs w:val="20"/>
        </w:rPr>
      </w:pP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ascii="宋体" w:hAnsi="宋体" w:eastAsia="宋体" w:cs="宋体"/>
          <w:sz w:val="24"/>
          <w:szCs w:val="20"/>
        </w:rPr>
      </w:pPr>
    </w:p>
    <w:p>
      <w:pPr>
        <w:pStyle w:val="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right"/>
        <w:textAlignment w:val="auto"/>
        <w:rPr>
          <w:rFonts w:hAnsi="宋体" w:eastAsia="宋体" w:cs="宋体"/>
          <w:sz w:val="24"/>
          <w:szCs w:val="24"/>
        </w:rPr>
      </w:pPr>
      <w:r>
        <w:rPr>
          <w:rFonts w:hint="eastAsia" w:hAnsi="宋体" w:eastAsia="宋体" w:cs="宋体"/>
          <w:sz w:val="24"/>
          <w:szCs w:val="24"/>
        </w:rPr>
        <w:t>厦门银行股份有限公司</w:t>
      </w:r>
    </w:p>
    <w:p>
      <w:pPr>
        <w:pStyle w:val="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right"/>
        <w:textAlignment w:val="auto"/>
        <w:rPr>
          <w:rFonts w:hint="eastAsia" w:hAnsi="宋体" w:eastAsia="宋体" w:cs="宋体"/>
          <w:sz w:val="24"/>
          <w:szCs w:val="24"/>
        </w:rPr>
      </w:pPr>
      <w:r>
        <w:rPr>
          <w:rFonts w:hint="eastAsia" w:hAnsi="宋体" w:eastAsia="宋体" w:cs="宋体"/>
          <w:sz w:val="24"/>
          <w:szCs w:val="24"/>
        </w:rPr>
        <w:t>202</w:t>
      </w:r>
      <w:r>
        <w:rPr>
          <w:rFonts w:hint="eastAsia" w:hAnsi="宋体" w:eastAsia="宋体" w:cs="宋体"/>
          <w:sz w:val="24"/>
          <w:szCs w:val="24"/>
          <w:lang w:val="en-US" w:eastAsia="zh-CN"/>
        </w:rPr>
        <w:t>2</w:t>
      </w:r>
      <w:r>
        <w:rPr>
          <w:rFonts w:hint="eastAsia" w:hAnsi="宋体" w:eastAsia="宋体" w:cs="宋体"/>
          <w:sz w:val="24"/>
          <w:szCs w:val="24"/>
        </w:rPr>
        <w:t>年</w:t>
      </w:r>
      <w:r>
        <w:rPr>
          <w:rFonts w:hint="eastAsia" w:hAnsi="宋体" w:eastAsia="宋体" w:cs="宋体"/>
          <w:sz w:val="24"/>
          <w:szCs w:val="24"/>
          <w:lang w:val="en-US" w:eastAsia="zh-CN"/>
        </w:rPr>
        <w:t>6</w:t>
      </w:r>
      <w:r>
        <w:rPr>
          <w:rFonts w:hint="eastAsia" w:hAnsi="宋体" w:eastAsia="宋体" w:cs="宋体"/>
          <w:sz w:val="24"/>
          <w:szCs w:val="24"/>
        </w:rPr>
        <w:t>月</w:t>
      </w:r>
      <w:r>
        <w:rPr>
          <w:rFonts w:hint="eastAsia" w:hAnsi="宋体" w:eastAsia="宋体" w:cs="宋体"/>
          <w:sz w:val="24"/>
          <w:szCs w:val="24"/>
          <w:lang w:val="en-US" w:eastAsia="zh-CN"/>
        </w:rPr>
        <w:t>2</w:t>
      </w:r>
      <w:r>
        <w:rPr>
          <w:rFonts w:hint="eastAsia" w:hAnsi="宋体" w:eastAsia="宋体" w:cs="宋体"/>
          <w:sz w:val="24"/>
          <w:szCs w:val="24"/>
        </w:rPr>
        <w:t>日</w:t>
      </w:r>
    </w:p>
    <w:p>
      <w:pPr>
        <w:rPr>
          <w:rFonts w:hint="eastAsia" w:hAnsi="宋体" w:eastAsia="宋体" w:cs="宋体"/>
          <w:sz w:val="24"/>
          <w:szCs w:val="24"/>
        </w:rPr>
      </w:pPr>
      <w:r>
        <w:rPr>
          <w:rFonts w:hint="eastAsia" w:hAnsi="宋体" w:eastAsia="宋体" w:cs="宋体"/>
          <w:sz w:val="24"/>
          <w:szCs w:val="24"/>
        </w:rPr>
        <w:br w:type="page"/>
      </w:r>
    </w:p>
    <w:p>
      <w:pPr>
        <w:pStyle w:val="19"/>
      </w:pPr>
    </w:p>
    <w:p>
      <w:pPr>
        <w:spacing w:line="360" w:lineRule="auto"/>
        <w:jc w:val="center"/>
        <w:rPr>
          <w:rFonts w:ascii="宋体" w:hAnsi="宋体" w:eastAsia="宋体" w:cs="宋体"/>
          <w:b/>
          <w:bCs/>
          <w:sz w:val="28"/>
          <w:szCs w:val="36"/>
        </w:rPr>
      </w:pPr>
      <w:r>
        <w:rPr>
          <w:rFonts w:hint="eastAsia" w:ascii="宋体" w:hAnsi="宋体" w:eastAsia="宋体" w:cs="宋体"/>
          <w:b/>
          <w:bCs/>
          <w:color w:val="000000"/>
          <w:sz w:val="30"/>
          <w:szCs w:val="30"/>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494915" cy="676275"/>
                <wp:effectExtent l="5080" t="4445" r="14605" b="5080"/>
                <wp:wrapNone/>
                <wp:docPr id="9" name="文本框 3"/>
                <wp:cNvGraphicFramePr/>
                <a:graphic xmlns:a="http://schemas.openxmlformats.org/drawingml/2006/main">
                  <a:graphicData uri="http://schemas.microsoft.com/office/word/2010/wordprocessingShape">
                    <wps:wsp>
                      <wps:cNvSpPr txBox="1"/>
                      <wps:spPr>
                        <a:xfrm>
                          <a:off x="0" y="0"/>
                          <a:ext cx="2494915" cy="676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eastAsia" w:ascii="宋体" w:hAnsi="宋体" w:eastAsia="宋体" w:cs="宋体"/>
                                <w:lang w:eastAsia="zh-CN"/>
                              </w:rPr>
                            </w:pPr>
                            <w:r>
                              <w:rPr>
                                <w:rFonts w:hint="eastAsia" w:ascii="宋体" w:hAnsi="宋体" w:eastAsia="宋体" w:cs="宋体"/>
                              </w:rPr>
                              <w:t>议案</w:t>
                            </w:r>
                            <w:r>
                              <w:rPr>
                                <w:rFonts w:hint="eastAsia" w:ascii="宋体" w:hAnsi="宋体" w:eastAsia="宋体" w:cs="宋体"/>
                                <w:lang w:val="en-US" w:eastAsia="zh-CN"/>
                              </w:rPr>
                              <w:t>8</w:t>
                            </w:r>
                          </w:p>
                        </w:txbxContent>
                      </wps:txbx>
                      <wps:bodyPr wrap="square" upright="1"/>
                    </wps:wsp>
                  </a:graphicData>
                </a:graphic>
              </wp:anchor>
            </w:drawing>
          </mc:Choice>
          <mc:Fallback>
            <w:pict>
              <v:shape id="文本框 3" o:spid="_x0000_s1026" o:spt="202" type="#_x0000_t202" style="position:absolute;left:0pt;margin-left:0pt;margin-top:0pt;height:53.25pt;width:196.45pt;z-index:251667456;mso-width-relative:page;mso-height-relative:page;" fillcolor="#FFFFFF" filled="t" stroked="t" coordsize="21600,21600" o:gfxdata="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hXBbWAAAABQEAAA8AAAAAAAAAAQAgAAAAIgAAAGRycy9kb3ducmV2Lnht&#10;bFBLAQIUABQAAAAIAIdO4kDEC+iQ+wEAAPYDAAAOAAAAAAAAAAEAIAAAACUBAABkcnMvZTJvRG9j&#10;LnhtbFBLBQYAAAAABgAGAFkBAACSBQ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eastAsia" w:ascii="宋体" w:hAnsi="宋体" w:eastAsia="宋体" w:cs="宋体"/>
                          <w:lang w:eastAsia="zh-CN"/>
                        </w:rPr>
                      </w:pPr>
                      <w:r>
                        <w:rPr>
                          <w:rFonts w:hint="eastAsia" w:ascii="宋体" w:hAnsi="宋体" w:eastAsia="宋体" w:cs="宋体"/>
                        </w:rPr>
                        <w:t>议案</w:t>
                      </w:r>
                      <w:r>
                        <w:rPr>
                          <w:rFonts w:hint="eastAsia" w:ascii="宋体" w:hAnsi="宋体" w:eastAsia="宋体" w:cs="宋体"/>
                          <w:lang w:val="en-US" w:eastAsia="zh-CN"/>
                        </w:rPr>
                        <w:t>8</w:t>
                      </w:r>
                    </w:p>
                  </w:txbxContent>
                </v:textbox>
              </v:shape>
            </w:pict>
          </mc:Fallback>
        </mc:AlternateContent>
      </w:r>
    </w:p>
    <w:p>
      <w:pPr>
        <w:spacing w:line="360" w:lineRule="auto"/>
        <w:jc w:val="center"/>
        <w:rPr>
          <w:rFonts w:ascii="宋体" w:hAnsi="宋体" w:eastAsia="宋体" w:cs="宋体"/>
          <w:b/>
          <w:bCs/>
          <w:sz w:val="28"/>
          <w:szCs w:val="36"/>
        </w:rPr>
      </w:pPr>
    </w:p>
    <w:p>
      <w:pPr>
        <w:pStyle w:val="2"/>
      </w:pPr>
    </w:p>
    <w:p>
      <w:pPr>
        <w:spacing w:line="360" w:lineRule="auto"/>
        <w:jc w:val="center"/>
        <w:outlineLvl w:val="0"/>
        <w:rPr>
          <w:rFonts w:hint="eastAsia" w:ascii="宋体" w:hAnsi="宋体" w:eastAsia="宋体" w:cs="宋体"/>
          <w:b/>
          <w:bCs/>
          <w:sz w:val="28"/>
          <w:szCs w:val="36"/>
        </w:rPr>
      </w:pPr>
      <w:r>
        <w:rPr>
          <w:rFonts w:hint="eastAsia" w:ascii="宋体" w:hAnsi="宋体" w:eastAsia="宋体" w:cs="宋体"/>
          <w:b/>
          <w:bCs/>
          <w:sz w:val="28"/>
          <w:szCs w:val="36"/>
        </w:rPr>
        <w:t>厦门银行股份有限公司</w:t>
      </w:r>
    </w:p>
    <w:p>
      <w:pPr>
        <w:spacing w:line="360" w:lineRule="auto"/>
        <w:jc w:val="center"/>
        <w:outlineLvl w:val="0"/>
        <w:rPr>
          <w:rFonts w:ascii="宋体" w:hAnsi="宋体" w:eastAsia="宋体" w:cs="宋体"/>
          <w:bCs/>
          <w:color w:val="000000"/>
          <w:kern w:val="36"/>
          <w:sz w:val="24"/>
        </w:rPr>
      </w:pPr>
      <w:r>
        <w:rPr>
          <w:rFonts w:hint="eastAsia" w:ascii="宋体" w:hAnsi="宋体" w:eastAsia="宋体" w:cs="宋体"/>
          <w:b/>
          <w:bCs/>
          <w:sz w:val="28"/>
          <w:szCs w:val="36"/>
        </w:rPr>
        <w:t>关于符合公开发行A股可转换公司债券条件的议案</w:t>
      </w:r>
    </w:p>
    <w:p>
      <w:pPr>
        <w:snapToGrid w:val="0"/>
        <w:spacing w:line="360" w:lineRule="auto"/>
        <w:rPr>
          <w:rFonts w:hint="eastAsia" w:ascii="宋体" w:hAnsi="宋体" w:eastAsia="宋体" w:cs="宋体"/>
          <w:bCs/>
          <w:color w:val="000000"/>
          <w:kern w:val="36"/>
          <w:sz w:val="24"/>
        </w:rPr>
      </w:pPr>
    </w:p>
    <w:p>
      <w:pPr>
        <w:snapToGrid w:val="0"/>
        <w:spacing w:line="360" w:lineRule="auto"/>
        <w:rPr>
          <w:rFonts w:ascii="宋体" w:hAnsi="宋体" w:eastAsia="宋体" w:cs="宋体"/>
          <w:sz w:val="24"/>
        </w:rPr>
      </w:pPr>
      <w:r>
        <w:rPr>
          <w:rFonts w:hint="eastAsia" w:ascii="宋体" w:hAnsi="宋体" w:eastAsia="宋体" w:cs="宋体"/>
          <w:bCs/>
          <w:color w:val="000000"/>
          <w:kern w:val="36"/>
          <w:sz w:val="24"/>
        </w:rPr>
        <w:t>尊敬的各位</w:t>
      </w:r>
      <w:r>
        <w:rPr>
          <w:rFonts w:hint="eastAsia" w:ascii="宋体" w:hAnsi="宋体" w:eastAsia="宋体" w:cs="宋体"/>
          <w:sz w:val="24"/>
        </w:rPr>
        <w:t>股东</w:t>
      </w:r>
      <w:r>
        <w:rPr>
          <w:rFonts w:hint="eastAsia" w:ascii="宋体" w:hAnsi="宋体" w:eastAsia="宋体" w:cs="宋体"/>
          <w:bCs/>
          <w:color w:val="000000"/>
          <w:kern w:val="36"/>
          <w:sz w:val="24"/>
        </w:rPr>
        <w:t>：</w:t>
      </w:r>
    </w:p>
    <w:p>
      <w:pPr>
        <w:pStyle w:val="19"/>
        <w:snapToGrid w:val="0"/>
        <w:spacing w:line="360" w:lineRule="auto"/>
        <w:ind w:firstLine="480" w:firstLineChars="200"/>
        <w:rPr>
          <w:rFonts w:hint="eastAsia" w:ascii="宋体" w:hAnsi="宋体" w:eastAsia="宋体"/>
          <w:sz w:val="24"/>
          <w:lang w:val="en-US" w:eastAsia="zh-CN"/>
        </w:rPr>
      </w:pPr>
      <w:r>
        <w:rPr>
          <w:rFonts w:hint="eastAsia" w:ascii="宋体" w:hAnsi="宋体" w:eastAsia="宋体"/>
          <w:sz w:val="24"/>
          <w:lang w:val="en-US" w:eastAsia="zh-CN"/>
        </w:rPr>
        <w:t>根据《中华人民共和国公司法》《中华人民共和国证券法》《上市公司证券发行管理办法》以及《可转换公司债券管理办法》等有关法律、法规及规范性文件的规定，本行经认真逐项自查，认为本行组织机构健全、运行良好、盈利能力具有可持续性、财务状况良好、财务会计文件无虚假记载、募集资金的数额和使用符合相关规定、无重大违法行为、不存在不得公开发行证券的情形，本行符合上市公司公开发行A股可转换公司债券（以下简称“可转债”）的各项规定和要求，具备公开发行可转债的资格和条件。</w:t>
      </w:r>
    </w:p>
    <w:p>
      <w:pPr>
        <w:pStyle w:val="19"/>
        <w:snapToGrid w:val="0"/>
        <w:spacing w:line="360" w:lineRule="auto"/>
        <w:ind w:firstLine="480" w:firstLineChars="200"/>
        <w:rPr>
          <w:rFonts w:hint="default" w:ascii="宋体" w:hAnsi="宋体" w:eastAsia="宋体"/>
          <w:sz w:val="24"/>
          <w:lang w:val="en-US" w:eastAsia="zh-CN"/>
        </w:rPr>
      </w:pPr>
    </w:p>
    <w:p>
      <w:pPr>
        <w:pStyle w:val="19"/>
        <w:snapToGrid w:val="0"/>
        <w:spacing w:line="360" w:lineRule="auto"/>
        <w:ind w:firstLine="480" w:firstLineChars="200"/>
        <w:rPr>
          <w:rFonts w:ascii="宋体" w:hAnsi="宋体" w:eastAsia="宋体" w:cs="宋体"/>
          <w:sz w:val="24"/>
          <w:szCs w:val="20"/>
        </w:rPr>
      </w:pPr>
      <w:r>
        <w:rPr>
          <w:rFonts w:hint="eastAsia" w:ascii="宋体" w:hAnsi="宋体" w:eastAsia="宋体" w:cs="宋体"/>
          <w:sz w:val="24"/>
        </w:rPr>
        <w:t>本议案已经第八届董事会第十九次会议、第八届监事会第十三次会议审议通过，请各位股东审议。</w:t>
      </w:r>
    </w:p>
    <w:p>
      <w:pPr>
        <w:pStyle w:val="19"/>
        <w:snapToGrid w:val="0"/>
        <w:spacing w:line="360" w:lineRule="auto"/>
        <w:ind w:firstLine="480" w:firstLineChars="200"/>
        <w:rPr>
          <w:rFonts w:ascii="宋体" w:hAnsi="宋体" w:eastAsia="宋体" w:cs="宋体"/>
          <w:sz w:val="24"/>
          <w:szCs w:val="20"/>
        </w:rPr>
      </w:pPr>
    </w:p>
    <w:p>
      <w:pPr>
        <w:pStyle w:val="19"/>
        <w:snapToGrid w:val="0"/>
        <w:spacing w:line="360" w:lineRule="auto"/>
        <w:ind w:firstLine="480" w:firstLineChars="200"/>
        <w:rPr>
          <w:rFonts w:hint="eastAsia" w:ascii="宋体" w:hAnsi="宋体" w:eastAsia="宋体" w:cs="宋体"/>
          <w:sz w:val="24"/>
          <w:szCs w:val="20"/>
        </w:rPr>
      </w:pPr>
      <w:r>
        <w:rPr>
          <w:rFonts w:hint="eastAsia" w:ascii="宋体" w:hAnsi="宋体" w:eastAsia="宋体" w:cs="宋体"/>
          <w:sz w:val="24"/>
          <w:szCs w:val="20"/>
        </w:rPr>
        <w:t>附件：上市公司公开发行A股可转换公司债券条件的主要法规规定</w:t>
      </w:r>
    </w:p>
    <w:p>
      <w:pPr>
        <w:pStyle w:val="19"/>
        <w:snapToGrid w:val="0"/>
        <w:spacing w:line="360" w:lineRule="auto"/>
        <w:ind w:firstLine="480" w:firstLineChars="200"/>
        <w:rPr>
          <w:rFonts w:hint="eastAsia" w:ascii="宋体" w:hAnsi="宋体" w:eastAsia="宋体" w:cs="宋体"/>
          <w:sz w:val="24"/>
          <w:szCs w:val="20"/>
        </w:rPr>
      </w:pPr>
    </w:p>
    <w:p>
      <w:pPr>
        <w:pStyle w:val="7"/>
        <w:snapToGrid w:val="0"/>
        <w:spacing w:line="360" w:lineRule="auto"/>
        <w:ind w:firstLine="480" w:firstLineChars="200"/>
        <w:jc w:val="right"/>
        <w:rPr>
          <w:rFonts w:hAnsi="宋体" w:eastAsia="宋体" w:cs="宋体"/>
          <w:sz w:val="24"/>
          <w:szCs w:val="24"/>
        </w:rPr>
      </w:pPr>
      <w:r>
        <w:rPr>
          <w:rFonts w:hint="eastAsia" w:hAnsi="宋体" w:eastAsia="宋体" w:cs="宋体"/>
          <w:sz w:val="24"/>
          <w:szCs w:val="24"/>
        </w:rPr>
        <w:t>厦门银行股份有限公司</w:t>
      </w:r>
    </w:p>
    <w:p>
      <w:pPr>
        <w:pStyle w:val="7"/>
        <w:snapToGrid w:val="0"/>
        <w:spacing w:line="360" w:lineRule="auto"/>
        <w:ind w:firstLine="480" w:firstLineChars="200"/>
        <w:jc w:val="right"/>
        <w:rPr>
          <w:rFonts w:hint="eastAsia" w:hAnsi="宋体" w:eastAsia="宋体" w:cs="宋体"/>
          <w:sz w:val="24"/>
          <w:szCs w:val="24"/>
        </w:rPr>
      </w:pPr>
      <w:r>
        <w:rPr>
          <w:rFonts w:hint="eastAsia" w:hAnsi="宋体" w:eastAsia="宋体" w:cs="宋体"/>
          <w:sz w:val="24"/>
          <w:szCs w:val="24"/>
        </w:rPr>
        <w:t>202</w:t>
      </w:r>
      <w:r>
        <w:rPr>
          <w:rFonts w:hint="eastAsia" w:hAnsi="宋体" w:eastAsia="宋体" w:cs="宋体"/>
          <w:sz w:val="24"/>
          <w:szCs w:val="24"/>
          <w:lang w:val="en-US" w:eastAsia="zh-CN"/>
        </w:rPr>
        <w:t>2</w:t>
      </w:r>
      <w:r>
        <w:rPr>
          <w:rFonts w:hint="eastAsia" w:hAnsi="宋体" w:eastAsia="宋体" w:cs="宋体"/>
          <w:sz w:val="24"/>
          <w:szCs w:val="24"/>
        </w:rPr>
        <w:t>年</w:t>
      </w:r>
      <w:r>
        <w:rPr>
          <w:rFonts w:hint="eastAsia" w:hAnsi="宋体" w:eastAsia="宋体" w:cs="宋体"/>
          <w:sz w:val="24"/>
          <w:szCs w:val="24"/>
          <w:lang w:val="en-US" w:eastAsia="zh-CN"/>
        </w:rPr>
        <w:t>6</w:t>
      </w:r>
      <w:r>
        <w:rPr>
          <w:rFonts w:hint="eastAsia" w:hAnsi="宋体" w:eastAsia="宋体" w:cs="宋体"/>
          <w:sz w:val="24"/>
          <w:szCs w:val="24"/>
        </w:rPr>
        <w:t>月</w:t>
      </w:r>
      <w:r>
        <w:rPr>
          <w:rFonts w:hint="eastAsia" w:hAnsi="宋体" w:eastAsia="宋体" w:cs="宋体"/>
          <w:sz w:val="24"/>
          <w:szCs w:val="24"/>
          <w:lang w:val="en-US" w:eastAsia="zh-CN"/>
        </w:rPr>
        <w:t>2</w:t>
      </w:r>
      <w:r>
        <w:rPr>
          <w:rFonts w:hint="eastAsia" w:hAnsi="宋体" w:eastAsia="宋体" w:cs="宋体"/>
          <w:sz w:val="24"/>
          <w:szCs w:val="24"/>
        </w:rPr>
        <w:t>日</w:t>
      </w:r>
    </w:p>
    <w:p>
      <w:pPr>
        <w:spacing w:line="600" w:lineRule="exact"/>
        <w:jc w:val="left"/>
        <w:rPr>
          <w:rFonts w:hint="eastAsia" w:ascii="宋体" w:hAnsi="宋体" w:cs="宋体" w:eastAsiaTheme="minorEastAsia"/>
          <w:b/>
          <w:bCs/>
          <w:sz w:val="24"/>
          <w:szCs w:val="24"/>
          <w:lang w:eastAsia="zh-CN"/>
        </w:rPr>
      </w:pPr>
      <w:r>
        <w:rPr>
          <w:rFonts w:hint="eastAsia" w:hAnsi="宋体" w:eastAsia="宋体" w:cs="宋体"/>
          <w:sz w:val="24"/>
          <w:szCs w:val="24"/>
        </w:rPr>
        <w:br w:type="page"/>
      </w:r>
      <w:r>
        <w:rPr>
          <w:rFonts w:hint="eastAsia" w:ascii="宋体" w:hAnsi="宋体" w:cs="宋体"/>
          <w:b/>
          <w:bCs/>
          <w:sz w:val="24"/>
          <w:szCs w:val="24"/>
        </w:rPr>
        <w:t>附件</w:t>
      </w:r>
      <w:r>
        <w:rPr>
          <w:rFonts w:hint="eastAsia" w:ascii="宋体" w:hAnsi="宋体" w:cs="宋体"/>
          <w:b/>
          <w:bCs/>
          <w:sz w:val="24"/>
          <w:szCs w:val="24"/>
          <w:lang w:eastAsia="zh-CN"/>
        </w:rPr>
        <w:t>：</w:t>
      </w:r>
    </w:p>
    <w:p>
      <w:pPr>
        <w:spacing w:line="600" w:lineRule="exact"/>
        <w:jc w:val="center"/>
        <w:rPr>
          <w:rFonts w:ascii="宋体" w:hAnsi="宋体" w:cs="Times New Roman"/>
          <w:b/>
          <w:sz w:val="28"/>
          <w:szCs w:val="28"/>
        </w:rPr>
      </w:pPr>
      <w:r>
        <w:rPr>
          <w:rFonts w:hint="eastAsia" w:ascii="宋体" w:hAnsi="宋体" w:cs="Times New Roman"/>
          <w:b/>
          <w:sz w:val="28"/>
          <w:szCs w:val="28"/>
        </w:rPr>
        <w:t>上市公司公开发行A股可转换公司债券条件的</w:t>
      </w:r>
    </w:p>
    <w:p>
      <w:pPr>
        <w:spacing w:line="600" w:lineRule="exact"/>
        <w:jc w:val="center"/>
        <w:rPr>
          <w:rFonts w:ascii="宋体" w:hAnsi="宋体" w:cs="宋体"/>
          <w:color w:val="000000"/>
          <w:kern w:val="0"/>
          <w:sz w:val="24"/>
          <w:szCs w:val="24"/>
        </w:rPr>
      </w:pPr>
      <w:r>
        <w:rPr>
          <w:rFonts w:hint="eastAsia" w:ascii="宋体" w:hAnsi="宋体" w:cs="Times New Roman"/>
          <w:b/>
          <w:sz w:val="28"/>
          <w:szCs w:val="28"/>
        </w:rPr>
        <w:t>主要法规规定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kern w:val="0"/>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一、《中华人民共和国公司法》的有关规定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第一百六十一条 可转换公司债券的发行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上市公司经股东大会决议可以发行可转换为股票的公司债券，并在公司债券募集办法中规定具体的转换办法。上市公司发行可转换为股票的公司债券，应当报国务院证券监督管理机构核准。发行可转换为股票的公司债券，应当在债券上标明可转换公司债券字样，并在公司债券存根簿上载明可转换公司债券的数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第一百六十二条 可转换公司债券的转换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发行可转换为股票的公司债券的，公司应当按照其转换办法向债券持有人换发股票，但债券持有人对转换股票或者不转换股票有选择权。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kern w:val="0"/>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二、《中华人民共和国证券法》的有关规定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第十二条 第二款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上市公司发行新股，应当符合经国务院批准的国务院证券监督管理机构规定的条件，具体管理办法由国务院证券监督管理机构规定。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第十五条 公开发行公司债券，应当符合下列条件：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（一）具备健全且运行良好的组织机构；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（二）最近三年平均可分配利润足以支付公司债券一年的利息；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（三）国务院规定的其他条件。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公开发行公司债券筹集的资金，必须按照公司债券募集办法所列资金用途使用；改变资金用途，必须经债券持有人会议作出决议。公开发行公司债券筹集的资金，不得用于弥补亏损和非生产性支出。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上市公司发行可转换为股票的公司债券，除应当符合第一款规定的条件外，还应当遵守本法第十二条第二款的规定。但是，按照公司债券募集办法，上市公司通过收购本公司股份的方式进行公司债券转换的除外。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第十七条 有下列情形之一的，不得再次公开发行公司债券：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（一）对已公开发行的公司债券或者其他债务有违约或者延迟支付本息的事实，仍处于继续状态；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（二）违反本法规定，改变公开发行公司债券所募资金的用途。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三、《上市公司证券发行管理办法》的有关规定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eastAsia" w:ascii="宋体" w:hAnsi="宋体" w:eastAsia="宋体" w:cs="宋体"/>
          <w:sz w:val="24"/>
          <w:szCs w:val="24"/>
        </w:rPr>
      </w:pPr>
      <w:r>
        <w:rPr>
          <w:rFonts w:hint="eastAsia" w:ascii="宋体" w:hAnsi="宋体" w:eastAsia="宋体" w:cs="宋体"/>
          <w:sz w:val="24"/>
          <w:szCs w:val="24"/>
        </w:rPr>
        <w:t>第二章 公开发行证券的条件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第一节 一般规定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第六条 上市公司的组织机构健全、运行良好，符合下列规定：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（一）公司章程合法有效，股东大会、董事会、监事会和独立董事制度健全，能够依法有效履行职责；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（二）公司内部控制制度健全，能够有效保证公司运行的效率、合法合规性和财务报告的可靠性；内部控制制度的完整性、合理性、有效性不存在重大缺陷；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现任董事、监事和高级管理人员具备任职资格，能够忠实和勤勉地履行职务，不存在违反公司法第一百四十七条、第一百四十八条规定的行为，且最近三十六个月内未受到过中国证监会的行政处罚、最近十二个月内未受到过证券交易所的公开谴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（四）上市公司与控股股东或实际控制人的人员、资产、财务分开，机构、业务独立，能够自主经营管理；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（五）最近十二个月内不存在违规对外提供担保的行为。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第七条 上市公司的盈利能力具有可持续性，符合下列规定：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（一）最近三个会计年度连续盈利。扣除非经常性损益后的净利润与扣除前的净利润相比，以低者作为计算依据；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（二）业务和盈利来源相对稳定，不存在严重依赖于控股股东、实际控制人的情形；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（三）现有主营业务或投资方向能够可持续发展，经营模式和投资计划稳健，主要产品或服务的市场前景良好，行业经营环境和市场需求不存在现实或可预见的重大不利变化；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（四）高级管理人员和核心技术人员稳定，最近十二个月内未发生重大不利变化；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（五）公司重要资产、核心技术或其他重大权益的取得合法，能够持续使用，不存在现实或可预见的重大不利变化；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（六）不存在可能严重影响公司持续经营的担保、诉讼、仲裁或其他重大事项；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（七）最近二十四个月内曾公开发行证券的，不存在发行当年营业利润比上年下降百分之五十以上的情形。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第八条 上市公司的财务状况良好，符合下列规定：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（一）会计基础工作规范，严格遵循国家统一会计制度的规定；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最近三年及一期财务报表未被注册会计师出具保留意见、否定意见或无法表示意见的审计报告；被注册会计师出具带强调事项段的无保留意见审计报告的，所涉及的事项对发行人无重大不利影响或者在发行前重大不利影响已经消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（三）资产质量良好。不良资产不足以对公司财务状况造成重大不利影响；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（四）经营成果真实，现金流量正常。营业收入和成本费用的确认严格遵循国家有关企业会计准则的规定，最近三年资产减值准备计提充分合理，不存在操纵经营业绩的情形；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（五）最近三年以现金方式累计分配的利润不少于最近三年实现的年均可分配利润的百分之三十。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第九条 上市公司最近三十六个月内财务会计文件无虚假记载，且不存在下列重大违法行为：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（一）违反证券法律、行政法规或规章，受到中国证监会的行政处罚，或者受到刑事处罚；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（二）违反工商、税收、土地、环保、海关法律、行政法规或规章，受到行政处罚且情节严重，或者受到刑事处罚；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（三）违反国家其他法律、行政法规且情节严重的行为。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第十条 上市公司募集资金的数额和使用应当符合下列规定：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（一）募集资金数额不超过项目需要量；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（二）募集资金用途符合国家产业政策和有关环境保护、土地管理等法律和行政法规的规定；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（三）除金融类企业外，本次募集资金使用项目不得为持有交易性金融资产和可供出售的金融资产、借予他人、委托理财等财务性投资，不得直接或间接投资于以买卖有价证券为主要业务的公司；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（四）投资项目实施后，不会与控股股东或实际控制人产生同业竞争或影响公司生产经营的独立性；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（五）建立募集资金专项存储制度，募集资金必须存放于公司董事会决定的专项账户。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第十一条 上市公司存在下列情形之一的，不得公开发行证券：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（一）本次发行申请文件有虚假记载、误导性陈述或重大遗漏；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（二）擅自改变前次公开发行证券募集资金的用途而未作纠正；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（三）上市公司最近十二个月内受到过证券交易所的公开谴责；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（四）上市公司及其控股股东或实际控制人最近十二个月内存在未履行向投资者作出的公开承诺的行为；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（五）上市公司或其现任董事、高级管理人员因涉嫌犯罪被司法机关立案侦查或涉嫌违法违规被中国证监会立案调查；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（六）严重损害投资者的合法权益和社会公共利益的其他情形。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第三节 发行可转换公司债券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第十四条 公开发行可转换公司债券的公司，除应当符合本章第一节规定外，还应当符合下列规定：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（一）最近三个会计年度加权平均净资产收益率平均不低于百分之六。扣除非经常性损益后的净利润与扣除前的净利润相比，以低者作为加权平均净资产收益率的计算依据；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（二）本次发行后累计公司债券余额不超过最近一期末净资产额的百分之四十；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（三）最近三个会计年度实现的年均可分配利润不少于公司债券一年的利息。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前款所称可转换公司债券，是指发行公司依法发行、在一定期间内依据约定的条件可以转换成股份的公司债券。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第十五条 可转换公司债券的期限最短为一年，最长为六年。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第十六条 可转换公司债券每张面值一百元。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可转换公司债券的利率由发行公司与主承销商协商确定，但必须符合国家的有关规定。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第十七条 公开发行可转换公司债券，应当委托具有资格的资信评级机构进行信用评级和跟踪评级。资信评级机构每年至少公告一次跟踪评级报告。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第十八条 上市公司应当在可转换公司债券期满后五个工作日内办理完毕偿还债券余额本息的事项。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第十九条 公开发行可转换公司债券，应当约定保护债券持有人权利的办法，以及债券持有人会议的权利、程序和决议生效条件。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存在下列事项之一的，应当召开债券持有人会议：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（一）拟变更募集说明书的约定；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（二）发行人不能按期支付本息；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（三）发行人减资、合并、分立、解散或者申请破产；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（四）保证人或者担保物发生重大变化；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（五）其他影响债券持有人重大权益的事项。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第二十条 公开发行可转换公司债券，应当提供担保，但最近一期末经审计的净资产不低于人民币十五亿元的公司除外。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提供担保的，应当为全额担保，担保范围包括债券的本金及利息、违约金、损害赔偿金和实现债权的费用。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以保证方式提供担保的，应当为连带责任担保，且保证人最近一期经审计的净资产额应不低于其累计对外担保的金额。证券公司或上市公司不得作为发行可转债的担保人，但上市商业银行除外。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设定抵押或质押的，抵押或质押财产的估值应不低于担保金额。估值应经有资格的资产评估机构评估。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第二十一条 可转换公司债券自发行结束之日起六个月后方可转换为公司股票，转股期限由公司根据可转换公司债券的存续期限及公司财务状况确定。债券持有人对转换股票或者不转换股票有选择权，并于转股的次日成为发行公司的股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第二十二条 转股价格应不低于募集说明书公告日前二十个交易日该公司股票交易均价和前一个交易日的均价。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前款所称转股价格，是指募集说明书事先约定的可转换公司债券转换为每股股份所支付的价格。</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第二十三条 募集说明书可以约定赎回条款，规定上市公司可按事先约定的条件和价格赎回尚未转股的可转换公司债券。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第二十四条 募集说明书可以约定回售条款，规定债券持有人可按事先约定的条件和价格将所持债券回售给上市公司。募集说明书应当约定，上市公司改变公告的募集资金用途的，赋予债券持有人一次回售的权利。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第二十五条 募集说明书应当约定转股价格调整的原则及方式。发行可转换公司债券后，因配股、增发、送股、派息、分立及其他原因引起上市公司股份变动的，应当同时调整转股价格。</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第二十六条 募集说明书约定转股价格向下修正条款的，应当同时约定：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（一）转股价格修正方案须提交公司股东大会表决，且须经出席会议的股东所持表决权的三分之二以上同意。股东大会进行表决时，持有公司可转换债券的股东应当回避；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（二）修正后的转股价格不低于前项规定的股东大会召开日前二十个交易日该公司股票交易均价和前一个交易日的均价。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四、《可转换公司债券管理办法》的有关规定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第八条 可转债自发行结束之日起不少于六个月后方可转换为公司股票，转股期限由公司根据可转债的存续期限及公司财务状况确定。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可转债持有人对转股或者不转股有选择权，并于转股的次日成为发行人股东。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第九条 上市公司向不特定对象发行可转债的转股价格应当不低于募集说明书公告日前二十个交易日发行人股票交易均价和前一个交易日均价，且不得向上修正。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上市公司向特定对象发行可转债的转股价格应当不低于认购邀请书发出前二十个交易日发行人股票交易均价和前一个交易日均价，且不得向下修正。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第十条 募集说明书应当约定转股价格调整的原则及方式。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发行可转债后，因配股、增发、送股、派息、分立、减资及其他原因引起发行人股份变动的，应当同时调整转股价格。</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上市公司可转债募集说明书约定转股价格向下修正条款的，应当同时约定：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（一）转股价格修正方案须提交发行人股东大会表决，且须经出席会议的股东所持表决权的三分之二以上同意，持有发行人可转债的股东应当回避；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（二）修正后的转股价格不低于前项通过修正方案的股东大会召开日前二十个交易日该发行人股票交易均价和前一个交易日均价。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第十一条 募集说明书可以约定赎回条款，规定发行人可按事先约定的条件和价格赎回尚未转股的可转债。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募集说明书可以约定回售条款，规定可转债持有人可按事先约定的条件和价格将所持可转债回售给发行人。募集说明书应当约定，发行人改变募集资金用途的，赋予可转债持有人一次回售的权利。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第十六条 向不特定对象发行可转债的，发行人应当为可转债持有人聘请受托管理人，并订立可转债受托管理协议。向特定对象发行可转债的，发行人应当在募集说明书中约定可转债受托管理事项。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可转债受托管理人应当按照《公司债券发行与交易管理办法》的规定以及可转债受托管理协议的约定履行受托管理职责。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第十七条 募集说明书应当约定可转债持有人会议规则。可转债持有人会议规则应当公平、合理。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可转债持有人会议规则应当明确可转债持有人通过可转债持有人会议行使权利的范围，可转债持有人会议的召集、通知、决策机制和其他重要事项。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可转债持有人会议按照本办法的规定及会议规则的程序要求所形成的决议对全体可转债持有人具有约束力。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hAnsi="宋体" w:eastAsia="宋体" w:cs="宋体"/>
          <w:sz w:val="24"/>
          <w:szCs w:val="24"/>
        </w:rPr>
      </w:pPr>
      <w:r>
        <w:rPr>
          <w:rFonts w:hint="eastAsia" w:ascii="宋体" w:hAnsi="宋体" w:eastAsia="宋体" w:cs="宋体"/>
          <w:sz w:val="24"/>
          <w:szCs w:val="24"/>
        </w:rPr>
        <w:t>第十九条 发行人应当在募集说明书中约定构成可转债违约的情形、违约责任及其承担方式以及可转债发生违约后的诉讼、仲裁或其他争议解决机制。</w:t>
      </w:r>
      <w:r>
        <w:rPr>
          <w:rFonts w:hint="eastAsia" w:hAnsi="宋体" w:eastAsia="宋体" w:cs="宋体"/>
          <w:sz w:val="24"/>
          <w:szCs w:val="24"/>
        </w:rPr>
        <w:br w:type="page"/>
      </w:r>
    </w:p>
    <w:p>
      <w:pPr>
        <w:pStyle w:val="19"/>
      </w:pPr>
    </w:p>
    <w:p>
      <w:pPr>
        <w:spacing w:line="360" w:lineRule="auto"/>
        <w:jc w:val="center"/>
        <w:rPr>
          <w:rFonts w:ascii="宋体" w:hAnsi="宋体" w:eastAsia="宋体" w:cs="宋体"/>
          <w:b/>
          <w:bCs/>
          <w:sz w:val="28"/>
          <w:szCs w:val="36"/>
        </w:rPr>
      </w:pPr>
      <w:r>
        <w:rPr>
          <w:rFonts w:hint="eastAsia" w:ascii="宋体" w:hAnsi="宋体" w:eastAsia="宋体" w:cs="宋体"/>
          <w:b/>
          <w:bCs/>
          <w:color w:val="000000"/>
          <w:sz w:val="30"/>
          <w:szCs w:val="30"/>
        </w:rPr>
        <mc:AlternateContent>
          <mc:Choice Requires="wps">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494915" cy="676275"/>
                <wp:effectExtent l="5080" t="4445" r="14605" b="5080"/>
                <wp:wrapNone/>
                <wp:docPr id="10" name="文本框 3"/>
                <wp:cNvGraphicFramePr/>
                <a:graphic xmlns:a="http://schemas.openxmlformats.org/drawingml/2006/main">
                  <a:graphicData uri="http://schemas.microsoft.com/office/word/2010/wordprocessingShape">
                    <wps:wsp>
                      <wps:cNvSpPr txBox="1"/>
                      <wps:spPr>
                        <a:xfrm>
                          <a:off x="0" y="0"/>
                          <a:ext cx="2494915" cy="676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eastAsia" w:ascii="宋体" w:hAnsi="宋体" w:eastAsia="宋体" w:cs="宋体"/>
                                <w:lang w:eastAsia="zh-CN"/>
                              </w:rPr>
                            </w:pPr>
                            <w:r>
                              <w:rPr>
                                <w:rFonts w:hint="eastAsia" w:ascii="宋体" w:hAnsi="宋体" w:eastAsia="宋体" w:cs="宋体"/>
                              </w:rPr>
                              <w:t>议案</w:t>
                            </w:r>
                            <w:r>
                              <w:rPr>
                                <w:rFonts w:hint="eastAsia" w:ascii="宋体" w:hAnsi="宋体" w:eastAsia="宋体" w:cs="宋体"/>
                                <w:lang w:val="en-US" w:eastAsia="zh-CN"/>
                              </w:rPr>
                              <w:t>9</w:t>
                            </w:r>
                          </w:p>
                        </w:txbxContent>
                      </wps:txbx>
                      <wps:bodyPr wrap="square" upright="1"/>
                    </wps:wsp>
                  </a:graphicData>
                </a:graphic>
              </wp:anchor>
            </w:drawing>
          </mc:Choice>
          <mc:Fallback>
            <w:pict>
              <v:shape id="文本框 3" o:spid="_x0000_s1026" o:spt="202" type="#_x0000_t202" style="position:absolute;left:0pt;margin-left:0pt;margin-top:0pt;height:53.25pt;width:196.45pt;z-index:251668480;mso-width-relative:page;mso-height-relative:page;" fillcolor="#FFFFFF" filled="t" stroked="t" coordsize="21600,21600" o:gfxdata="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qiFcFtYAAAAFAQAADwAAAAAAAAABACAAAAAiAAAAZHJzL2Rvd25yZXYueG1s&#10;UEsBAhQAFAAAAAgAh07iQFe2IFb6AQAA9wMAAA4AAAAAAAAAAQAgAAAAJQEAAGRycy9lMm9Eb2Mu&#10;eG1sUEsFBgAAAAAGAAYAWQEAAJEFA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eastAsia" w:ascii="宋体" w:hAnsi="宋体" w:eastAsia="宋体" w:cs="宋体"/>
                          <w:lang w:eastAsia="zh-CN"/>
                        </w:rPr>
                      </w:pPr>
                      <w:r>
                        <w:rPr>
                          <w:rFonts w:hint="eastAsia" w:ascii="宋体" w:hAnsi="宋体" w:eastAsia="宋体" w:cs="宋体"/>
                        </w:rPr>
                        <w:t>议案</w:t>
                      </w:r>
                      <w:r>
                        <w:rPr>
                          <w:rFonts w:hint="eastAsia" w:ascii="宋体" w:hAnsi="宋体" w:eastAsia="宋体" w:cs="宋体"/>
                          <w:lang w:val="en-US" w:eastAsia="zh-CN"/>
                        </w:rPr>
                        <w:t>9</w:t>
                      </w:r>
                    </w:p>
                  </w:txbxContent>
                </v:textbox>
              </v:shape>
            </w:pict>
          </mc:Fallback>
        </mc:AlternateContent>
      </w:r>
    </w:p>
    <w:p>
      <w:pPr>
        <w:spacing w:line="360" w:lineRule="auto"/>
        <w:jc w:val="center"/>
        <w:rPr>
          <w:rFonts w:ascii="宋体" w:hAnsi="宋体" w:eastAsia="宋体" w:cs="宋体"/>
          <w:b/>
          <w:bCs/>
          <w:sz w:val="28"/>
          <w:szCs w:val="36"/>
        </w:rPr>
      </w:pPr>
    </w:p>
    <w:p>
      <w:pPr>
        <w:pStyle w:val="2"/>
      </w:pPr>
    </w:p>
    <w:p>
      <w:pPr>
        <w:spacing w:line="360" w:lineRule="auto"/>
        <w:jc w:val="center"/>
        <w:outlineLvl w:val="0"/>
        <w:rPr>
          <w:rFonts w:hint="eastAsia" w:ascii="宋体" w:hAnsi="宋体" w:eastAsia="宋体" w:cs="宋体"/>
          <w:b/>
          <w:bCs/>
          <w:sz w:val="28"/>
          <w:szCs w:val="36"/>
        </w:rPr>
      </w:pPr>
      <w:r>
        <w:rPr>
          <w:rFonts w:hint="eastAsia" w:ascii="宋体" w:hAnsi="宋体" w:eastAsia="宋体" w:cs="宋体"/>
          <w:b/>
          <w:bCs/>
          <w:sz w:val="28"/>
          <w:szCs w:val="36"/>
        </w:rPr>
        <w:t>厦门银行股份有限公司</w:t>
      </w:r>
    </w:p>
    <w:p>
      <w:pPr>
        <w:spacing w:line="360" w:lineRule="auto"/>
        <w:jc w:val="center"/>
        <w:outlineLvl w:val="0"/>
        <w:rPr>
          <w:rFonts w:ascii="宋体" w:hAnsi="宋体" w:eastAsia="宋体" w:cs="宋体"/>
          <w:bCs/>
          <w:color w:val="000000"/>
          <w:kern w:val="36"/>
          <w:sz w:val="24"/>
        </w:rPr>
      </w:pPr>
      <w:r>
        <w:rPr>
          <w:rFonts w:hint="eastAsia" w:ascii="宋体" w:hAnsi="宋体" w:eastAsia="宋体" w:cs="宋体"/>
          <w:b/>
          <w:bCs/>
          <w:sz w:val="28"/>
          <w:szCs w:val="36"/>
        </w:rPr>
        <w:t>关于公开发行A股可转换公司债券并上市方案的议案</w:t>
      </w:r>
    </w:p>
    <w:p>
      <w:pPr>
        <w:snapToGrid w:val="0"/>
        <w:spacing w:line="360" w:lineRule="auto"/>
        <w:rPr>
          <w:rFonts w:hint="eastAsia" w:ascii="宋体" w:hAnsi="宋体" w:eastAsia="宋体" w:cs="宋体"/>
          <w:bCs/>
          <w:color w:val="000000"/>
          <w:kern w:val="36"/>
          <w:sz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sz w:val="24"/>
        </w:rPr>
      </w:pPr>
      <w:r>
        <w:rPr>
          <w:rFonts w:hint="eastAsia" w:ascii="宋体" w:hAnsi="宋体" w:eastAsia="宋体" w:cs="宋体"/>
          <w:bCs/>
          <w:color w:val="000000"/>
          <w:kern w:val="36"/>
          <w:sz w:val="24"/>
        </w:rPr>
        <w:t>尊敬的各位</w:t>
      </w:r>
      <w:r>
        <w:rPr>
          <w:rFonts w:hint="eastAsia" w:ascii="宋体" w:hAnsi="宋体" w:eastAsia="宋体" w:cs="宋体"/>
          <w:sz w:val="24"/>
        </w:rPr>
        <w:t>股东</w:t>
      </w:r>
      <w:r>
        <w:rPr>
          <w:rFonts w:hint="eastAsia" w:ascii="宋体" w:hAnsi="宋体" w:eastAsia="宋体" w:cs="宋体"/>
          <w:bCs/>
          <w:color w:val="000000"/>
          <w:kern w:val="36"/>
          <w:sz w:val="24"/>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依据《公司法》《证券法》《上市公司证券发行管理办法》等法律、法规及规范性文件的有关规定，</w:t>
      </w:r>
      <w:r>
        <w:rPr>
          <w:rFonts w:hint="eastAsia" w:ascii="宋体" w:hAnsi="宋体" w:eastAsia="宋体" w:cs="宋体"/>
          <w:sz w:val="24"/>
          <w:szCs w:val="24"/>
          <w:lang w:val="en-US" w:eastAsia="zh-CN"/>
        </w:rPr>
        <w:t>本行</w:t>
      </w:r>
      <w:r>
        <w:rPr>
          <w:rFonts w:hint="eastAsia" w:ascii="宋体" w:hAnsi="宋体" w:eastAsia="宋体" w:cs="宋体"/>
          <w:sz w:val="24"/>
          <w:szCs w:val="24"/>
        </w:rPr>
        <w:t>为提高资本充足率，提升本行综合竞争实力，增强持续发展能力和风险抵御能力，本行拟公开发行可转债并上市（以下简称“本次发行”），具体方案如下：</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一、发行证券的种类</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本次发行证券的种类为可转换为本行A股股票的公司债券。该可转债及未来转换的本行A股股票将在</w:t>
      </w:r>
      <w:r>
        <w:rPr>
          <w:rFonts w:hint="eastAsia" w:ascii="宋体" w:hAnsi="宋体" w:eastAsia="宋体" w:cs="宋体"/>
          <w:sz w:val="24"/>
          <w:szCs w:val="24"/>
          <w:lang w:val="en-US" w:eastAsia="zh-CN"/>
        </w:rPr>
        <w:t>上交所</w:t>
      </w:r>
      <w:r>
        <w:rPr>
          <w:rFonts w:hint="eastAsia" w:ascii="宋体" w:hAnsi="宋体" w:eastAsia="宋体" w:cs="宋体"/>
          <w:sz w:val="24"/>
          <w:szCs w:val="24"/>
        </w:rPr>
        <w:t>上市。</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二、发行规模</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本次拟发行可转债总额不超过人民币50亿元（含50亿元），具体发行规模由本行董事会（或由董事会转授权的经营管理层）根据股东大会的授权在上述额度范围内确定。</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三、票面金额和发行价格</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本次发行的可转债每张面值为人民币100元，按面值发行。</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四、债券期限</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本次发行的可转债期限为发行之日起六年。</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五、债券利率</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本次发行可转债票面利率的确定方式及每一计息年度的最终利率水平，由本行董事会（或由董事会转授权的经营管理层）根据股东大会的授权在发行前根据国家政策、市场状况和本行具体情况确定。</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六、付息的期限和方式</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（一）计息年度的利息计算</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计息年度的利息（以下简称“年利息”）指可转债持有人按持有的可转债票面总金额自可转债发行首日起每满一年可享受的当期利息。</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年利息的计算公式为：I=B×i</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I：指年利息额；</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B：指本次发行的可转债持有人在计息年度（以下简称“当年”或“每年”）付息债权登记日持有的可转债票面总金额；</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i：指可转债的当年票面利率。</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（二）付息方式</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1、本次发行的可转债采用每年付息一次的付息方式，计息起始日为可转债发行首日。</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2、付息日：每年的付息日为本次发行的可转债发行首日起每满一年的当日，如该日为法定节假日或休息日，则顺延至下一个交易日，顺延期间不另付息。每相邻的两个付息日之间为一个计息年度。</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付息债权登记日：每年的付息债权登记日为每年付息日的前一交易日，本行将在每年付息日之后的五个交易日内支付当年利息。在付息债权登记日前（包括付息债权登记日）申请转换成本行A股股票的可转债，本行不再向其持有人支付本计息年度及以后计息年度的利息。</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4、可转债持有人所获得利息收入的应付税项由持有人承担。</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七、转股期限</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本次可转债转股期自可转债发行结束之日满六个月后的第一个交易日起至可转债到期之日止。</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八、转股价格的确定及其调整</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（一）初始转股价格的确定依据</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发行可转债的初始转股价格不低于募集说明书公告之日前三十个交易日、前二十个交易日本行A股股票交易均价（若在该三十个交易日或二十个交易日内发生过因除权、除息引起股价调整的情形，则对调整前交易日的交易价按经过相应除权、除息调整后的价格计算）和前一个交易日本行A股股票交易均价，以及最近一期经审计的每股净资产（若自最近一期经审计的财务报告资产负债表日至募集说明书公告日期间发生送股、资本公积金转增股本或配股等除权事项，则最近一期经审计的每股净资产按经过相应除权调整后的数值确定）和股票面值。具体初始转股价格由本行董事会（或由董事会转授权的经营管理层）根据股东大会的授权在发行前根据市场状况确定。</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前三十个交易日本行A股股票交易均价=前三十个交易日本行A股股票交易总额/该三十个交易日本行A股股票交易总量；前二十个交易日本行A股股票交易均价=前二十个交易日本行A股股票交易总额/该二十个交易日本行A股股票交易总量；前一个交易日本行A股股票交易均价=前一个交易日本行A股股票交易总额/该日本行A股股票交易总量。</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（二）转股价格的调整方式</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在本次发行之后，当本行出现因派送股票股利、转增股本、增发新股或配股（不包括因本次发行的可转债转股而增加的股本）使本行股份发生变化及派送现金股利等情况时，本行将视具体情况按照公平、公正、公允的原则以及充分保护本次发行的可转债持有人权益的原则调整转股价格。具体的转股价格调整公式由本行董事会（或由董事会转授权的经营管理层）根据股东大会的授权及相关规定在募集说明书中予以明确。</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当出现上述股份和/或股东权益变化情况时，本行将按照最终确定的方式进行转股价格调整，并在中国证监会指定的上市公司信息披露媒体上刊登转股价格调整的公告，并于公告中载明转股价格的调整日、调整办法及暂停转股的期间（如需）。当转股价格调整日为本次发行的可转债持有人转股申请日或之后、转换股票登记日之前，则该持有人的转股申请按本行调整后的转股价格执行。</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当本行可能发生股份回购、合并、分立或任何其他情形使本行股份类别、数量和/或股东权益发生变化从而可能影响本次发行的可转债持有人的债权利益或转股衍生权益时，本行将视具体情况按照公平、公正、公允的原则以及充分保护本次发行的可转债持有人权益的原则调整转股价格。有关转股价格调整的内容及操作办法将依据届时国家有关法律法规及证券监管部门的相关规定制订。</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九、转股价格向下修正条款</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（一）修正权限与修正幅度</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在本次发行的可转债存续期间，当本行A股股票在任意连续三十个交易日中有十五个交易日的收盘价低于当期转股价格的80%时，本行董事会有权提出转股价格向下修正方案并提交本行股东大会审议表决。</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若在上述交易日内发生过因除权、除息等引起本行转股价格调整的情形，则在转股价格调整日前的交易日按调整前的转股价格和收盘价计算，在转股价格调整日及之后的交易日按调整后的转股价格和收盘价计算。</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上述方案须经参加表决的全体股东所持表决权的三分之二以上通过方可实施。股东大会进行表决时，持有本次发行的可转债的股东应当回避。修正后的转股价格应不低于审议上述方案的股东大会召开日前三十个交易日、前二十个交易日本行A股股票交易均价（若在该三十个交易日或二十个交易日内发生过因除权、除息引起股价调整的情形，则对调整前交易日的交易价按经过相应除权、除息调整后的价格计算）和前一交易日本行A股股票交易均价，同时修正后的转股价格不低于最近一期经审计的每股净资产（若自最近一期经审计的财务报告资产负债表日至审议上述方案的股东大会召开日期间发生送股、资本公积金转增股本或配股等除权事项，则最近一期经审计的每股净资产按经过相应除权调整后的数值确定）和股票面值。</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（二）修正程序</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如本行决定向下修正转股价格，本行将在中国证监会指定的上市公司信息披露媒体上刊登股东大会决议公告，公告修正幅度、股权登记日及暂停转股的期间（如需）。从股权登记日后的第一个交易日（即转股价格修正日）起，开始恢复转股申请并执行修正后的转股价格。</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若转股价格修正日为转股申请日或之后、转换股份登记日之前，该类转股申请应按修正后的转股价格执行。</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十、转股数量的确定方式</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本次发行的可转债持有人在转股期内申请转股时，转股数量的计算方式为：Q=V/P，并以去尾法取一股的整数倍。</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其中：V为可转债持有人申请转股的可转债票面总金额；P为申请转股当日有效的转股价格。</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转股时不足转换为一股的可转债余额，本行将按照</w:t>
      </w:r>
      <w:r>
        <w:rPr>
          <w:rFonts w:hint="eastAsia" w:ascii="宋体" w:hAnsi="宋体" w:eastAsia="宋体" w:cs="宋体"/>
          <w:sz w:val="24"/>
          <w:szCs w:val="24"/>
          <w:lang w:val="en-US" w:eastAsia="zh-CN"/>
        </w:rPr>
        <w:t>上交所</w:t>
      </w:r>
      <w:r>
        <w:rPr>
          <w:rFonts w:hint="eastAsia" w:ascii="宋体" w:hAnsi="宋体" w:eastAsia="宋体" w:cs="宋体"/>
          <w:sz w:val="24"/>
          <w:szCs w:val="24"/>
        </w:rPr>
        <w:t>等机构的有关规定，在可转债持有人转股当日后的五个交易日内以现金兑付该可转债余额及该余额所对应的当期应计利息（当期应计利息的计算方式参见第十二条赎回条款的相关内容）。</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十一、转股年度有关股利的归属</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因本次发行的可转债转股而增加的本行A股股票享有与原A股股票同等的权益，在股利分配股权登记日当日登记在册的所有A股股东均享受当期股利。</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十二、赎回条款</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（一）到期赎回条款</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在本次发行的可转债期满后五个交易日内，本行将以本次发行的可转债的票面面值上浮一定比率（含最后一期年度利息）的价格向投资者赎回全部未转股的可转债。具体上浮比率由本行董事会（或由董事会转授权的经营管理层）根据股东大会的授权及市场情况等确定。</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（二）有条件赎回条款</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在本次发行可转债的转股期内，如果本行A股股票连续三十个交易日中至少有十五个交易日的收盘价格不低于当期转股价格的130%（含130%），经相关监管部门批准（如需），本行有权按照债券面值加当期应计利息的价格赎回全部或部分未转股的可转债。若在上述交易日内发生过因除权、除息等引起本行转股价格调整的情形，则在调整日前的交易日按调整前的转股价格和收盘价格计算，在调整日及之后的交易日按调整后的转股价格和收盘价格计算。</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此外，当本次发行的可转债未转股的票面总金额不足人民币3,000万元时，本行有权按债券面值加当期应计利息的价格赎回全部未转股的可转债。</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当期应计利息的计算公式为：</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IA=B×i×t/365</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IA：指当期应计利息；</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B：指本次发行的可转债持有人持有的将赎回的可转债票面总金额；</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i：指可转债当年票面利率；</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t：指计息天数，即从上一个付息日起至本计息年度赎回日止的实际日历天数（算头不算尾）。</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十三、回售条款</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若本次发行可转债募集资金运用的实施情况与本行在募集说明书中的承诺相比出现变化，该变化被中国证监会认定为改变募集资金用途的，可转债持有人享有一次以面值加上当期应计利息的价格向本行回售本次发行的可转债的权利。在上述情形下，可转债持有人可以在本行公告后的回售申报期内进行回售，该次回售申报期内不实施回售的，自动丧失该回售权。除此之外，可转债不可由持有人主动回售。</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十四、发行方式及发行对象</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可转债的具体发行方式由本行董事会（或由董事会转授权的经营管理层）根据股东大会的授权确定。本次可转债的发行对象为持有中国证券登记结算有限责任公司上海分公司证券账户的自然人、法人、证券投资基金、符合法律规定的其他投资者等（国家法律、法规禁止者除外）。</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十五、向原股东配售的安排</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发行的可转债给予原A股股东优先配售权。具体优先配售数量由本行董事会（或由董事会转授权的经营管理层）根据股东大会的授权在发行前根据市场情况确定，并在本次发行的可转债的募集说明书中予以披露。该等优先配售将须遵守《中华人民共和国公司法》或任何其他政府或监管机构的所有适用法律、法规及规则（包括但是不限于关联交易相关的规则和要求）方可落实。</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十六、可转债持有人及可转债持有人会议</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（一）可转债持有人的权利与义务</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1、可转债持有人的权利</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（1）依照其所持有的可转债数额享有约定利息；</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（2）根据约定的条件将所持有的可转债转为本行A股股票；</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（3）根据约定的条件行使回售权；</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（4）依照法律、行政法规及《公司章程》的规定转让、赠与或质押其所持有的可转债；</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（5）依照法律、行政法规及本行章程的规定获得有关信息；</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（6）按约定的期限和方式要求本行偿付可转债本金和利息；</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（7）依照法律、行政法规等相关规定参与或委托代理人参与债券持有人会议并行使表决权；</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（8）法律、行政法规及本行章程所赋予的其作为本行债权人的其他权利。</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2、可转债持有人的义务</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（1）遵守本行所发行的可转债条款的相关规定；</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（2）依其所认购的可转债数额缴纳认购资金；</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（3）遵守债券持有人会议形成的有效决议；</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（4）除法律、法规规定及可转债募集说明书约定之外，不得要求本行提前偿付可转债的本金和利息；</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（5）法律、行政法规及本行章程规定应当由可转债持有人承担的其他义务。</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（二）可转债持有人会议</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1、可转债持有人会议行使权利的范围</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在本次发行的可转债存续期内，发生下列情形之一的，应当通过可转债持有人会议决议方式进行决策：</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（1）本行拟变更募集说明书的约定；</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（2）本行拟修订可转债持有人会议规则；</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（3）本行拟变更可转债受托管理人或受托管理协议的主要内容；</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（4）本行不能按期支付可转债的本金和利息；</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（5）本行减资、合并等可能导致偿债能力发生重大不利变化，需要决定或者授权采取相应措施；</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（6）本行分立、被托管、解散、申请破产或者依法进入破产程序；</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（7）偿债保障措施发生重大变化；</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（8）本行管理层不能正常履行职责，导致本行债务清偿能力面临严重不确定性；</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（9）本行提出债务重组方案的；</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（10）发生其他对可转债持有人权益有重大影响的事项。</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2、可转债持有人会议的召集</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可转债持有人会议主要由可转债受托管理人负责召集。本次可转债存续期间，出现可转债持有人会议行使权利范围的约定情形之一且符合可转债持有人会议规则约定要求的拟审议议案的，可转债受托管理人原则上应于15个交易日内召开可转债持有人会议，经单独或合计持有本次可转债未偿还面值总额30%以上的可转债持有人同意延期召开的除外。延期时间原则上不超过15个交易日；</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（2）本行、单独或合计持有本次可转债未偿还面值总额10%以上的持有人、中国证监会及</w:t>
      </w:r>
      <w:r>
        <w:rPr>
          <w:rFonts w:hint="eastAsia" w:ascii="宋体" w:hAnsi="宋体" w:eastAsia="宋体" w:cs="宋体"/>
          <w:sz w:val="24"/>
          <w:szCs w:val="24"/>
          <w:lang w:val="en-US" w:eastAsia="zh-CN"/>
        </w:rPr>
        <w:t>上交所</w:t>
      </w:r>
      <w:r>
        <w:rPr>
          <w:rFonts w:hint="eastAsia" w:ascii="宋体" w:hAnsi="宋体" w:eastAsia="宋体" w:cs="宋体"/>
          <w:sz w:val="24"/>
          <w:szCs w:val="24"/>
        </w:rPr>
        <w:t>规定的其他机构或人士（以下简称“提议人”）有权提议可转债受托管理人召集可转债持有人会议。</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提议人拟提议召集可转债持有人会议的，应当以书面形式告知可转债受托管理人，提出符合可转债持有人会议规则约定权限范围及其他要求的拟审议议案。可转债受托管理人应当自收到书面提议之日起5个交易日内向提议人书面回复是否召集可转债持有人会议，并说明召集会议的具体安排或不召集会议的理由。同意召集会议的，应当于书面回复日起15个交易日内召开可转债持有人会议，提议人同意延期召开的除外；</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（3）可转债受托管理人不同意召集会议或者应当召集而未召集会议的，本行、单独或合计持有本次可转债未偿还面值总额10%以上的持有人、中国证监会及</w:t>
      </w:r>
      <w:r>
        <w:rPr>
          <w:rFonts w:hint="eastAsia" w:ascii="宋体" w:hAnsi="宋体" w:eastAsia="宋体" w:cs="宋体"/>
          <w:sz w:val="24"/>
          <w:szCs w:val="24"/>
          <w:lang w:val="en-US" w:eastAsia="zh-CN"/>
        </w:rPr>
        <w:t>上交所</w:t>
      </w:r>
      <w:r>
        <w:rPr>
          <w:rFonts w:hint="eastAsia" w:ascii="宋体" w:hAnsi="宋体" w:eastAsia="宋体" w:cs="宋体"/>
          <w:sz w:val="24"/>
          <w:szCs w:val="24"/>
        </w:rPr>
        <w:t>规定的其他机构或人士有权自行召集可转债持有人会议，可转债受托管理人应当为召开可转债持有人会议提供必要协助。</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3、可转债持有人会议的通知</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召集人应当最晚于可转债持有人会议召开日前第10个交易日披露召开可转债持有人会议的通知公告。可转债受托管理人认为需要紧急召集可转债持有人会议以有利于可转债持有人权益保护的，应最晚于现场会议（包括现场、非现场相结合形式召开的会议）召开日前第3个交易日或者非现场会议召开日前第2个交易日披露召开可转债持有人会议的通知公告。</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通知公告内容包括但不限于可转债基本情况、会议时间、会议召开形式、会议地点（如有）、会议拟审议议案、债权登记日、会议表决方式及表决时间等议事程序、委托事项、召集人及会务负责人的姓名和联系方式等。</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4、可转债持有人会议的决策机制</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（1）可转债持有人会议采取记名方式投票表决；</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可转债持有人进行表决时，每一张未偿还的债券享有一票表决权，但本行及其关联方、债券清偿义务承继方及其他与拟审议事项存在利益冲突的机构或个人等直接持有或间接控制的债券份额除外。可转债持有人会议表决开始前，上述机构、个人或者其委托投资的资产管理产品的管理人应当主动向召集人申报关联关系或利益冲突有关情况并回避表决；</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（3）出席会议的可转债持有人按照会议通知中披露的议案顺序，依次逐项对提交审议的议案进行表决；</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（4）可转债持有人会议须经出席会议的三分之二以上可转债面值总额的持有人同意方能形成有效决议；</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（5）可转债持有人会议决议经表决通过后生效，但其中需中国证监会或其他有权机构批准的，自批准之日或相关批准另行确定的日期起生效；</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（6）可转债持有人会议按照《可转换公司债券管理办法》等规定及可转债持有人会议规则的程序要求所形成的决议对全体可转债持有人具有约束力；</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可转债持有人会议应当由律师见证。见证律师应当针对会议的召集、召开、表决程序，出席会议人员资格，有效表决权的确定、决议的效力及其合法性等事项出具法律意见书。法律意见书应当与可转债持有人会议决议一同披露；</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可转债持有人会议均由可转债受托管理人负责记录，并由召集人指定代表及见证律师共同签字确认。可转债持有人会议记录、表决票、可转债持有人参会资格证明文件、代理人的委托书及其他会议材料由可转债受托管理人保存。保存期限至少至本次可转债债权债务关系终止后的5年；</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9）召集人应最晚于可转债持有人会议表决截止日次一交易日披露会议决议公告。按照可转债持有人会议规则约定的权限范围及会议程序形成的可转债持有人会议生效决议，可转债受托管理人应当积极落实，及时告知本行或其他相关方并督促其予以落实。</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5、可转债持有人会议的会议议程</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（1）召集人介绍召集会议的缘由、背景及会议出席人员；</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（2）召集人或提案人介绍所提议案的背景、具体内容、可行性等；</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（3）享有表决权的可转债持有人针对拟审议议案询问提案人或出席会议的其他利益相关方，可转债持有人之间进行沟通协商，可转债持有人与本行、债券清偿义务承继方等就拟审议议案进行沟通协商；</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（4）享有表决权的持有人依据可转债持有人会议规则约定程序进行表决。</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6、可转债投资者通过认购、交易、受让、继承或其他合法方式持有本次可转债的，视为同意并接受可转债持有人会议规则相关约定，并受可转债持有人会议规则之约束。</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提请股东大会授权本行董事会（或由董事会转授权的经营管理层）在上述框架下，按照相关监管部门的要求，落实可转债受托管理安排及可转债持有人会议规则等相关事宜。若届时监管部门对可转债持有人的权利与义务、可转债持有人会议规则另有规定的，从其规定。</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十七、募集资金用途</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本行本次发行可转债募集的资金，扣除发行费用后将全部用于支持本行未来各项业务发展，在可转债持有人转股后按照相关监管要求用于补充本行核心一级资本。</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十八、担保事项</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本次发行的可转债不提供担保。</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十九、决议有效期</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本次发行可转债决议的有效期为本行股东大会审议通过本次发行方案之日起十二个月。</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本次可转债发行方案需经中国银行保险监督管理委员会厦门监管局批准和中国证监会核准后方可实施，并以前述监管机构最终核准的方案为准。</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szCs w:val="24"/>
        </w:rPr>
        <w:t>本议案需进行逐项表决。</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lang w:val="en-US" w:eastAsia="zh-CN"/>
        </w:rPr>
      </w:pP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0"/>
        </w:rPr>
      </w:pPr>
      <w:r>
        <w:rPr>
          <w:rFonts w:hint="eastAsia" w:ascii="宋体" w:hAnsi="宋体" w:eastAsia="宋体" w:cs="宋体"/>
          <w:sz w:val="24"/>
        </w:rPr>
        <w:t>本议案已经第八届董事会第十九次会议、第八届监事会第十三次会议审议通过，请各位股东审议。</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0"/>
        </w:rPr>
      </w:pP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0"/>
        </w:rPr>
      </w:pPr>
    </w:p>
    <w:p>
      <w:pPr>
        <w:pStyle w:val="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厦门银行股份有限公司</w:t>
      </w:r>
    </w:p>
    <w:p>
      <w:pPr>
        <w:pStyle w:val="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right"/>
        <w:textAlignment w:val="auto"/>
        <w:rPr>
          <w:rFonts w:hint="eastAsia"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2</w:t>
      </w:r>
      <w:r>
        <w:rPr>
          <w:rFonts w:hint="eastAsia" w:ascii="宋体" w:hAnsi="宋体" w:eastAsia="宋体" w:cs="宋体"/>
          <w:sz w:val="24"/>
          <w:szCs w:val="24"/>
        </w:rPr>
        <w:t>年</w:t>
      </w:r>
      <w:r>
        <w:rPr>
          <w:rFonts w:hint="eastAsia" w:ascii="宋体" w:hAnsi="宋体" w:eastAsia="宋体" w:cs="宋体"/>
          <w:sz w:val="24"/>
          <w:szCs w:val="24"/>
          <w:lang w:val="en-US" w:eastAsia="zh-CN"/>
        </w:rPr>
        <w:t>6</w:t>
      </w:r>
      <w:r>
        <w:rPr>
          <w:rFonts w:hint="eastAsia" w:ascii="宋体" w:hAnsi="宋体" w:eastAsia="宋体" w:cs="宋体"/>
          <w:sz w:val="24"/>
          <w:szCs w:val="24"/>
        </w:rPr>
        <w:t>月</w:t>
      </w:r>
      <w:r>
        <w:rPr>
          <w:rFonts w:hint="eastAsia" w:ascii="宋体" w:hAnsi="宋体" w:eastAsia="宋体" w:cs="宋体"/>
          <w:sz w:val="24"/>
          <w:szCs w:val="24"/>
          <w:lang w:val="en-US" w:eastAsia="zh-CN"/>
        </w:rPr>
        <w:t>2</w:t>
      </w:r>
      <w:r>
        <w:rPr>
          <w:rFonts w:hint="eastAsia" w:ascii="宋体" w:hAnsi="宋体" w:eastAsia="宋体" w:cs="宋体"/>
          <w:sz w:val="24"/>
          <w:szCs w:val="24"/>
        </w:rPr>
        <w:t>日</w:t>
      </w:r>
    </w:p>
    <w:p>
      <w:pPr>
        <w:rPr>
          <w:rFonts w:hint="eastAsia" w:hAnsi="宋体" w:eastAsia="宋体" w:cs="宋体"/>
          <w:sz w:val="24"/>
          <w:szCs w:val="24"/>
        </w:rPr>
      </w:pPr>
      <w:r>
        <w:rPr>
          <w:rFonts w:hint="eastAsia" w:hAnsi="宋体" w:eastAsia="宋体" w:cs="宋体"/>
          <w:sz w:val="24"/>
          <w:szCs w:val="24"/>
        </w:rPr>
        <w:br w:type="page"/>
      </w:r>
    </w:p>
    <w:p>
      <w:pPr>
        <w:pStyle w:val="19"/>
      </w:pPr>
    </w:p>
    <w:p>
      <w:pPr>
        <w:spacing w:line="360" w:lineRule="auto"/>
        <w:jc w:val="center"/>
        <w:rPr>
          <w:rFonts w:ascii="宋体" w:hAnsi="宋体" w:eastAsia="宋体" w:cs="宋体"/>
          <w:b/>
          <w:bCs/>
          <w:sz w:val="28"/>
          <w:szCs w:val="36"/>
        </w:rPr>
      </w:pPr>
      <w:r>
        <w:rPr>
          <w:rFonts w:hint="eastAsia" w:ascii="宋体" w:hAnsi="宋体" w:eastAsia="宋体" w:cs="宋体"/>
          <w:b/>
          <w:bCs/>
          <w:color w:val="000000"/>
          <w:sz w:val="30"/>
          <w:szCs w:val="30"/>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2494915" cy="676275"/>
                <wp:effectExtent l="5080" t="4445" r="14605" b="5080"/>
                <wp:wrapNone/>
                <wp:docPr id="11" name="文本框 3"/>
                <wp:cNvGraphicFramePr/>
                <a:graphic xmlns:a="http://schemas.openxmlformats.org/drawingml/2006/main">
                  <a:graphicData uri="http://schemas.microsoft.com/office/word/2010/wordprocessingShape">
                    <wps:wsp>
                      <wps:cNvSpPr txBox="1"/>
                      <wps:spPr>
                        <a:xfrm>
                          <a:off x="0" y="0"/>
                          <a:ext cx="2494915" cy="676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rPr>
                              <w:t>议案</w:t>
                            </w:r>
                            <w:r>
                              <w:rPr>
                                <w:rFonts w:hint="eastAsia" w:ascii="宋体" w:hAnsi="宋体" w:eastAsia="宋体" w:cs="宋体"/>
                                <w:lang w:val="en-US" w:eastAsia="zh-CN"/>
                              </w:rPr>
                              <w:t>10</w:t>
                            </w:r>
                          </w:p>
                        </w:txbxContent>
                      </wps:txbx>
                      <wps:bodyPr wrap="square" upright="1"/>
                    </wps:wsp>
                  </a:graphicData>
                </a:graphic>
              </wp:anchor>
            </w:drawing>
          </mc:Choice>
          <mc:Fallback>
            <w:pict>
              <v:shape id="文本框 3" o:spid="_x0000_s1026" o:spt="202" type="#_x0000_t202" style="position:absolute;left:0pt;margin-left:0pt;margin-top:0pt;height:53.25pt;width:196.45pt;z-index:251669504;mso-width-relative:page;mso-height-relative:page;" fillcolor="#FFFFFF" filled="t" stroked="t" coordsize="21600,21600" o:gfxdata="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hXBbWAAAABQEAAA8AAAAAAAAAAQAgAAAAIgAAAGRycy9kb3ducmV2Lnht&#10;bFBLAQIUABQAAAAIAIdO4kD3S4zb+wEAAPcDAAAOAAAAAAAAAAEAIAAAACUBAABkcnMvZTJvRG9j&#10;LnhtbFBLBQYAAAAABgAGAFkBAACSBQ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rPr>
                        <w:t>议案</w:t>
                      </w:r>
                      <w:r>
                        <w:rPr>
                          <w:rFonts w:hint="eastAsia" w:ascii="宋体" w:hAnsi="宋体" w:eastAsia="宋体" w:cs="宋体"/>
                          <w:lang w:val="en-US" w:eastAsia="zh-CN"/>
                        </w:rPr>
                        <w:t>10</w:t>
                      </w:r>
                    </w:p>
                  </w:txbxContent>
                </v:textbox>
              </v:shape>
            </w:pict>
          </mc:Fallback>
        </mc:AlternateContent>
      </w:r>
    </w:p>
    <w:p>
      <w:pPr>
        <w:spacing w:line="360" w:lineRule="auto"/>
        <w:jc w:val="center"/>
        <w:rPr>
          <w:rFonts w:ascii="宋体" w:hAnsi="宋体" w:eastAsia="宋体" w:cs="宋体"/>
          <w:b/>
          <w:bCs/>
          <w:sz w:val="28"/>
          <w:szCs w:val="36"/>
        </w:rPr>
      </w:pPr>
    </w:p>
    <w:p>
      <w:pPr>
        <w:pStyle w:val="2"/>
      </w:pPr>
    </w:p>
    <w:p>
      <w:pPr>
        <w:spacing w:line="360" w:lineRule="auto"/>
        <w:jc w:val="center"/>
        <w:outlineLvl w:val="0"/>
        <w:rPr>
          <w:rFonts w:hint="eastAsia" w:ascii="宋体" w:hAnsi="宋体" w:eastAsia="宋体" w:cs="宋体"/>
          <w:b/>
          <w:bCs/>
          <w:sz w:val="28"/>
          <w:szCs w:val="36"/>
        </w:rPr>
      </w:pPr>
      <w:r>
        <w:rPr>
          <w:rFonts w:hint="eastAsia" w:ascii="宋体" w:hAnsi="宋体" w:eastAsia="宋体" w:cs="宋体"/>
          <w:b/>
          <w:bCs/>
          <w:sz w:val="28"/>
          <w:szCs w:val="36"/>
        </w:rPr>
        <w:t>厦门银行股份有限公司</w:t>
      </w:r>
    </w:p>
    <w:p>
      <w:pPr>
        <w:spacing w:line="360" w:lineRule="auto"/>
        <w:jc w:val="center"/>
        <w:outlineLvl w:val="0"/>
        <w:rPr>
          <w:rFonts w:ascii="宋体" w:hAnsi="宋体" w:eastAsia="宋体" w:cs="宋体"/>
          <w:bCs/>
          <w:color w:val="000000"/>
          <w:kern w:val="36"/>
          <w:sz w:val="24"/>
        </w:rPr>
      </w:pPr>
      <w:r>
        <w:rPr>
          <w:rFonts w:hint="eastAsia" w:ascii="宋体" w:hAnsi="宋体" w:eastAsia="宋体" w:cs="宋体"/>
          <w:b/>
          <w:bCs/>
          <w:sz w:val="28"/>
          <w:szCs w:val="36"/>
        </w:rPr>
        <w:t>关于公开发行A股可转换公司债券募集资金使用可行性报告的议案</w:t>
      </w:r>
    </w:p>
    <w:p>
      <w:pPr>
        <w:snapToGrid w:val="0"/>
        <w:spacing w:line="360" w:lineRule="auto"/>
        <w:rPr>
          <w:rFonts w:hint="eastAsia" w:ascii="宋体" w:hAnsi="宋体" w:eastAsia="宋体" w:cs="宋体"/>
          <w:bCs/>
          <w:color w:val="000000"/>
          <w:kern w:val="36"/>
          <w:sz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sz w:val="24"/>
        </w:rPr>
      </w:pPr>
      <w:r>
        <w:rPr>
          <w:rFonts w:hint="eastAsia" w:ascii="宋体" w:hAnsi="宋体" w:eastAsia="宋体" w:cs="宋体"/>
          <w:bCs/>
          <w:color w:val="000000"/>
          <w:kern w:val="36"/>
          <w:sz w:val="24"/>
        </w:rPr>
        <w:t>尊敬的各位</w:t>
      </w:r>
      <w:r>
        <w:rPr>
          <w:rFonts w:hint="eastAsia" w:ascii="宋体" w:hAnsi="宋体" w:eastAsia="宋体" w:cs="宋体"/>
          <w:sz w:val="24"/>
        </w:rPr>
        <w:t>股东</w:t>
      </w:r>
      <w:r>
        <w:rPr>
          <w:rFonts w:hint="eastAsia" w:ascii="宋体" w:hAnsi="宋体" w:eastAsia="宋体" w:cs="宋体"/>
          <w:bCs/>
          <w:color w:val="000000"/>
          <w:kern w:val="36"/>
          <w:sz w:val="24"/>
        </w:rPr>
        <w:t>：</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lang w:val="en-US" w:eastAsia="zh-CN"/>
        </w:rPr>
      </w:pPr>
      <w:r>
        <w:rPr>
          <w:rFonts w:hint="eastAsia" w:ascii="宋体" w:hAnsi="宋体" w:eastAsia="宋体" w:cs="宋体"/>
          <w:color w:val="000000"/>
          <w:kern w:val="0"/>
          <w:sz w:val="24"/>
          <w:szCs w:val="24"/>
        </w:rPr>
        <w:t>根据</w:t>
      </w:r>
      <w:r>
        <w:rPr>
          <w:rFonts w:hint="eastAsia" w:ascii="宋体" w:hAnsi="宋体" w:eastAsia="宋体" w:cs="宋体"/>
          <w:color w:val="000000"/>
          <w:kern w:val="0"/>
          <w:sz w:val="24"/>
          <w:szCs w:val="24"/>
          <w:lang w:val="en-US" w:eastAsia="zh-CN"/>
        </w:rPr>
        <w:t>中国证监会</w:t>
      </w:r>
      <w:r>
        <w:rPr>
          <w:rFonts w:hint="eastAsia" w:ascii="宋体" w:hAnsi="宋体" w:eastAsia="宋体" w:cs="宋体"/>
          <w:color w:val="000000"/>
          <w:kern w:val="0"/>
          <w:sz w:val="24"/>
          <w:szCs w:val="24"/>
        </w:rPr>
        <w:t>《上市公司证券发行管理办法》的有关规定，本行编制了《厦门银行股份有限公司公开发行A股可转换公司债券募集资金使用可行性报告》，具体内容请见附件。</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lang w:val="en-US" w:eastAsia="zh-CN"/>
        </w:rPr>
      </w:pP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0"/>
        </w:rPr>
      </w:pPr>
      <w:r>
        <w:rPr>
          <w:rFonts w:hint="eastAsia" w:ascii="宋体" w:hAnsi="宋体" w:eastAsia="宋体" w:cs="宋体"/>
          <w:sz w:val="24"/>
        </w:rPr>
        <w:t>本议案已经第八届董事会第十九次会议、第八届监事会第十三次会议审议通过，请各位股东审议。</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0"/>
        </w:rPr>
      </w:pP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附件：厦门银行股份有限公司公开发行A股可转换公司债券募集资金使用可行性报告</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0"/>
        </w:rPr>
      </w:pPr>
    </w:p>
    <w:p>
      <w:pPr>
        <w:pStyle w:val="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厦门银行股份有限公司</w:t>
      </w:r>
    </w:p>
    <w:p>
      <w:pPr>
        <w:pStyle w:val="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right"/>
        <w:textAlignment w:val="auto"/>
        <w:rPr>
          <w:rFonts w:hint="eastAsia"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2</w:t>
      </w:r>
      <w:r>
        <w:rPr>
          <w:rFonts w:hint="eastAsia" w:ascii="宋体" w:hAnsi="宋体" w:eastAsia="宋体" w:cs="宋体"/>
          <w:sz w:val="24"/>
          <w:szCs w:val="24"/>
        </w:rPr>
        <w:t>年</w:t>
      </w:r>
      <w:r>
        <w:rPr>
          <w:rFonts w:hint="eastAsia" w:ascii="宋体" w:hAnsi="宋体" w:eastAsia="宋体" w:cs="宋体"/>
          <w:sz w:val="24"/>
          <w:szCs w:val="24"/>
          <w:lang w:val="en-US" w:eastAsia="zh-CN"/>
        </w:rPr>
        <w:t>6</w:t>
      </w:r>
      <w:r>
        <w:rPr>
          <w:rFonts w:hint="eastAsia" w:ascii="宋体" w:hAnsi="宋体" w:eastAsia="宋体" w:cs="宋体"/>
          <w:sz w:val="24"/>
          <w:szCs w:val="24"/>
        </w:rPr>
        <w:t>月</w:t>
      </w:r>
      <w:r>
        <w:rPr>
          <w:rFonts w:hint="eastAsia" w:ascii="宋体" w:hAnsi="宋体" w:eastAsia="宋体" w:cs="宋体"/>
          <w:sz w:val="24"/>
          <w:szCs w:val="24"/>
          <w:lang w:val="en-US" w:eastAsia="zh-CN"/>
        </w:rPr>
        <w:t>2</w:t>
      </w:r>
      <w:r>
        <w:rPr>
          <w:rFonts w:hint="eastAsia" w:ascii="宋体" w:hAnsi="宋体" w:eastAsia="宋体" w:cs="宋体"/>
          <w:sz w:val="24"/>
          <w:szCs w:val="24"/>
        </w:rPr>
        <w:t>日</w:t>
      </w:r>
    </w:p>
    <w:p>
      <w:pPr>
        <w:spacing w:line="600" w:lineRule="exact"/>
        <w:rPr>
          <w:rFonts w:hint="eastAsia" w:ascii="宋体" w:hAnsi="宋体" w:eastAsia="宋体" w:cs="Times New Roman"/>
          <w:b/>
          <w:sz w:val="22"/>
          <w:szCs w:val="28"/>
          <w:lang w:eastAsia="zh-CN"/>
        </w:rPr>
      </w:pPr>
      <w:r>
        <w:rPr>
          <w:rFonts w:hint="eastAsia" w:hAnsi="宋体" w:eastAsia="宋体" w:cs="宋体"/>
          <w:sz w:val="24"/>
          <w:szCs w:val="24"/>
        </w:rPr>
        <w:br w:type="page"/>
      </w:r>
      <w:r>
        <w:rPr>
          <w:rFonts w:hint="eastAsia" w:ascii="宋体" w:hAnsi="宋体" w:eastAsia="宋体" w:cs="Times New Roman"/>
          <w:b/>
          <w:sz w:val="22"/>
          <w:szCs w:val="28"/>
        </w:rPr>
        <w:t>附件</w:t>
      </w:r>
      <w:r>
        <w:rPr>
          <w:rFonts w:hint="eastAsia" w:ascii="宋体" w:hAnsi="宋体" w:eastAsia="宋体" w:cs="Times New Roman"/>
          <w:b/>
          <w:sz w:val="22"/>
          <w:szCs w:val="28"/>
          <w:lang w:eastAsia="zh-CN"/>
        </w:rPr>
        <w:t>：</w:t>
      </w:r>
    </w:p>
    <w:p>
      <w:pPr>
        <w:spacing w:line="600" w:lineRule="exact"/>
        <w:jc w:val="center"/>
        <w:rPr>
          <w:rFonts w:ascii="Times New Roman" w:hAnsi="Times New Roman" w:eastAsia="宋体" w:cs="Times New Roman"/>
          <w:b/>
          <w:sz w:val="28"/>
          <w:szCs w:val="28"/>
        </w:rPr>
      </w:pPr>
      <w:r>
        <w:rPr>
          <w:rFonts w:hint="eastAsia" w:ascii="Times New Roman" w:hAnsi="Times New Roman" w:eastAsia="宋体" w:cs="Times New Roman"/>
          <w:b/>
          <w:sz w:val="28"/>
          <w:szCs w:val="28"/>
        </w:rPr>
        <w:t>厦门银行股份有限公司</w:t>
      </w:r>
    </w:p>
    <w:p>
      <w:pPr>
        <w:spacing w:line="600" w:lineRule="exact"/>
        <w:jc w:val="center"/>
        <w:rPr>
          <w:rFonts w:ascii="Times New Roman" w:hAnsi="Times New Roman" w:eastAsia="宋体" w:cs="Times New Roman"/>
          <w:b/>
          <w:sz w:val="28"/>
          <w:szCs w:val="28"/>
        </w:rPr>
      </w:pPr>
      <w:r>
        <w:rPr>
          <w:rFonts w:hint="eastAsia" w:ascii="Times New Roman" w:hAnsi="Times New Roman" w:eastAsia="宋体" w:cs="Times New Roman"/>
          <w:b/>
          <w:sz w:val="28"/>
          <w:szCs w:val="28"/>
        </w:rPr>
        <w:t>公开发行A股可转换公司债券募集资金使用可行性报告</w:t>
      </w:r>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rPr>
      </w:pPr>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本行</w:t>
      </w:r>
      <w:r>
        <w:rPr>
          <w:rFonts w:hint="eastAsia" w:ascii="宋体" w:hAnsi="宋体" w:eastAsia="宋体" w:cs="宋体"/>
          <w:sz w:val="24"/>
          <w:szCs w:val="24"/>
        </w:rPr>
        <w:t>拟公开发行可转债，拟募集资金总额不超过人民币50亿元（含50亿元）。本行本次募集资金使用的具体可行性分析如下：</w:t>
      </w:r>
    </w:p>
    <w:p>
      <w:pPr>
        <w:keepNext/>
        <w:keepLines/>
        <w:pageBreakBefore w:val="0"/>
        <w:widowControl w:val="0"/>
        <w:kinsoku/>
        <w:wordWrap/>
        <w:overflowPunct/>
        <w:topLinePunct w:val="0"/>
        <w:autoSpaceDE/>
        <w:autoSpaceDN/>
        <w:bidi w:val="0"/>
        <w:adjustRightInd/>
        <w:snapToGrid w:val="0"/>
        <w:spacing w:after="0" w:line="360" w:lineRule="auto"/>
        <w:ind w:firstLine="482" w:firstLineChars="200"/>
        <w:jc w:val="both"/>
        <w:textAlignment w:val="auto"/>
        <w:outlineLvl w:val="0"/>
        <w:rPr>
          <w:rFonts w:hint="eastAsia" w:ascii="宋体" w:hAnsi="宋体" w:eastAsia="宋体" w:cs="宋体"/>
          <w:b/>
          <w:bCs/>
          <w:kern w:val="44"/>
          <w:sz w:val="24"/>
          <w:szCs w:val="24"/>
          <w:lang w:val="en-US" w:eastAsia="zh-CN" w:bidi="ar-SA"/>
        </w:rPr>
      </w:pPr>
      <w:r>
        <w:rPr>
          <w:rFonts w:hint="eastAsia" w:ascii="宋体" w:hAnsi="宋体" w:eastAsia="宋体" w:cs="宋体"/>
          <w:b/>
          <w:bCs/>
          <w:kern w:val="44"/>
          <w:sz w:val="24"/>
          <w:szCs w:val="24"/>
          <w:lang w:val="en-US" w:eastAsia="zh-CN" w:bidi="ar-SA"/>
        </w:rPr>
        <w:t>一、本次公开发行可转债募集资金总额及用途</w:t>
      </w:r>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本行本次公开发行可转债募集资金总额不超过人民币50亿元（含50亿元），扣除发行费用后将全部用于支持本行未来业务发展，在可转债持有人转股后按照相关监管要求用于补充本行核心一级资本。</w:t>
      </w:r>
    </w:p>
    <w:p>
      <w:pPr>
        <w:keepNext/>
        <w:keepLines/>
        <w:pageBreakBefore w:val="0"/>
        <w:widowControl w:val="0"/>
        <w:kinsoku/>
        <w:wordWrap/>
        <w:overflowPunct/>
        <w:topLinePunct w:val="0"/>
        <w:autoSpaceDE/>
        <w:autoSpaceDN/>
        <w:bidi w:val="0"/>
        <w:adjustRightInd/>
        <w:snapToGrid w:val="0"/>
        <w:spacing w:after="0" w:line="360" w:lineRule="auto"/>
        <w:ind w:firstLine="482" w:firstLineChars="200"/>
        <w:jc w:val="both"/>
        <w:textAlignment w:val="auto"/>
        <w:outlineLvl w:val="0"/>
        <w:rPr>
          <w:rFonts w:hint="eastAsia" w:ascii="宋体" w:hAnsi="宋体" w:eastAsia="宋体" w:cs="宋体"/>
          <w:b/>
          <w:bCs/>
          <w:kern w:val="44"/>
          <w:sz w:val="24"/>
          <w:szCs w:val="24"/>
          <w:lang w:val="en-US" w:eastAsia="zh-CN" w:bidi="ar-SA"/>
        </w:rPr>
      </w:pPr>
      <w:r>
        <w:rPr>
          <w:rFonts w:hint="eastAsia" w:ascii="宋体" w:hAnsi="宋体" w:eastAsia="宋体" w:cs="宋体"/>
          <w:b/>
          <w:bCs/>
          <w:kern w:val="44"/>
          <w:sz w:val="24"/>
          <w:szCs w:val="24"/>
          <w:lang w:val="en-US" w:eastAsia="zh-CN" w:bidi="ar-SA"/>
        </w:rPr>
        <w:t>二、本次公开发行可转债对本行经营管理和财务状况的影响</w:t>
      </w:r>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本次公开发行可转债将进一步充实本行资本，提升本行的资本充足率，从而增强抵御风险的能力，夯实本行各项业务可持续发展的资本基础，有利于增强本行的核心竞争力并实现既定的战略目标。</w:t>
      </w:r>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本次公开发行可转债对本行经营管理和财务状况产生的影响主要表现在：</w:t>
      </w:r>
    </w:p>
    <w:p>
      <w:pPr>
        <w:keepNext/>
        <w:keepLines/>
        <w:pageBreakBefore w:val="0"/>
        <w:widowControl w:val="0"/>
        <w:kinsoku/>
        <w:wordWrap/>
        <w:overflowPunct/>
        <w:topLinePunct w:val="0"/>
        <w:autoSpaceDE/>
        <w:autoSpaceDN/>
        <w:bidi w:val="0"/>
        <w:adjustRightInd/>
        <w:snapToGrid w:val="0"/>
        <w:spacing w:after="0" w:line="360" w:lineRule="auto"/>
        <w:ind w:firstLine="482" w:firstLineChars="200"/>
        <w:jc w:val="both"/>
        <w:textAlignment w:val="auto"/>
        <w:outlineLvl w:val="1"/>
        <w:rPr>
          <w:rFonts w:hint="eastAsia" w:ascii="宋体" w:hAnsi="宋体" w:eastAsia="宋体" w:cs="宋体"/>
          <w:b/>
          <w:bCs/>
          <w:kern w:val="44"/>
          <w:sz w:val="24"/>
          <w:szCs w:val="24"/>
          <w:lang w:val="en-US" w:eastAsia="zh-CN" w:bidi="ar-SA"/>
        </w:rPr>
      </w:pPr>
      <w:r>
        <w:rPr>
          <w:rFonts w:hint="eastAsia" w:ascii="宋体" w:hAnsi="宋体" w:eastAsia="宋体" w:cs="宋体"/>
          <w:b/>
          <w:bCs/>
          <w:kern w:val="44"/>
          <w:sz w:val="24"/>
          <w:szCs w:val="24"/>
          <w:lang w:val="en-US" w:eastAsia="zh-CN" w:bidi="ar-SA"/>
        </w:rPr>
        <w:t>（一）对本行股权结构和控制权的影响</w:t>
      </w:r>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本次公开发行可转债前后本行均无控股股东和实际控制人，本次发行不会导致本行控制权发生改变。</w:t>
      </w:r>
    </w:p>
    <w:p>
      <w:pPr>
        <w:keepNext/>
        <w:keepLines/>
        <w:pageBreakBefore w:val="0"/>
        <w:widowControl w:val="0"/>
        <w:kinsoku/>
        <w:wordWrap/>
        <w:overflowPunct/>
        <w:topLinePunct w:val="0"/>
        <w:autoSpaceDE/>
        <w:autoSpaceDN/>
        <w:bidi w:val="0"/>
        <w:adjustRightInd/>
        <w:snapToGrid w:val="0"/>
        <w:spacing w:after="0" w:line="360" w:lineRule="auto"/>
        <w:ind w:firstLine="482" w:firstLineChars="200"/>
        <w:jc w:val="both"/>
        <w:textAlignment w:val="auto"/>
        <w:outlineLvl w:val="1"/>
        <w:rPr>
          <w:rFonts w:hint="eastAsia" w:ascii="宋体" w:hAnsi="宋体" w:eastAsia="宋体" w:cs="宋体"/>
          <w:b/>
          <w:bCs/>
          <w:kern w:val="44"/>
          <w:sz w:val="24"/>
          <w:szCs w:val="24"/>
          <w:lang w:val="en-US" w:eastAsia="zh-CN" w:bidi="ar-SA"/>
        </w:rPr>
      </w:pPr>
      <w:r>
        <w:rPr>
          <w:rFonts w:hint="eastAsia" w:ascii="宋体" w:hAnsi="宋体" w:eastAsia="宋体" w:cs="宋体"/>
          <w:b/>
          <w:bCs/>
          <w:kern w:val="44"/>
          <w:sz w:val="24"/>
          <w:szCs w:val="24"/>
          <w:lang w:val="en-US" w:eastAsia="zh-CN" w:bidi="ar-SA"/>
        </w:rPr>
        <w:t>（二）对净资产、每股净资产和净资产收益率的影响</w:t>
      </w:r>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公开发行可转债后，本行净资产规模将增加。本次公开发行可转债在转股后短期内可能对本行净资产收益率产生一定的摊薄。但长期来看，随着募集资金逐步产生效益，将对本行经营业绩产生积极影响并进一步提升本行的每股净资产和净资产收益率。</w:t>
      </w:r>
    </w:p>
    <w:p>
      <w:pPr>
        <w:keepNext/>
        <w:keepLines/>
        <w:pageBreakBefore w:val="0"/>
        <w:widowControl w:val="0"/>
        <w:kinsoku/>
        <w:wordWrap/>
        <w:overflowPunct/>
        <w:topLinePunct w:val="0"/>
        <w:autoSpaceDE/>
        <w:autoSpaceDN/>
        <w:bidi w:val="0"/>
        <w:adjustRightInd/>
        <w:snapToGrid w:val="0"/>
        <w:spacing w:after="0" w:line="360" w:lineRule="auto"/>
        <w:ind w:firstLine="482" w:firstLineChars="200"/>
        <w:jc w:val="both"/>
        <w:textAlignment w:val="auto"/>
        <w:outlineLvl w:val="1"/>
        <w:rPr>
          <w:rFonts w:hint="eastAsia" w:ascii="宋体" w:hAnsi="宋体" w:eastAsia="宋体" w:cs="宋体"/>
          <w:b/>
          <w:bCs/>
          <w:kern w:val="2"/>
          <w:sz w:val="24"/>
          <w:szCs w:val="24"/>
          <w:lang w:val="en-US" w:eastAsia="zh-CN" w:bidi="ar-SA"/>
        </w:rPr>
      </w:pPr>
      <w:r>
        <w:rPr>
          <w:rFonts w:hint="eastAsia" w:ascii="宋体" w:hAnsi="宋体" w:eastAsia="宋体" w:cs="宋体"/>
          <w:b/>
          <w:bCs/>
          <w:kern w:val="44"/>
          <w:sz w:val="24"/>
          <w:szCs w:val="24"/>
          <w:lang w:val="en-US" w:eastAsia="zh-CN" w:bidi="ar-SA"/>
        </w:rPr>
        <w:t>（三）对资本充足率的影响</w:t>
      </w:r>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本次公开发行可转债募集资金将用于本行未来各项业务发展，在可转债持有人转股后将有效补充本行的核心一级资本，提高本行资本充足水平，增强本行的风险抵御能力和竞争实力。</w:t>
      </w:r>
    </w:p>
    <w:p>
      <w:pPr>
        <w:keepNext/>
        <w:keepLines/>
        <w:pageBreakBefore w:val="0"/>
        <w:widowControl w:val="0"/>
        <w:kinsoku/>
        <w:wordWrap/>
        <w:overflowPunct/>
        <w:topLinePunct w:val="0"/>
        <w:autoSpaceDE/>
        <w:autoSpaceDN/>
        <w:bidi w:val="0"/>
        <w:adjustRightInd/>
        <w:snapToGrid w:val="0"/>
        <w:spacing w:after="0" w:line="360" w:lineRule="auto"/>
        <w:ind w:firstLine="482" w:firstLineChars="200"/>
        <w:jc w:val="both"/>
        <w:textAlignment w:val="auto"/>
        <w:outlineLvl w:val="1"/>
        <w:rPr>
          <w:rFonts w:hint="eastAsia" w:ascii="宋体" w:hAnsi="宋体" w:eastAsia="宋体" w:cs="宋体"/>
          <w:b/>
          <w:bCs/>
          <w:kern w:val="44"/>
          <w:sz w:val="24"/>
          <w:szCs w:val="24"/>
          <w:lang w:val="en-US" w:eastAsia="zh-CN" w:bidi="ar-SA"/>
        </w:rPr>
      </w:pPr>
      <w:r>
        <w:rPr>
          <w:rFonts w:hint="eastAsia" w:ascii="宋体" w:hAnsi="宋体" w:eastAsia="宋体" w:cs="宋体"/>
          <w:b/>
          <w:bCs/>
          <w:kern w:val="44"/>
          <w:sz w:val="24"/>
          <w:szCs w:val="24"/>
          <w:lang w:val="en-US" w:eastAsia="zh-CN" w:bidi="ar-SA"/>
        </w:rPr>
        <w:t>（四）对盈利能力的影响</w:t>
      </w:r>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本次公开发行可转债将有助于提升本行资本规模，为本行各项业务的健康、可持续发展提供有力的资本保障，促使本行实现规模和业绩的稳步增长，进一步提升本行的核心竞争力和盈利能力。</w:t>
      </w:r>
    </w:p>
    <w:p>
      <w:pPr>
        <w:keepNext/>
        <w:keepLines/>
        <w:pageBreakBefore w:val="0"/>
        <w:widowControl w:val="0"/>
        <w:kinsoku/>
        <w:wordWrap/>
        <w:overflowPunct/>
        <w:topLinePunct w:val="0"/>
        <w:autoSpaceDE/>
        <w:autoSpaceDN/>
        <w:bidi w:val="0"/>
        <w:adjustRightInd/>
        <w:snapToGrid w:val="0"/>
        <w:spacing w:after="0" w:line="360" w:lineRule="auto"/>
        <w:ind w:firstLine="482" w:firstLineChars="200"/>
        <w:jc w:val="both"/>
        <w:textAlignment w:val="auto"/>
        <w:outlineLvl w:val="0"/>
        <w:rPr>
          <w:rFonts w:hint="eastAsia" w:ascii="宋体" w:hAnsi="宋体" w:eastAsia="宋体" w:cs="宋体"/>
          <w:b/>
          <w:bCs/>
          <w:kern w:val="44"/>
          <w:sz w:val="24"/>
          <w:szCs w:val="24"/>
          <w:lang w:val="en-US" w:eastAsia="zh-CN" w:bidi="ar-SA"/>
        </w:rPr>
      </w:pPr>
      <w:r>
        <w:rPr>
          <w:rFonts w:hint="eastAsia" w:ascii="宋体" w:hAnsi="宋体" w:eastAsia="宋体" w:cs="宋体"/>
          <w:b/>
          <w:bCs/>
          <w:kern w:val="44"/>
          <w:sz w:val="24"/>
          <w:szCs w:val="24"/>
          <w:lang w:val="en-US" w:eastAsia="zh-CN" w:bidi="ar-SA"/>
        </w:rPr>
        <w:t>三、本次公开发行可转债的必要性</w:t>
      </w:r>
    </w:p>
    <w:p>
      <w:pPr>
        <w:pageBreakBefore w:val="0"/>
        <w:widowControl w:val="0"/>
        <w:numPr>
          <w:ilvl w:val="255"/>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本行拟通过本次公开发行可转债，进一步提高本行资本充足率，支持本行各项业务持续健康发展，持续努力实现“聚焦中小、深耕海西、融汇两岸、打造价值领先的综合金融服务商”的战略愿景。</w:t>
      </w:r>
    </w:p>
    <w:p>
      <w:pPr>
        <w:keepNext/>
        <w:keepLines/>
        <w:pageBreakBefore w:val="0"/>
        <w:widowControl w:val="0"/>
        <w:kinsoku/>
        <w:wordWrap/>
        <w:overflowPunct/>
        <w:topLinePunct w:val="0"/>
        <w:autoSpaceDE/>
        <w:autoSpaceDN/>
        <w:bidi w:val="0"/>
        <w:adjustRightInd/>
        <w:snapToGrid w:val="0"/>
        <w:spacing w:after="0" w:line="360" w:lineRule="auto"/>
        <w:ind w:firstLine="482" w:firstLineChars="200"/>
        <w:jc w:val="both"/>
        <w:textAlignment w:val="auto"/>
        <w:outlineLvl w:val="1"/>
        <w:rPr>
          <w:rFonts w:hint="eastAsia" w:ascii="宋体" w:hAnsi="宋体" w:eastAsia="宋体" w:cs="宋体"/>
          <w:b/>
          <w:bCs/>
          <w:kern w:val="44"/>
          <w:sz w:val="24"/>
          <w:szCs w:val="24"/>
          <w:lang w:val="en-US" w:eastAsia="zh-CN" w:bidi="ar-SA"/>
        </w:rPr>
      </w:pPr>
      <w:r>
        <w:rPr>
          <w:rFonts w:hint="eastAsia" w:ascii="宋体" w:hAnsi="宋体" w:eastAsia="宋体" w:cs="宋体"/>
          <w:b/>
          <w:bCs/>
          <w:kern w:val="44"/>
          <w:sz w:val="24"/>
          <w:szCs w:val="24"/>
          <w:lang w:val="en-US" w:eastAsia="zh-CN" w:bidi="ar-SA"/>
        </w:rPr>
        <w:t>（一）支持业务发展，服务实体经济</w:t>
      </w:r>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四五”规划强调支持中小银行和农村信用社持续健康发展。而构建金融有效支持实体经济的体制机制，助推“十四五”规划由蓝图变为现实，是银行业的职责所在。一直以来，本行明确金融服务实体经济工作的总体目标要求，多措并举开展金融服务实体经济的工作。在复杂经济形势和新冠疫情反复的大环境下，公司坚决拥护及贯彻党中央国务院和监管机构的各项决策部署，继续强化金融支持中小微企业、服务实体经济的作用，积极应对各种风险和挑战。为了更好地服务实体经济，响应国家政策，本行有必要及时补充资本，进一步提升抵御风险能力，支持各项业务健康发展。</w:t>
      </w:r>
    </w:p>
    <w:p>
      <w:pPr>
        <w:keepNext/>
        <w:keepLines/>
        <w:pageBreakBefore w:val="0"/>
        <w:widowControl w:val="0"/>
        <w:kinsoku/>
        <w:wordWrap/>
        <w:overflowPunct/>
        <w:topLinePunct w:val="0"/>
        <w:autoSpaceDE/>
        <w:autoSpaceDN/>
        <w:bidi w:val="0"/>
        <w:adjustRightInd/>
        <w:snapToGrid w:val="0"/>
        <w:spacing w:after="0" w:line="360" w:lineRule="auto"/>
        <w:ind w:firstLine="482" w:firstLineChars="200"/>
        <w:jc w:val="both"/>
        <w:textAlignment w:val="auto"/>
        <w:outlineLvl w:val="1"/>
        <w:rPr>
          <w:rFonts w:hint="eastAsia" w:ascii="宋体" w:hAnsi="宋体" w:eastAsia="宋体" w:cs="宋体"/>
          <w:b/>
          <w:bCs/>
          <w:kern w:val="44"/>
          <w:sz w:val="24"/>
          <w:szCs w:val="24"/>
          <w:lang w:val="en-US" w:eastAsia="zh-CN" w:bidi="ar-SA"/>
        </w:rPr>
      </w:pPr>
      <w:r>
        <w:rPr>
          <w:rFonts w:hint="eastAsia" w:ascii="宋体" w:hAnsi="宋体" w:eastAsia="宋体" w:cs="宋体"/>
          <w:b/>
          <w:bCs/>
          <w:kern w:val="44"/>
          <w:sz w:val="24"/>
          <w:szCs w:val="24"/>
          <w:lang w:val="en-US" w:eastAsia="zh-CN" w:bidi="ar-SA"/>
        </w:rPr>
        <w:t>（二）应对趋严的银行资本监管要求</w:t>
      </w:r>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近年来，银保监会颁布的《商业银行资本管理办法（试行）》及中国人民银行推出的宏观审慎评估体系（MPA），对各类资本的合格标准和计量要求进行了更为严格审慎的规定，进一步加强了对商业银行的资本监管要求，加大了商业银行资本补充压力。截至2022年3月末，本行合并口径的资本充足率为15.62%，核心一级资本充足率为10.19%。未来几年，随着业务持续发展，预计资本缺口将对本行发展构成一定制约。此外，最近几年国内外监管机构不断加强对银行资本监管的要求，银行资本需求将进一步提高。</w:t>
      </w:r>
    </w:p>
    <w:p>
      <w:pPr>
        <w:keepNext/>
        <w:keepLines/>
        <w:pageBreakBefore w:val="0"/>
        <w:widowControl w:val="0"/>
        <w:kinsoku/>
        <w:wordWrap/>
        <w:overflowPunct/>
        <w:topLinePunct w:val="0"/>
        <w:autoSpaceDE/>
        <w:autoSpaceDN/>
        <w:bidi w:val="0"/>
        <w:adjustRightInd/>
        <w:snapToGrid w:val="0"/>
        <w:spacing w:after="0" w:line="360" w:lineRule="auto"/>
        <w:ind w:firstLine="482" w:firstLineChars="200"/>
        <w:jc w:val="both"/>
        <w:textAlignment w:val="auto"/>
        <w:outlineLvl w:val="1"/>
        <w:rPr>
          <w:rFonts w:hint="eastAsia" w:ascii="宋体" w:hAnsi="宋体" w:eastAsia="宋体" w:cs="宋体"/>
          <w:b/>
          <w:bCs/>
          <w:kern w:val="44"/>
          <w:sz w:val="24"/>
          <w:szCs w:val="24"/>
          <w:lang w:val="en-US" w:eastAsia="zh-CN" w:bidi="ar-SA"/>
        </w:rPr>
      </w:pPr>
      <w:r>
        <w:rPr>
          <w:rFonts w:hint="eastAsia" w:ascii="宋体" w:hAnsi="宋体" w:eastAsia="宋体" w:cs="宋体"/>
          <w:b/>
          <w:bCs/>
          <w:kern w:val="44"/>
          <w:sz w:val="24"/>
          <w:szCs w:val="24"/>
          <w:lang w:val="en-US" w:eastAsia="zh-CN" w:bidi="ar-SA"/>
        </w:rPr>
        <w:t>（三）夯实本行未来业务发展的资本基础</w:t>
      </w:r>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近年来，本行资产规模平稳增长。截至2019年末、2020年末、2021年末和2022年3月末，本行总资产分别为2,468.68亿元、2,851.50亿元、3,294.95亿元和3,438.12亿元，2019年至2021年年均复合增长率为15.53%。资产和业务规模的稳定发展需要本行有充足的资本作为支撑。此外，本行需要在持续满足监管部门资本充足率最低要求的基础上预留一定比例的风险缓冲资本，进一步增强抵御风险的能力，以应对未来宏观经济发展的不确定性。为了保持稳步发展的良好趋势，本行将资本补充管理规划作为整体发展战略的重要组成部分，坚持资本管理目标与战略发展目标相匹配，资产规模增长与资本规模增长相匹配，确保业务长期可持续发展。</w:t>
      </w:r>
    </w:p>
    <w:p>
      <w:pPr>
        <w:keepNext/>
        <w:keepLines/>
        <w:pageBreakBefore w:val="0"/>
        <w:widowControl w:val="0"/>
        <w:kinsoku/>
        <w:wordWrap/>
        <w:overflowPunct/>
        <w:topLinePunct w:val="0"/>
        <w:autoSpaceDE/>
        <w:autoSpaceDN/>
        <w:bidi w:val="0"/>
        <w:adjustRightInd/>
        <w:snapToGrid w:val="0"/>
        <w:spacing w:after="0" w:line="360" w:lineRule="auto"/>
        <w:ind w:firstLine="482" w:firstLineChars="200"/>
        <w:jc w:val="both"/>
        <w:textAlignment w:val="auto"/>
        <w:outlineLvl w:val="0"/>
        <w:rPr>
          <w:rFonts w:hint="eastAsia" w:ascii="宋体" w:hAnsi="宋体" w:eastAsia="宋体" w:cs="宋体"/>
          <w:b/>
          <w:bCs/>
          <w:color w:val="000000"/>
          <w:kern w:val="0"/>
          <w:sz w:val="24"/>
          <w:szCs w:val="24"/>
          <w:lang w:val="en-US" w:eastAsia="zh-CN" w:bidi="ar-SA"/>
        </w:rPr>
      </w:pPr>
      <w:r>
        <w:rPr>
          <w:rFonts w:hint="eastAsia" w:ascii="宋体" w:hAnsi="宋体" w:eastAsia="宋体" w:cs="宋体"/>
          <w:b/>
          <w:bCs/>
          <w:kern w:val="44"/>
          <w:sz w:val="24"/>
          <w:szCs w:val="24"/>
          <w:lang w:val="en-US" w:eastAsia="zh-CN" w:bidi="ar-SA"/>
        </w:rPr>
        <w:t>四、本次公开发行可转债的可行性</w:t>
      </w:r>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本次公开发行可转债募集资金在可转债转股后将按照相关监管要求用于补充本行核心一级资本，可在满足资本充足率监管标准的同时提升本行抵御风险的能力，促进业务的可持续发展。本行有能力通过对上述募集资金的合理运用，审慎经营，稳健发展，落实战略目标，确保在资产规模稳健增长的同时维持良好的资产收益率水平，从而进一步提高全体股东的投资回报。</w:t>
      </w:r>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本行将通过实施以下措施，实现业务发展和落实战略目标，保证募集资金的合理、有效运用：</w:t>
      </w:r>
    </w:p>
    <w:p>
      <w:pPr>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color w:val="000000"/>
          <w:kern w:val="0"/>
          <w:sz w:val="24"/>
          <w:szCs w:val="24"/>
        </w:rPr>
      </w:pPr>
      <w:r>
        <w:rPr>
          <w:rFonts w:hint="eastAsia" w:ascii="宋体" w:hAnsi="宋体" w:eastAsia="宋体" w:cs="宋体"/>
          <w:b/>
          <w:color w:val="000000"/>
          <w:kern w:val="0"/>
          <w:sz w:val="24"/>
          <w:szCs w:val="24"/>
        </w:rPr>
        <w:t>（一）持续推动业务全面发展</w:t>
      </w:r>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本行2021-2023年战略规划提出“聚焦中小、深耕海西、融汇两岸，打造价值领先的综合金融服务商”的战略愿景，以“客户体验、数字科技、人与机制”为三大战略驱动力，力争“做大零售、做强对公、做深两岸、做优资金”。本行将推动发展战略规划向纵深落地，打造以银行为核心、多元化业务协同发展的高价值上市城商行。零售业务方面，紧抓居民财富增长契机，做好“以客户为中心”，深化大零售战略转型落地，为居民提供更针对性、精准化、便利化的金融服务；公司业务方面，通过交易银行一揽子服务，以较少的资本消耗，提高客户粘性，提升客户综合价值贡献；两岸业务方面，依托台资股东背景，构建围绕个人、公司及同业的两岸金融服务体系，促进两岸金融合作；资金业务方面，在保持自营业务在同业领先地位的基础上，通过建立金融行销专业团队，提升代客业务服务能力；理财业务方面，积极争取理财子公司牌照，以期为顾客提供更多元化的金融服务。</w:t>
      </w:r>
    </w:p>
    <w:p>
      <w:pPr>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color w:val="000000"/>
          <w:kern w:val="0"/>
          <w:sz w:val="24"/>
          <w:szCs w:val="24"/>
        </w:rPr>
      </w:pPr>
      <w:r>
        <w:rPr>
          <w:rFonts w:hint="eastAsia" w:ascii="宋体" w:hAnsi="宋体" w:eastAsia="宋体" w:cs="宋体"/>
          <w:b/>
          <w:color w:val="000000"/>
          <w:kern w:val="0"/>
          <w:sz w:val="24"/>
          <w:szCs w:val="24"/>
        </w:rPr>
        <w:t>（二）完善资本管理机制</w:t>
      </w:r>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本行将统筹协调资本实力与资产规模，持续提升资本管理水平。本行将深化资本应用，切实将资本贯穿于产品定价、资源配置、绩效评估等经营管理全过程。同时，本行将持续加强对包括本次募集资金在内的资本金的有效管理，以资本为核心，持续优化调整资产负债结构，拓展低资本消耗业务，合理控制负债成本，实现资本水平和风险水平的合理匹配，提高资本使用效率，提升资本回报水平。</w:t>
      </w:r>
    </w:p>
    <w:p>
      <w:pPr>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color w:val="000000"/>
          <w:kern w:val="0"/>
          <w:sz w:val="24"/>
          <w:szCs w:val="24"/>
        </w:rPr>
      </w:pPr>
      <w:r>
        <w:rPr>
          <w:rFonts w:hint="eastAsia" w:ascii="宋体" w:hAnsi="宋体" w:eastAsia="宋体" w:cs="宋体"/>
          <w:b/>
          <w:color w:val="000000"/>
          <w:kern w:val="0"/>
          <w:sz w:val="24"/>
          <w:szCs w:val="24"/>
        </w:rPr>
        <w:t>（三）强化风险管控水平</w:t>
      </w:r>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本行将严格落实监管政策要求，积极完善全面风险管理体系，强化风险管控，支持战略落地。本行致力推进风险管理向“赋能者”的角色定位转型，持续强化科技赋能，着力提升风险管理能力和风险精细化管理水平。本行将进一步健全风险管理机制，改进信用风险等传统风险的管理流程，全面落实全流程风险管理，提高风险管控效率；开展风险数据治理与应用场景落地，加强风险管理基础设施建设；建立疫情应对机制，聚焦重点领域潜在风险，提升风险应急管理能力，保障公司各项业务稳健、可持续发展。</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hAnsi="宋体" w:eastAsia="宋体" w:cs="宋体"/>
          <w:sz w:val="24"/>
          <w:szCs w:val="24"/>
        </w:rPr>
      </w:pPr>
      <w:r>
        <w:rPr>
          <w:rFonts w:hint="eastAsia" w:ascii="宋体" w:hAnsi="宋体" w:eastAsia="宋体" w:cs="宋体"/>
          <w:color w:val="000000"/>
          <w:kern w:val="0"/>
          <w:sz w:val="24"/>
          <w:szCs w:val="24"/>
        </w:rPr>
        <w:t>综上所述，本行本次公开发行可转债募集资金将用于支持本行各项业务发展，</w:t>
      </w:r>
      <w:r>
        <w:rPr>
          <w:rFonts w:hint="eastAsia" w:ascii="宋体" w:hAnsi="宋体" w:eastAsia="宋体" w:cs="宋体"/>
          <w:sz w:val="24"/>
          <w:szCs w:val="24"/>
        </w:rPr>
        <w:t>在可转债转股后按照相关监管要求用于补充本行的核心一级资本</w:t>
      </w:r>
      <w:r>
        <w:rPr>
          <w:rFonts w:hint="eastAsia" w:ascii="宋体" w:hAnsi="宋体" w:eastAsia="宋体" w:cs="宋体"/>
          <w:color w:val="000000"/>
          <w:kern w:val="0"/>
          <w:sz w:val="24"/>
          <w:szCs w:val="24"/>
        </w:rPr>
        <w:t>，符合相关法律、法规的规定并且满足银行业监管要求。本次发行可转债将进一步夯实本行的资本基础，增强风险抵御能力，对于保障本行业务持续稳健发展、提高市场竞争实力具有重要意义，有利于增强本行服务实体经济能力，为股东创造可持续的投资回报。同时，本行将坚定落实三年战略规划目标，持续优化业务结构，完善资本管理机制，强化风险管控水平，为募集资金的合理运用提供良好的保障。因此，本次公开发行可转债具备必要性和可行性。</w:t>
      </w:r>
      <w:r>
        <w:rPr>
          <w:rFonts w:hint="eastAsia" w:hAnsi="宋体" w:eastAsia="宋体" w:cs="宋体"/>
          <w:sz w:val="24"/>
          <w:szCs w:val="24"/>
        </w:rPr>
        <w:br w:type="page"/>
      </w:r>
    </w:p>
    <w:p>
      <w:pPr>
        <w:pStyle w:val="19"/>
      </w:pPr>
    </w:p>
    <w:p>
      <w:pPr>
        <w:spacing w:line="360" w:lineRule="auto"/>
        <w:jc w:val="center"/>
        <w:rPr>
          <w:rFonts w:ascii="宋体" w:hAnsi="宋体" w:eastAsia="宋体" w:cs="宋体"/>
          <w:b/>
          <w:bCs/>
          <w:sz w:val="28"/>
          <w:szCs w:val="36"/>
        </w:rPr>
      </w:pPr>
      <w:r>
        <w:rPr>
          <w:rFonts w:hint="eastAsia" w:ascii="宋体" w:hAnsi="宋体" w:eastAsia="宋体" w:cs="宋体"/>
          <w:b/>
          <w:bCs/>
          <w:color w:val="000000"/>
          <w:sz w:val="30"/>
          <w:szCs w:val="30"/>
        </w:rPr>
        <mc:AlternateContent>
          <mc:Choice Requires="wps">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2494915" cy="676275"/>
                <wp:effectExtent l="5080" t="4445" r="14605" b="5080"/>
                <wp:wrapNone/>
                <wp:docPr id="12" name="文本框 3"/>
                <wp:cNvGraphicFramePr/>
                <a:graphic xmlns:a="http://schemas.openxmlformats.org/drawingml/2006/main">
                  <a:graphicData uri="http://schemas.microsoft.com/office/word/2010/wordprocessingShape">
                    <wps:wsp>
                      <wps:cNvSpPr txBox="1"/>
                      <wps:spPr>
                        <a:xfrm>
                          <a:off x="0" y="0"/>
                          <a:ext cx="2494915" cy="676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rPr>
                              <w:t>议案</w:t>
                            </w:r>
                            <w:r>
                              <w:rPr>
                                <w:rFonts w:hint="eastAsia" w:ascii="宋体" w:hAnsi="宋体" w:eastAsia="宋体" w:cs="宋体"/>
                                <w:lang w:val="en-US" w:eastAsia="zh-CN"/>
                              </w:rPr>
                              <w:t>11</w:t>
                            </w:r>
                          </w:p>
                        </w:txbxContent>
                      </wps:txbx>
                      <wps:bodyPr wrap="square" upright="1"/>
                    </wps:wsp>
                  </a:graphicData>
                </a:graphic>
              </wp:anchor>
            </w:drawing>
          </mc:Choice>
          <mc:Fallback>
            <w:pict>
              <v:shape id="文本框 3" o:spid="_x0000_s1026" o:spt="202" type="#_x0000_t202" style="position:absolute;left:0pt;margin-left:0pt;margin-top:0pt;height:53.25pt;width:196.45pt;z-index:251670528;mso-width-relative:page;mso-height-relative:page;" fillcolor="#FFFFFF" filled="t" stroked="t" coordsize="21600,21600" o:gfxdata="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hXBbWAAAABQEAAA8AAAAAAAAAAQAgAAAAIgAAAGRycy9kb3ducmV2Lnht&#10;bFBLAQIUABQAAAAIAIdO4kBWSwiW+wEAAPcDAAAOAAAAAAAAAAEAIAAAACUBAABkcnMvZTJvRG9j&#10;LnhtbFBLBQYAAAAABgAGAFkBAACSBQ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rPr>
                        <w:t>议案</w:t>
                      </w:r>
                      <w:r>
                        <w:rPr>
                          <w:rFonts w:hint="eastAsia" w:ascii="宋体" w:hAnsi="宋体" w:eastAsia="宋体" w:cs="宋体"/>
                          <w:lang w:val="en-US" w:eastAsia="zh-CN"/>
                        </w:rPr>
                        <w:t>11</w:t>
                      </w:r>
                    </w:p>
                  </w:txbxContent>
                </v:textbox>
              </v:shape>
            </w:pict>
          </mc:Fallback>
        </mc:AlternateContent>
      </w:r>
    </w:p>
    <w:p>
      <w:pPr>
        <w:spacing w:line="360" w:lineRule="auto"/>
        <w:jc w:val="center"/>
        <w:rPr>
          <w:rFonts w:ascii="宋体" w:hAnsi="宋体" w:eastAsia="宋体" w:cs="宋体"/>
          <w:b/>
          <w:bCs/>
          <w:sz w:val="28"/>
          <w:szCs w:val="36"/>
        </w:rPr>
      </w:pPr>
    </w:p>
    <w:p>
      <w:pPr>
        <w:pStyle w:val="2"/>
      </w:pPr>
    </w:p>
    <w:p>
      <w:pPr>
        <w:spacing w:line="360" w:lineRule="auto"/>
        <w:jc w:val="center"/>
        <w:outlineLvl w:val="0"/>
        <w:rPr>
          <w:rFonts w:hint="eastAsia" w:ascii="宋体" w:hAnsi="宋体" w:eastAsia="宋体" w:cs="宋体"/>
          <w:b/>
          <w:bCs/>
          <w:sz w:val="28"/>
          <w:szCs w:val="36"/>
        </w:rPr>
      </w:pPr>
      <w:r>
        <w:rPr>
          <w:rFonts w:hint="eastAsia" w:ascii="宋体" w:hAnsi="宋体" w:eastAsia="宋体" w:cs="宋体"/>
          <w:b/>
          <w:bCs/>
          <w:sz w:val="28"/>
          <w:szCs w:val="36"/>
        </w:rPr>
        <w:t>厦门银行股份有限公司</w:t>
      </w:r>
    </w:p>
    <w:p>
      <w:pPr>
        <w:spacing w:line="360" w:lineRule="auto"/>
        <w:jc w:val="center"/>
        <w:outlineLvl w:val="0"/>
        <w:rPr>
          <w:rFonts w:ascii="宋体" w:hAnsi="宋体" w:eastAsia="宋体" w:cs="宋体"/>
          <w:bCs/>
          <w:color w:val="000000"/>
          <w:kern w:val="36"/>
          <w:sz w:val="24"/>
        </w:rPr>
      </w:pPr>
      <w:r>
        <w:rPr>
          <w:rFonts w:hint="eastAsia" w:ascii="宋体" w:hAnsi="宋体" w:eastAsia="宋体" w:cs="宋体"/>
          <w:b/>
          <w:bCs/>
          <w:sz w:val="28"/>
          <w:szCs w:val="36"/>
        </w:rPr>
        <w:t>关于公开发行A股可转换公司债券摊薄即期回报及填补措施的议案</w:t>
      </w:r>
    </w:p>
    <w:p>
      <w:pPr>
        <w:snapToGrid w:val="0"/>
        <w:spacing w:line="360" w:lineRule="auto"/>
        <w:rPr>
          <w:rFonts w:hint="eastAsia" w:ascii="宋体" w:hAnsi="宋体" w:eastAsia="宋体" w:cs="宋体"/>
          <w:bCs/>
          <w:color w:val="000000"/>
          <w:kern w:val="36"/>
          <w:sz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sz w:val="24"/>
        </w:rPr>
      </w:pPr>
      <w:r>
        <w:rPr>
          <w:rFonts w:hint="eastAsia" w:ascii="宋体" w:hAnsi="宋体" w:eastAsia="宋体" w:cs="宋体"/>
          <w:bCs/>
          <w:color w:val="000000"/>
          <w:kern w:val="36"/>
          <w:sz w:val="24"/>
        </w:rPr>
        <w:t>尊敬的各位</w:t>
      </w:r>
      <w:r>
        <w:rPr>
          <w:rFonts w:hint="eastAsia" w:ascii="宋体" w:hAnsi="宋体" w:eastAsia="宋体" w:cs="宋体"/>
          <w:sz w:val="24"/>
        </w:rPr>
        <w:t>股东</w:t>
      </w:r>
      <w:r>
        <w:rPr>
          <w:rFonts w:hint="eastAsia" w:ascii="宋体" w:hAnsi="宋体" w:eastAsia="宋体" w:cs="宋体"/>
          <w:bCs/>
          <w:color w:val="000000"/>
          <w:kern w:val="36"/>
          <w:sz w:val="24"/>
        </w:rPr>
        <w:t>：</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szCs w:val="24"/>
        </w:rPr>
        <w:t>根据《国务院关于进一步促进资本市场健康发展的若干意见》（国发[2014]17号）、《国务院办公厅关于进一步加强资本市场中小投资者合法权益保护工作的意见》（国办发[2013]110号）、</w:t>
      </w:r>
      <w:r>
        <w:rPr>
          <w:rFonts w:hint="eastAsia" w:ascii="宋体" w:hAnsi="宋体" w:eastAsia="宋体" w:cs="宋体"/>
          <w:sz w:val="24"/>
          <w:szCs w:val="24"/>
          <w:lang w:val="en-US" w:eastAsia="zh-CN"/>
        </w:rPr>
        <w:t>中国证监会</w:t>
      </w:r>
      <w:r>
        <w:rPr>
          <w:rFonts w:hint="eastAsia" w:ascii="宋体" w:hAnsi="宋体" w:eastAsia="宋体" w:cs="宋体"/>
          <w:sz w:val="24"/>
          <w:szCs w:val="24"/>
        </w:rPr>
        <w:t>《关于首发及再融资、重大资产重组摊薄即期回报有关事项的指导意见》（证监会公告[2015]31号）的相关要求，本行董事会就本次公开发行</w:t>
      </w:r>
      <w:r>
        <w:rPr>
          <w:rFonts w:hint="eastAsia" w:ascii="宋体" w:hAnsi="宋体" w:eastAsia="宋体" w:cs="宋体"/>
          <w:sz w:val="24"/>
          <w:szCs w:val="24"/>
          <w:lang w:val="en-US" w:eastAsia="zh-CN"/>
        </w:rPr>
        <w:t>可转债</w:t>
      </w:r>
      <w:r>
        <w:rPr>
          <w:rFonts w:hint="eastAsia" w:ascii="宋体" w:hAnsi="宋体" w:eastAsia="宋体" w:cs="宋体"/>
          <w:sz w:val="24"/>
          <w:szCs w:val="24"/>
        </w:rPr>
        <w:t>摊薄即期回报的影响进行了分析，并编制了《厦门银行股份有限公司关于公开发行A股可转换公司债券摊薄即期回报及填补措施》，具体详见附件。</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lang w:val="en-US" w:eastAsia="zh-CN"/>
        </w:rPr>
      </w:pP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0"/>
        </w:rPr>
      </w:pPr>
      <w:r>
        <w:rPr>
          <w:rFonts w:hint="eastAsia" w:ascii="宋体" w:hAnsi="宋体" w:eastAsia="宋体" w:cs="宋体"/>
          <w:sz w:val="24"/>
        </w:rPr>
        <w:t>本议案已经第八届董事会第十九次会议、第八届监事会第十三次会议审议通过，请各位股东审议。</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0"/>
        </w:rPr>
      </w:pP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附件：厦门银行股份有限公司关于公开发行A股可转换公司债券摊薄即期回报及填补措施</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0"/>
          <w:lang w:val="en-US" w:eastAsia="zh-CN"/>
        </w:rPr>
      </w:pPr>
    </w:p>
    <w:p>
      <w:pPr>
        <w:pStyle w:val="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厦门银行股份有限公司</w:t>
      </w:r>
    </w:p>
    <w:p>
      <w:pPr>
        <w:pStyle w:val="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right"/>
        <w:textAlignment w:val="auto"/>
        <w:rPr>
          <w:rFonts w:hint="eastAsia"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2</w:t>
      </w:r>
      <w:r>
        <w:rPr>
          <w:rFonts w:hint="eastAsia" w:ascii="宋体" w:hAnsi="宋体" w:eastAsia="宋体" w:cs="宋体"/>
          <w:sz w:val="24"/>
          <w:szCs w:val="24"/>
        </w:rPr>
        <w:t>年</w:t>
      </w:r>
      <w:r>
        <w:rPr>
          <w:rFonts w:hint="eastAsia" w:ascii="宋体" w:hAnsi="宋体" w:eastAsia="宋体" w:cs="宋体"/>
          <w:sz w:val="24"/>
          <w:szCs w:val="24"/>
          <w:lang w:val="en-US" w:eastAsia="zh-CN"/>
        </w:rPr>
        <w:t>6</w:t>
      </w:r>
      <w:r>
        <w:rPr>
          <w:rFonts w:hint="eastAsia" w:ascii="宋体" w:hAnsi="宋体" w:eastAsia="宋体" w:cs="宋体"/>
          <w:sz w:val="24"/>
          <w:szCs w:val="24"/>
        </w:rPr>
        <w:t>月</w:t>
      </w:r>
      <w:r>
        <w:rPr>
          <w:rFonts w:hint="eastAsia" w:ascii="宋体" w:hAnsi="宋体" w:eastAsia="宋体" w:cs="宋体"/>
          <w:sz w:val="24"/>
          <w:szCs w:val="24"/>
          <w:lang w:val="en-US" w:eastAsia="zh-CN"/>
        </w:rPr>
        <w:t>2</w:t>
      </w:r>
      <w:r>
        <w:rPr>
          <w:rFonts w:hint="eastAsia" w:ascii="宋体" w:hAnsi="宋体" w:eastAsia="宋体" w:cs="宋体"/>
          <w:sz w:val="24"/>
          <w:szCs w:val="24"/>
        </w:rPr>
        <w:t>日</w:t>
      </w:r>
    </w:p>
    <w:p>
      <w:pPr>
        <w:spacing w:line="600" w:lineRule="exact"/>
        <w:rPr>
          <w:rFonts w:ascii="宋体" w:hAnsi="宋体"/>
          <w:b/>
          <w:sz w:val="22"/>
          <w:szCs w:val="28"/>
        </w:rPr>
      </w:pPr>
      <w:r>
        <w:rPr>
          <w:rFonts w:hint="eastAsia" w:hAnsi="宋体" w:eastAsia="宋体" w:cs="宋体"/>
          <w:sz w:val="24"/>
          <w:szCs w:val="24"/>
        </w:rPr>
        <w:br w:type="page"/>
      </w:r>
      <w:r>
        <w:rPr>
          <w:rFonts w:hint="eastAsia" w:ascii="宋体" w:hAnsi="宋体"/>
          <w:b/>
          <w:sz w:val="22"/>
          <w:szCs w:val="28"/>
        </w:rPr>
        <w:t>附件</w:t>
      </w:r>
    </w:p>
    <w:p>
      <w:pPr>
        <w:spacing w:line="600" w:lineRule="exact"/>
        <w:jc w:val="center"/>
        <w:rPr>
          <w:b/>
          <w:sz w:val="28"/>
          <w:szCs w:val="28"/>
        </w:rPr>
      </w:pPr>
      <w:r>
        <w:rPr>
          <w:rFonts w:hint="eastAsia"/>
          <w:b/>
          <w:sz w:val="28"/>
          <w:szCs w:val="28"/>
        </w:rPr>
        <w:t>厦门银行股份有限公司关于公开发行</w:t>
      </w:r>
    </w:p>
    <w:p>
      <w:pPr>
        <w:spacing w:line="600" w:lineRule="exact"/>
        <w:jc w:val="center"/>
        <w:rPr>
          <w:b/>
          <w:sz w:val="28"/>
          <w:szCs w:val="28"/>
        </w:rPr>
      </w:pPr>
      <w:r>
        <w:rPr>
          <w:rFonts w:hint="eastAsia"/>
          <w:b/>
          <w:sz w:val="28"/>
          <w:szCs w:val="28"/>
        </w:rPr>
        <w:t>A股可转换公司债券摊薄即期回报及填补措施</w:t>
      </w:r>
    </w:p>
    <w:p>
      <w:pPr>
        <w:rPr>
          <w:rFonts w:cs="宋体"/>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本行</w:t>
      </w:r>
      <w:r>
        <w:rPr>
          <w:rFonts w:hint="eastAsia" w:ascii="宋体" w:hAnsi="宋体" w:eastAsia="宋体" w:cs="宋体"/>
          <w:sz w:val="24"/>
          <w:szCs w:val="24"/>
        </w:rPr>
        <w:t>拟公开发行可转债。根据《国务院关于进一步促进资本市场健康发展的若干意见》（国发[2014]17号）、《国务院办公厅关于进一步加强资本市场中小投资者合法权益保护工作的意见》（国办发[2013]110号）、</w:t>
      </w:r>
      <w:r>
        <w:rPr>
          <w:rFonts w:hint="eastAsia" w:ascii="宋体" w:hAnsi="宋体" w:eastAsia="宋体" w:cs="宋体"/>
          <w:sz w:val="24"/>
          <w:szCs w:val="24"/>
          <w:lang w:val="en-US" w:eastAsia="zh-CN"/>
        </w:rPr>
        <w:t>中国证监会</w:t>
      </w:r>
      <w:r>
        <w:rPr>
          <w:rFonts w:hint="eastAsia" w:ascii="宋体" w:hAnsi="宋体" w:eastAsia="宋体" w:cs="宋体"/>
          <w:sz w:val="24"/>
          <w:szCs w:val="24"/>
        </w:rPr>
        <w:t>《关于首发及再融资、重大资产重组摊薄即期回报有关事项的指导意见》（证监会公告[2015]31号）的相关要求，本行就本次公开发行可转债对即期回报可能造成的影响进行了分析，并结合实际情况提出填补回报的相关措施。具体情况如下：</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0"/>
        <w:rPr>
          <w:rFonts w:hint="eastAsia" w:ascii="宋体" w:hAnsi="宋体" w:eastAsia="宋体" w:cs="宋体"/>
          <w:b/>
          <w:sz w:val="24"/>
          <w:szCs w:val="24"/>
        </w:rPr>
      </w:pPr>
      <w:r>
        <w:rPr>
          <w:rFonts w:hint="eastAsia" w:ascii="宋体" w:hAnsi="宋体" w:eastAsia="宋体" w:cs="宋体"/>
          <w:b/>
          <w:sz w:val="24"/>
          <w:szCs w:val="24"/>
        </w:rPr>
        <w:t>一、本次可转债发行摊薄即期回报的影响分析</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本次发行募集资金到位后，将全部用于支持本行未来各项业务发展，在可转债转股后按照相关监管要求用于补充本行核心一级资本。</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1"/>
        <w:rPr>
          <w:rFonts w:hint="eastAsia" w:ascii="宋体" w:hAnsi="宋体" w:eastAsia="宋体" w:cs="宋体"/>
          <w:b/>
          <w:sz w:val="24"/>
          <w:szCs w:val="24"/>
        </w:rPr>
      </w:pPr>
      <w:r>
        <w:rPr>
          <w:rFonts w:hint="eastAsia" w:ascii="宋体" w:hAnsi="宋体" w:eastAsia="宋体" w:cs="宋体"/>
          <w:b/>
          <w:sz w:val="24"/>
          <w:szCs w:val="24"/>
        </w:rPr>
        <w:t>（一）假设条件</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本次可转债发行对本行主要财务数据及财务指标的影响测算主要基于以下假设条件：</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1、假设2022年宏观经济环境、银行业发展趋势及本行经营情况未发生重大变化。</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假设本行于2022年12月末完成本次可转债发行上市，并且本次融资募集资金到位。该时间仅用于计算本次可转债发行摊薄即期回报对主要财务数据及财务指标的影响，最终以监管机构核准及本行本次可转债实际发行完成时间为准。</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3、假设本行本次可转债的募集资金总额为人民币50亿元，且不考虑发行费用的影响。本次可转债发行实际到账的募集资金规模将根据监管机构核准、发行认购以及发行费用等情况最终确定。</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4、假设本次可转债的转股价格为7.68元/股，即本行第八届董事会第</w:t>
      </w:r>
      <w:r>
        <w:rPr>
          <w:rFonts w:hint="eastAsia" w:ascii="宋体" w:hAnsi="宋体" w:eastAsia="宋体" w:cs="宋体"/>
          <w:sz w:val="24"/>
          <w:szCs w:val="24"/>
          <w:lang w:val="en-US" w:eastAsia="zh-CN"/>
        </w:rPr>
        <w:t>十九</w:t>
      </w:r>
      <w:r>
        <w:rPr>
          <w:rFonts w:hint="eastAsia" w:ascii="宋体" w:hAnsi="宋体" w:eastAsia="宋体" w:cs="宋体"/>
          <w:sz w:val="24"/>
          <w:szCs w:val="24"/>
        </w:rPr>
        <w:t>次会议召开日（2022年</w:t>
      </w:r>
      <w:r>
        <w:rPr>
          <w:rFonts w:hint="eastAsia" w:ascii="宋体" w:hAnsi="宋体" w:eastAsia="宋体" w:cs="宋体"/>
          <w:sz w:val="24"/>
          <w:szCs w:val="24"/>
          <w:lang w:val="en-US" w:eastAsia="zh-CN"/>
        </w:rPr>
        <w:t>5</w:t>
      </w:r>
      <w:r>
        <w:rPr>
          <w:rFonts w:hint="eastAsia" w:ascii="宋体" w:hAnsi="宋体" w:eastAsia="宋体" w:cs="宋体"/>
          <w:sz w:val="24"/>
          <w:szCs w:val="24"/>
        </w:rPr>
        <w:t>月</w:t>
      </w:r>
      <w:r>
        <w:rPr>
          <w:rFonts w:hint="eastAsia" w:ascii="宋体" w:hAnsi="宋体" w:eastAsia="宋体" w:cs="宋体"/>
          <w:sz w:val="24"/>
          <w:szCs w:val="24"/>
          <w:lang w:val="en-US" w:eastAsia="zh-CN"/>
        </w:rPr>
        <w:t>11</w:t>
      </w:r>
      <w:r>
        <w:rPr>
          <w:rFonts w:hint="eastAsia" w:ascii="宋体" w:hAnsi="宋体" w:eastAsia="宋体" w:cs="宋体"/>
          <w:sz w:val="24"/>
          <w:szCs w:val="24"/>
        </w:rPr>
        <w:t>日）的前三十个交易日、前二十个交易日、前一个交易日本行A股股票交易均价和最近一期末经审计的每股净资产的孰高值。该转股价格仅用于计算本次可转债发行摊薄即期回报对主要财务数据及财务指标的影响，最终的初始转股价格由本行董事会（或由董事会转授权的经营管理层）根据股东大会授权，在发行前根据市场状况确定，并可能进行除权、除息调整或向下修正。</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5、假设本次可转债第一年的票面利率为0.2%。该票面利率仅为模拟测算利率，不构成对实际票面利率的数值预测。</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6、本行于2020年12月10日完成发行10亿元无固定期限资本债券，前5年票面利率为4.80%；于2021年3月26日完成发行15亿元无固定期限资本债券，前5年票面利率为4.80%，假设2022年完成相应计息期间的全额派息。</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7、假设不考虑本次发行募集资金到账后，对本行生产经营、财务状况（如财务费用、资金使用效益等）的影响。</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8、假设2022年度归属于母公司股东的净利润和扣除非经常性损益后归属于母公司股东的净利润均同比增长5%、10%和20%进行测算。</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上述假设分析并不构成本行的盈利预测，仅用于计算本次可转债发行摊薄即期回报对主要财务数据及财务指标的影响，投资者不应据此进行投资决策，投资者据此进行投资决策造成损失的，本行不承担赔偿责任。</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9、除本次可转债转换为普通股外，假设不存在任何其他因素（包括利润分配等）引起的普通股股本变动。</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10、假设本次可转债在发行完成后全部以负债项目在财务报表中列示。该假设仅为模拟测算财务数据及财务指标使用，具体情况以发行完成后的实际会计处理为准。</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11、每股收益指标根据《公开发行证券的公司信息披露编报规则第9号——净资产收益率和每股收益的计算及披露》的有关规定进行计算。</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1"/>
        <w:rPr>
          <w:rFonts w:hint="eastAsia" w:ascii="宋体" w:hAnsi="宋体" w:eastAsia="宋体" w:cs="宋体"/>
          <w:b/>
          <w:sz w:val="24"/>
          <w:szCs w:val="24"/>
        </w:rPr>
      </w:pPr>
      <w:r>
        <w:rPr>
          <w:rFonts w:hint="eastAsia" w:ascii="宋体" w:hAnsi="宋体" w:eastAsia="宋体" w:cs="宋体"/>
          <w:b/>
          <w:sz w:val="24"/>
          <w:szCs w:val="24"/>
        </w:rPr>
        <w:t>（二）对本行主要财务指标的影响</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基于上述假设，本次可转债发行对本行主要财务数据及财务指标的影响如下：</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1、情景一：2022年归属于母公司</w:t>
      </w:r>
      <w:r>
        <w:rPr>
          <w:rFonts w:hint="eastAsia" w:ascii="宋体" w:hAnsi="宋体" w:eastAsia="宋体" w:cs="宋体"/>
          <w:sz w:val="24"/>
          <w:szCs w:val="24"/>
          <w:lang w:val="en-US" w:eastAsia="zh-CN"/>
        </w:rPr>
        <w:t>普通股</w:t>
      </w:r>
      <w:r>
        <w:rPr>
          <w:rFonts w:hint="eastAsia" w:ascii="宋体" w:hAnsi="宋体" w:eastAsia="宋体" w:cs="宋体"/>
          <w:sz w:val="24"/>
          <w:szCs w:val="24"/>
        </w:rPr>
        <w:t>股东的净利润和扣除非经常性损益后归属于母公司</w:t>
      </w:r>
      <w:r>
        <w:rPr>
          <w:rFonts w:hint="eastAsia" w:ascii="宋体" w:hAnsi="宋体" w:eastAsia="宋体" w:cs="宋体"/>
          <w:sz w:val="24"/>
          <w:szCs w:val="24"/>
          <w:lang w:val="en-US" w:eastAsia="zh-CN"/>
        </w:rPr>
        <w:t>普通股</w:t>
      </w:r>
      <w:r>
        <w:rPr>
          <w:rFonts w:hint="eastAsia" w:ascii="宋体" w:hAnsi="宋体" w:eastAsia="宋体" w:cs="宋体"/>
          <w:sz w:val="24"/>
          <w:szCs w:val="24"/>
        </w:rPr>
        <w:t>股东的净利润均同比增长5%。</w:t>
      </w:r>
    </w:p>
    <w:p>
      <w:pPr>
        <w:keepNext/>
        <w:spacing w:line="360" w:lineRule="auto"/>
        <w:ind w:firstLine="420" w:firstLineChars="200"/>
        <w:jc w:val="right"/>
        <w:rPr>
          <w:rFonts w:hint="eastAsia" w:ascii="宋体" w:hAnsi="宋体" w:eastAsia="宋体" w:cs="宋体"/>
          <w:szCs w:val="30"/>
        </w:rPr>
      </w:pPr>
      <w:r>
        <w:rPr>
          <w:rFonts w:hint="eastAsia" w:ascii="宋体" w:hAnsi="宋体" w:eastAsia="宋体" w:cs="宋体"/>
          <w:szCs w:val="30"/>
        </w:rPr>
        <w:t>单位：除特别说明外，百万元</w:t>
      </w:r>
    </w:p>
    <w:tbl>
      <w:tblPr>
        <w:tblStyle w:val="13"/>
        <w:tblW w:w="8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2"/>
        <w:gridCol w:w="1701"/>
        <w:gridCol w:w="1462"/>
        <w:gridCol w:w="1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692" w:type="dxa"/>
            <w:vMerge w:val="restart"/>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项目</w:t>
            </w:r>
          </w:p>
        </w:tc>
        <w:tc>
          <w:tcPr>
            <w:tcW w:w="1701" w:type="dxa"/>
            <w:vMerge w:val="restart"/>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2021年度/2021年12月31日</w:t>
            </w:r>
          </w:p>
        </w:tc>
        <w:tc>
          <w:tcPr>
            <w:tcW w:w="2924" w:type="dxa"/>
            <w:gridSpan w:val="2"/>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2022年度/2022年12月31日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blHeader/>
          <w:jc w:val="center"/>
        </w:trPr>
        <w:tc>
          <w:tcPr>
            <w:tcW w:w="3692" w:type="dxa"/>
            <w:vMerge w:val="continue"/>
            <w:vAlign w:val="center"/>
          </w:tcPr>
          <w:p>
            <w:pPr>
              <w:widowControl/>
              <w:jc w:val="center"/>
              <w:rPr>
                <w:rFonts w:hint="eastAsia" w:ascii="宋体" w:hAnsi="宋体" w:eastAsia="宋体" w:cs="宋体"/>
                <w:b/>
                <w:bCs/>
                <w:color w:val="000000"/>
                <w:kern w:val="0"/>
                <w:szCs w:val="21"/>
              </w:rPr>
            </w:pPr>
          </w:p>
        </w:tc>
        <w:tc>
          <w:tcPr>
            <w:tcW w:w="1701" w:type="dxa"/>
            <w:vMerge w:val="continue"/>
            <w:vAlign w:val="center"/>
          </w:tcPr>
          <w:p>
            <w:pPr>
              <w:widowControl/>
              <w:jc w:val="center"/>
              <w:rPr>
                <w:rFonts w:hint="eastAsia" w:ascii="宋体" w:hAnsi="宋体" w:eastAsia="宋体" w:cs="宋体"/>
                <w:b/>
                <w:bCs/>
                <w:color w:val="000000"/>
                <w:kern w:val="0"/>
                <w:szCs w:val="21"/>
              </w:rPr>
            </w:pPr>
          </w:p>
        </w:tc>
        <w:tc>
          <w:tcPr>
            <w:tcW w:w="1462" w:type="dxa"/>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发行前</w:t>
            </w:r>
          </w:p>
        </w:tc>
        <w:tc>
          <w:tcPr>
            <w:tcW w:w="1462" w:type="dxa"/>
            <w:vAlign w:val="center"/>
          </w:tcPr>
          <w:p>
            <w:pPr>
              <w:jc w:val="center"/>
              <w:rPr>
                <w:rFonts w:hint="eastAsia" w:ascii="宋体" w:hAnsi="宋体" w:eastAsia="宋体" w:cs="宋体"/>
                <w:b/>
                <w:bCs/>
                <w:color w:val="000000"/>
                <w:szCs w:val="21"/>
              </w:rPr>
            </w:pPr>
            <w:r>
              <w:rPr>
                <w:rFonts w:hint="eastAsia" w:ascii="宋体" w:hAnsi="宋体" w:eastAsia="宋体" w:cs="宋体"/>
                <w:b/>
                <w:bCs/>
                <w:color w:val="000000"/>
                <w:szCs w:val="21"/>
              </w:rPr>
              <w:t>发行后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普通股总股本（百万股）</w:t>
            </w:r>
          </w:p>
        </w:tc>
        <w:tc>
          <w:tcPr>
            <w:tcW w:w="1701" w:type="dxa"/>
            <w:vAlign w:val="center"/>
          </w:tcPr>
          <w:p>
            <w:pPr>
              <w:widowControl/>
              <w:jc w:val="right"/>
              <w:rPr>
                <w:rFonts w:hint="eastAsia" w:ascii="宋体" w:hAnsi="宋体" w:eastAsia="宋体" w:cs="宋体"/>
                <w:color w:val="000000"/>
                <w:kern w:val="0"/>
                <w:szCs w:val="21"/>
              </w:rPr>
            </w:pPr>
            <w:r>
              <w:rPr>
                <w:rFonts w:hint="eastAsia" w:ascii="宋体" w:hAnsi="宋体" w:eastAsia="宋体" w:cs="宋体"/>
                <w:color w:val="000000"/>
                <w:szCs w:val="21"/>
              </w:rPr>
              <w:t>2,639.13</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2,639.13</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2,639.13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加权平均普通股总股本（百万股）</w:t>
            </w:r>
          </w:p>
        </w:tc>
        <w:tc>
          <w:tcPr>
            <w:tcW w:w="1701" w:type="dxa"/>
            <w:vAlign w:val="center"/>
          </w:tcPr>
          <w:p>
            <w:pPr>
              <w:widowControl/>
              <w:jc w:val="right"/>
              <w:rPr>
                <w:rFonts w:hint="eastAsia" w:ascii="宋体" w:hAnsi="宋体" w:eastAsia="宋体" w:cs="宋体"/>
                <w:color w:val="000000"/>
                <w:kern w:val="0"/>
                <w:szCs w:val="21"/>
              </w:rPr>
            </w:pPr>
            <w:r>
              <w:rPr>
                <w:rFonts w:hint="eastAsia" w:ascii="宋体" w:hAnsi="宋体" w:eastAsia="宋体" w:cs="宋体"/>
                <w:color w:val="000000"/>
                <w:szCs w:val="21"/>
              </w:rPr>
              <w:t>2,639.13</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2,639.13</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2,639.13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归属于母公司普通股股东的净利润</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2,120.60</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2,157.03</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2,157.03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基本每股收益（元）</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0.80</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0.82</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稀释每股收益（元）</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0.80</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0.82</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扣除非经常性损益后归属于母公司普通股股东的净利润</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2,126.60</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2,163.33</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2,163.33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扣除非经常性损益后的基本每股收益（元）</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0.81</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0.82</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扣除非经常性损益后的稀释每股收益（元）</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0.81</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0.82</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0.82</w:t>
            </w:r>
          </w:p>
        </w:tc>
      </w:tr>
    </w:tbl>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2、情景二：2022年归属于母公司</w:t>
      </w:r>
      <w:r>
        <w:rPr>
          <w:rFonts w:hint="eastAsia" w:ascii="宋体" w:hAnsi="宋体" w:eastAsia="宋体" w:cs="宋体"/>
          <w:sz w:val="24"/>
          <w:szCs w:val="24"/>
          <w:lang w:val="en-US" w:eastAsia="zh-CN"/>
        </w:rPr>
        <w:t>普通股</w:t>
      </w:r>
      <w:r>
        <w:rPr>
          <w:rFonts w:hint="eastAsia" w:ascii="宋体" w:hAnsi="宋体" w:eastAsia="宋体" w:cs="宋体"/>
          <w:sz w:val="24"/>
          <w:szCs w:val="24"/>
        </w:rPr>
        <w:t>股东的净利润和扣除非经常性损益后归属于母公司</w:t>
      </w:r>
      <w:r>
        <w:rPr>
          <w:rFonts w:hint="eastAsia" w:ascii="宋体" w:hAnsi="宋体" w:eastAsia="宋体" w:cs="宋体"/>
          <w:sz w:val="24"/>
          <w:szCs w:val="24"/>
          <w:lang w:val="en-US" w:eastAsia="zh-CN"/>
        </w:rPr>
        <w:t>普通股</w:t>
      </w:r>
      <w:r>
        <w:rPr>
          <w:rFonts w:hint="eastAsia" w:ascii="宋体" w:hAnsi="宋体" w:eastAsia="宋体" w:cs="宋体"/>
          <w:sz w:val="24"/>
          <w:szCs w:val="24"/>
        </w:rPr>
        <w:t>股东的净利润均同比增长10%。</w:t>
      </w:r>
    </w:p>
    <w:p>
      <w:pPr>
        <w:spacing w:line="360" w:lineRule="auto"/>
        <w:ind w:firstLine="420" w:firstLineChars="200"/>
        <w:jc w:val="right"/>
        <w:rPr>
          <w:rFonts w:hint="eastAsia" w:ascii="宋体" w:hAnsi="宋体" w:eastAsia="宋体" w:cs="宋体"/>
          <w:szCs w:val="30"/>
        </w:rPr>
      </w:pPr>
      <w:r>
        <w:rPr>
          <w:rFonts w:hint="eastAsia" w:ascii="宋体" w:hAnsi="宋体" w:eastAsia="宋体" w:cs="宋体"/>
          <w:szCs w:val="30"/>
        </w:rPr>
        <w:t>单位：除特别说明外，百万元</w:t>
      </w:r>
    </w:p>
    <w:tbl>
      <w:tblPr>
        <w:tblStyle w:val="13"/>
        <w:tblW w:w="8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2"/>
        <w:gridCol w:w="1701"/>
        <w:gridCol w:w="1462"/>
        <w:gridCol w:w="1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692" w:type="dxa"/>
            <w:vMerge w:val="restart"/>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项目</w:t>
            </w:r>
          </w:p>
        </w:tc>
        <w:tc>
          <w:tcPr>
            <w:tcW w:w="1701" w:type="dxa"/>
            <w:vMerge w:val="restart"/>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2021年度/2021年12月31日</w:t>
            </w:r>
          </w:p>
        </w:tc>
        <w:tc>
          <w:tcPr>
            <w:tcW w:w="2924" w:type="dxa"/>
            <w:gridSpan w:val="2"/>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2022年度/2022年12月31日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692" w:type="dxa"/>
            <w:vMerge w:val="continue"/>
            <w:vAlign w:val="center"/>
          </w:tcPr>
          <w:p>
            <w:pPr>
              <w:widowControl/>
              <w:jc w:val="center"/>
              <w:rPr>
                <w:rFonts w:hint="eastAsia" w:ascii="宋体" w:hAnsi="宋体" w:eastAsia="宋体" w:cs="宋体"/>
                <w:b/>
                <w:bCs/>
                <w:color w:val="000000"/>
                <w:kern w:val="0"/>
                <w:szCs w:val="21"/>
              </w:rPr>
            </w:pPr>
          </w:p>
        </w:tc>
        <w:tc>
          <w:tcPr>
            <w:tcW w:w="1701" w:type="dxa"/>
            <w:vMerge w:val="continue"/>
            <w:vAlign w:val="center"/>
          </w:tcPr>
          <w:p>
            <w:pPr>
              <w:widowControl/>
              <w:jc w:val="center"/>
              <w:rPr>
                <w:rFonts w:hint="eastAsia" w:ascii="宋体" w:hAnsi="宋体" w:eastAsia="宋体" w:cs="宋体"/>
                <w:b/>
                <w:bCs/>
                <w:color w:val="000000"/>
                <w:kern w:val="0"/>
                <w:szCs w:val="21"/>
              </w:rPr>
            </w:pPr>
          </w:p>
        </w:tc>
        <w:tc>
          <w:tcPr>
            <w:tcW w:w="1462" w:type="dxa"/>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发行前</w:t>
            </w:r>
          </w:p>
        </w:tc>
        <w:tc>
          <w:tcPr>
            <w:tcW w:w="1462" w:type="dxa"/>
            <w:vAlign w:val="center"/>
          </w:tcPr>
          <w:p>
            <w:pPr>
              <w:jc w:val="center"/>
              <w:rPr>
                <w:rFonts w:hint="eastAsia" w:ascii="宋体" w:hAnsi="宋体" w:eastAsia="宋体" w:cs="宋体"/>
                <w:b/>
                <w:bCs/>
                <w:color w:val="000000"/>
                <w:szCs w:val="21"/>
              </w:rPr>
            </w:pPr>
            <w:r>
              <w:rPr>
                <w:rFonts w:hint="eastAsia" w:ascii="宋体" w:hAnsi="宋体" w:eastAsia="宋体" w:cs="宋体"/>
                <w:b/>
                <w:bCs/>
                <w:color w:val="000000"/>
                <w:szCs w:val="21"/>
              </w:rPr>
              <w:t>发行后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普通股总股本（百万股）</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2,639.13</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2,639.13</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2,639.13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加权平均普通股总股本（百万股）</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2,639.13</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2,639.13</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2,639.13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归属于母公司普通股股东的净利润</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2,120.60</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2,265.46</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2,265.46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基本每股收益（元）</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0.80</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0.86</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稀释每股收益（元）</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0.80</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0.86</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扣除非经常性损益后归属于母公司普通股股东的净利润</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2,126.60</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2,272.06</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2,272.06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扣除非经常性损益后的基本每股收益（元）</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0.81</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0.86</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扣除非经常性损益后的稀释每股收益（元）</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0.81</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0.86</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0.86</w:t>
            </w:r>
          </w:p>
        </w:tc>
      </w:tr>
    </w:tbl>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3、情景三：2022年归属于母公司</w:t>
      </w:r>
      <w:r>
        <w:rPr>
          <w:rFonts w:hint="eastAsia" w:ascii="宋体" w:hAnsi="宋体" w:eastAsia="宋体" w:cs="宋体"/>
          <w:sz w:val="24"/>
          <w:szCs w:val="24"/>
          <w:lang w:val="en-US" w:eastAsia="zh-CN"/>
        </w:rPr>
        <w:t>普通股</w:t>
      </w:r>
      <w:r>
        <w:rPr>
          <w:rFonts w:hint="eastAsia" w:ascii="宋体" w:hAnsi="宋体" w:eastAsia="宋体" w:cs="宋体"/>
          <w:sz w:val="24"/>
          <w:szCs w:val="24"/>
        </w:rPr>
        <w:t>股东的净利润和扣除非经常性损益后归属于母公司</w:t>
      </w:r>
      <w:r>
        <w:rPr>
          <w:rFonts w:hint="eastAsia" w:ascii="宋体" w:hAnsi="宋体" w:eastAsia="宋体" w:cs="宋体"/>
          <w:sz w:val="24"/>
          <w:szCs w:val="24"/>
          <w:lang w:val="en-US" w:eastAsia="zh-CN"/>
        </w:rPr>
        <w:t>普通股</w:t>
      </w:r>
      <w:r>
        <w:rPr>
          <w:rFonts w:hint="eastAsia" w:ascii="宋体" w:hAnsi="宋体" w:eastAsia="宋体" w:cs="宋体"/>
          <w:sz w:val="24"/>
          <w:szCs w:val="24"/>
        </w:rPr>
        <w:t>股东的净利润均同比增长20%。</w:t>
      </w:r>
    </w:p>
    <w:p>
      <w:pPr>
        <w:spacing w:line="360" w:lineRule="auto"/>
        <w:ind w:firstLine="420" w:firstLineChars="200"/>
        <w:jc w:val="right"/>
        <w:rPr>
          <w:rFonts w:hint="eastAsia" w:ascii="宋体" w:hAnsi="宋体" w:eastAsia="宋体" w:cs="宋体"/>
          <w:szCs w:val="30"/>
        </w:rPr>
      </w:pPr>
      <w:r>
        <w:rPr>
          <w:rFonts w:hint="eastAsia" w:ascii="宋体" w:hAnsi="宋体" w:eastAsia="宋体" w:cs="宋体"/>
          <w:szCs w:val="30"/>
        </w:rPr>
        <w:t>单位：除特别说明外，百万元</w:t>
      </w:r>
    </w:p>
    <w:tbl>
      <w:tblPr>
        <w:tblStyle w:val="13"/>
        <w:tblW w:w="8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2"/>
        <w:gridCol w:w="1701"/>
        <w:gridCol w:w="1462"/>
        <w:gridCol w:w="1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692" w:type="dxa"/>
            <w:vMerge w:val="restart"/>
            <w:vAlign w:val="center"/>
          </w:tcPr>
          <w:p>
            <w:pPr>
              <w:keepNext/>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项目</w:t>
            </w:r>
          </w:p>
        </w:tc>
        <w:tc>
          <w:tcPr>
            <w:tcW w:w="1701" w:type="dxa"/>
            <w:vMerge w:val="restart"/>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2021年度/2021年12月31日</w:t>
            </w:r>
          </w:p>
        </w:tc>
        <w:tc>
          <w:tcPr>
            <w:tcW w:w="2924" w:type="dxa"/>
            <w:gridSpan w:val="2"/>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2022年度/2022年12月31日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692" w:type="dxa"/>
            <w:vMerge w:val="continue"/>
            <w:vAlign w:val="center"/>
          </w:tcPr>
          <w:p>
            <w:pPr>
              <w:widowControl/>
              <w:jc w:val="center"/>
              <w:rPr>
                <w:rFonts w:hint="eastAsia" w:ascii="宋体" w:hAnsi="宋体" w:eastAsia="宋体" w:cs="宋体"/>
                <w:b/>
                <w:bCs/>
                <w:color w:val="000000"/>
                <w:kern w:val="0"/>
                <w:szCs w:val="21"/>
              </w:rPr>
            </w:pPr>
          </w:p>
        </w:tc>
        <w:tc>
          <w:tcPr>
            <w:tcW w:w="1701" w:type="dxa"/>
            <w:vMerge w:val="continue"/>
            <w:vAlign w:val="center"/>
          </w:tcPr>
          <w:p>
            <w:pPr>
              <w:widowControl/>
              <w:jc w:val="center"/>
              <w:rPr>
                <w:rFonts w:hint="eastAsia" w:ascii="宋体" w:hAnsi="宋体" w:eastAsia="宋体" w:cs="宋体"/>
                <w:b/>
                <w:bCs/>
                <w:color w:val="000000"/>
                <w:kern w:val="0"/>
                <w:szCs w:val="21"/>
              </w:rPr>
            </w:pPr>
          </w:p>
        </w:tc>
        <w:tc>
          <w:tcPr>
            <w:tcW w:w="1462" w:type="dxa"/>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发行前</w:t>
            </w:r>
          </w:p>
        </w:tc>
        <w:tc>
          <w:tcPr>
            <w:tcW w:w="1462" w:type="dxa"/>
            <w:vAlign w:val="center"/>
          </w:tcPr>
          <w:p>
            <w:pPr>
              <w:jc w:val="center"/>
              <w:rPr>
                <w:rFonts w:hint="eastAsia" w:ascii="宋体" w:hAnsi="宋体" w:eastAsia="宋体" w:cs="宋体"/>
                <w:b/>
                <w:bCs/>
                <w:color w:val="000000"/>
                <w:szCs w:val="21"/>
              </w:rPr>
            </w:pPr>
            <w:r>
              <w:rPr>
                <w:rFonts w:hint="eastAsia" w:ascii="宋体" w:hAnsi="宋体" w:eastAsia="宋体" w:cs="宋体"/>
                <w:b/>
                <w:bCs/>
                <w:color w:val="000000"/>
                <w:szCs w:val="21"/>
              </w:rPr>
              <w:t>发行后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普通股总股本（百万股）</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2,639.13</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2,639.13</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2,639.13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加权平均普通股总股本（百万股）</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2,639.13</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2,639.13</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2,639.13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归属于母公司普通股股东的净利润</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2,168.60</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2,482.32</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2,482.32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基本每股收益（元）</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0.80</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0.94</w:t>
            </w:r>
          </w:p>
        </w:tc>
        <w:tc>
          <w:tcPr>
            <w:tcW w:w="1462"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稀释每股收益（元）</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0.80</w:t>
            </w:r>
          </w:p>
        </w:tc>
        <w:tc>
          <w:tcPr>
            <w:tcW w:w="1462" w:type="dxa"/>
            <w:vAlign w:val="center"/>
          </w:tcPr>
          <w:p>
            <w:pPr>
              <w:jc w:val="right"/>
              <w:rPr>
                <w:rFonts w:hint="eastAsia" w:ascii="宋体" w:hAnsi="宋体" w:eastAsia="宋体" w:cs="宋体"/>
                <w:color w:val="000000"/>
                <w:szCs w:val="21"/>
              </w:rPr>
            </w:pPr>
            <w:r>
              <w:rPr>
                <w:rFonts w:hint="eastAsia" w:ascii="宋体" w:hAnsi="宋体" w:eastAsia="宋体" w:cs="宋体"/>
                <w:color w:val="000000"/>
                <w:szCs w:val="21"/>
              </w:rPr>
              <w:t>0.94</w:t>
            </w:r>
          </w:p>
        </w:tc>
        <w:tc>
          <w:tcPr>
            <w:tcW w:w="1462" w:type="dxa"/>
            <w:vAlign w:val="center"/>
          </w:tcPr>
          <w:p>
            <w:pPr>
              <w:jc w:val="right"/>
              <w:rPr>
                <w:rFonts w:hint="eastAsia" w:ascii="宋体" w:hAnsi="宋体" w:eastAsia="宋体" w:cs="宋体"/>
                <w:color w:val="000000"/>
                <w:szCs w:val="21"/>
              </w:rPr>
            </w:pPr>
            <w:r>
              <w:rPr>
                <w:rFonts w:hint="eastAsia" w:ascii="宋体" w:hAnsi="宋体" w:eastAsia="宋体" w:cs="宋体"/>
                <w:color w:val="000000"/>
                <w:szCs w:val="21"/>
              </w:rPr>
              <w:t>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扣除非经常性损益后归属于母公司普通股股东的净利润</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2,126.60</w:t>
            </w:r>
          </w:p>
        </w:tc>
        <w:tc>
          <w:tcPr>
            <w:tcW w:w="1462" w:type="dxa"/>
            <w:vAlign w:val="center"/>
          </w:tcPr>
          <w:p>
            <w:pPr>
              <w:jc w:val="right"/>
              <w:rPr>
                <w:rFonts w:hint="eastAsia" w:ascii="宋体" w:hAnsi="宋体" w:eastAsia="宋体" w:cs="宋体"/>
                <w:color w:val="000000"/>
                <w:szCs w:val="21"/>
              </w:rPr>
            </w:pPr>
            <w:r>
              <w:rPr>
                <w:rFonts w:hint="eastAsia" w:ascii="宋体" w:hAnsi="宋体" w:eastAsia="宋体" w:cs="宋体"/>
                <w:color w:val="000000"/>
                <w:szCs w:val="21"/>
              </w:rPr>
              <w:t>2,489.52</w:t>
            </w:r>
          </w:p>
        </w:tc>
        <w:tc>
          <w:tcPr>
            <w:tcW w:w="1462" w:type="dxa"/>
            <w:vAlign w:val="center"/>
          </w:tcPr>
          <w:p>
            <w:pPr>
              <w:jc w:val="right"/>
              <w:rPr>
                <w:rFonts w:hint="eastAsia" w:ascii="宋体" w:hAnsi="宋体" w:eastAsia="宋体" w:cs="宋体"/>
                <w:color w:val="000000"/>
                <w:szCs w:val="21"/>
              </w:rPr>
            </w:pPr>
            <w:r>
              <w:rPr>
                <w:rFonts w:hint="eastAsia" w:ascii="宋体" w:hAnsi="宋体" w:eastAsia="宋体" w:cs="宋体"/>
                <w:color w:val="000000"/>
                <w:szCs w:val="21"/>
              </w:rPr>
              <w:t>2,489.52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扣除非经常性损益后的基本每股收益（元）</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0.81</w:t>
            </w:r>
          </w:p>
        </w:tc>
        <w:tc>
          <w:tcPr>
            <w:tcW w:w="1462" w:type="dxa"/>
            <w:vAlign w:val="center"/>
          </w:tcPr>
          <w:p>
            <w:pPr>
              <w:jc w:val="right"/>
              <w:rPr>
                <w:rFonts w:hint="eastAsia" w:ascii="宋体" w:hAnsi="宋体" w:eastAsia="宋体" w:cs="宋体"/>
                <w:color w:val="000000"/>
                <w:szCs w:val="21"/>
              </w:rPr>
            </w:pPr>
            <w:r>
              <w:rPr>
                <w:rFonts w:hint="eastAsia" w:ascii="宋体" w:hAnsi="宋体" w:eastAsia="宋体" w:cs="宋体"/>
                <w:color w:val="000000"/>
                <w:szCs w:val="21"/>
              </w:rPr>
              <w:t>0.94</w:t>
            </w:r>
          </w:p>
        </w:tc>
        <w:tc>
          <w:tcPr>
            <w:tcW w:w="1462" w:type="dxa"/>
            <w:vAlign w:val="center"/>
          </w:tcPr>
          <w:p>
            <w:pPr>
              <w:jc w:val="right"/>
              <w:rPr>
                <w:rFonts w:hint="eastAsia" w:ascii="宋体" w:hAnsi="宋体" w:eastAsia="宋体" w:cs="宋体"/>
                <w:color w:val="000000"/>
                <w:szCs w:val="21"/>
              </w:rPr>
            </w:pPr>
            <w:r>
              <w:rPr>
                <w:rFonts w:hint="eastAsia" w:ascii="宋体" w:hAnsi="宋体" w:eastAsia="宋体" w:cs="宋体"/>
                <w:color w:val="000000"/>
                <w:szCs w:val="21"/>
              </w:rPr>
              <w:t>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2" w:type="dxa"/>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扣除非经常性损益后的稀释每股收益（元）</w:t>
            </w:r>
          </w:p>
        </w:tc>
        <w:tc>
          <w:tcPr>
            <w:tcW w:w="1701" w:type="dxa"/>
            <w:vAlign w:val="center"/>
          </w:tcPr>
          <w:p>
            <w:pPr>
              <w:widowControl/>
              <w:jc w:val="right"/>
              <w:rPr>
                <w:rFonts w:hint="eastAsia" w:ascii="宋体" w:hAnsi="宋体" w:eastAsia="宋体" w:cs="宋体"/>
                <w:color w:val="000000"/>
                <w:szCs w:val="21"/>
              </w:rPr>
            </w:pPr>
            <w:r>
              <w:rPr>
                <w:rFonts w:hint="eastAsia" w:ascii="宋体" w:hAnsi="宋体" w:eastAsia="宋体" w:cs="宋体"/>
                <w:color w:val="000000"/>
                <w:szCs w:val="21"/>
              </w:rPr>
              <w:t>0.81</w:t>
            </w:r>
          </w:p>
        </w:tc>
        <w:tc>
          <w:tcPr>
            <w:tcW w:w="1462" w:type="dxa"/>
            <w:vAlign w:val="center"/>
          </w:tcPr>
          <w:p>
            <w:pPr>
              <w:jc w:val="right"/>
              <w:rPr>
                <w:rFonts w:hint="eastAsia" w:ascii="宋体" w:hAnsi="宋体" w:eastAsia="宋体" w:cs="宋体"/>
                <w:color w:val="000000"/>
                <w:szCs w:val="21"/>
              </w:rPr>
            </w:pPr>
            <w:r>
              <w:rPr>
                <w:rFonts w:hint="eastAsia" w:ascii="宋体" w:hAnsi="宋体" w:eastAsia="宋体" w:cs="宋体"/>
                <w:color w:val="000000"/>
                <w:szCs w:val="21"/>
              </w:rPr>
              <w:t>0.94</w:t>
            </w:r>
          </w:p>
        </w:tc>
        <w:tc>
          <w:tcPr>
            <w:tcW w:w="1462" w:type="dxa"/>
            <w:vAlign w:val="center"/>
          </w:tcPr>
          <w:p>
            <w:pPr>
              <w:jc w:val="right"/>
              <w:rPr>
                <w:rFonts w:hint="eastAsia" w:ascii="宋体" w:hAnsi="宋体" w:eastAsia="宋体" w:cs="宋体"/>
                <w:color w:val="000000"/>
                <w:szCs w:val="21"/>
              </w:rPr>
            </w:pPr>
            <w:r>
              <w:rPr>
                <w:rFonts w:hint="eastAsia" w:ascii="宋体" w:hAnsi="宋体" w:eastAsia="宋体" w:cs="宋体"/>
                <w:color w:val="000000"/>
                <w:szCs w:val="21"/>
              </w:rPr>
              <w:t>0.94</w:t>
            </w:r>
          </w:p>
        </w:tc>
      </w:tr>
    </w:tbl>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1"/>
        <w:rPr>
          <w:rFonts w:hint="eastAsia" w:ascii="宋体" w:hAnsi="宋体" w:eastAsia="宋体" w:cs="宋体"/>
          <w:b/>
          <w:sz w:val="24"/>
          <w:szCs w:val="24"/>
        </w:rPr>
      </w:pPr>
      <w:r>
        <w:rPr>
          <w:rFonts w:hint="eastAsia" w:ascii="宋体" w:hAnsi="宋体" w:eastAsia="宋体" w:cs="宋体"/>
          <w:b/>
          <w:sz w:val="24"/>
          <w:szCs w:val="24"/>
        </w:rPr>
        <w:t>（三）关于本次测算的说明</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1、本行对本次测算的上述假设分析并不构成本行的盈利预测，投资者不应据此进行投资决策，投资者据此进行投资决策造成损失的，本行不承担任何责任；</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2、本次可转债的募集资金总额仅为估计值，本次可转债的发行时间及完成转股时间仅为示意性假设，最终以经监管机构核准并实际发行的募集资金总额、发行完成时间以及实际完成转股时间为准。</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0"/>
        <w:rPr>
          <w:rFonts w:hint="eastAsia" w:ascii="宋体" w:hAnsi="宋体" w:eastAsia="宋体" w:cs="宋体"/>
          <w:b/>
          <w:sz w:val="24"/>
          <w:szCs w:val="24"/>
        </w:rPr>
      </w:pPr>
      <w:r>
        <w:rPr>
          <w:rFonts w:hint="eastAsia" w:ascii="宋体" w:hAnsi="宋体" w:eastAsia="宋体" w:cs="宋体"/>
          <w:b/>
          <w:sz w:val="24"/>
          <w:szCs w:val="24"/>
        </w:rPr>
        <w:t>二、关于本次可转债发行摊薄即期回报的风险提示</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可转债发行完成后、转股前，本行所有发行在外的稀释性潜在普通股股数相应增加，在不考虑募集资金财务回报的情况下，本行本次可转债发行完成当年的基本每股收益、稀释每股收益、扣除非经常性损益后的基本每股收益及扣除非经常性损益后的稀释每股收益可能出现下降。</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可转债发行完成后、转股前，本行需按照预先约定的票面利率对未转股的可转债支付利息，由于可转债票面利率一般比较低，正常情况下本行对可转债募集资金运用带来的盈利增长会超过向可转债投资者支付的债券利息，不会造成本行总体收益的减少；极端情况下，如果本行对可转债募集资金运用带来的盈利增长无法覆盖向可转债投资者支付的债券利息，则本行的税后利润将面临下降的风险，进而将对本行普通股股东即期回报产生摊薄影响。</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投资者持有的可转债部分或全部转股后，本行股本总额将相应增加，对本行原有股东持股比例、净资产收益率及每股收益产生一定的摊薄作用。</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另外，本次可转债设有转股价格向下修正条款，在该条款被触发时，本行可能申请向下修正转股价格，导致因本次可转债转股而新增的股本总额增加，从而扩大本次可转债转股对本行原股东的潜在摊薄作用。</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特此提醒投资者关注本次可转债摊薄即期回报的风险，同时本行就摊薄即期回报制定的填补回报措施不等于对本行未来利润做出保证。本行将在定期报告中持续披露填补被摊薄即期回报措施的完成情况及相关承诺主体承诺事项的履行情况。</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0"/>
        <w:rPr>
          <w:rFonts w:hint="eastAsia" w:ascii="宋体" w:hAnsi="宋体" w:eastAsia="宋体" w:cs="宋体"/>
          <w:b/>
          <w:sz w:val="24"/>
          <w:szCs w:val="24"/>
        </w:rPr>
      </w:pPr>
      <w:r>
        <w:rPr>
          <w:rFonts w:hint="eastAsia" w:ascii="宋体" w:hAnsi="宋体" w:eastAsia="宋体" w:cs="宋体"/>
          <w:b/>
          <w:sz w:val="24"/>
          <w:szCs w:val="24"/>
        </w:rPr>
        <w:t>三、本次公开发行可转债的必要性和合理性</w:t>
      </w:r>
    </w:p>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本行拟通过本次公开发行可转债，进一步提高本行资本充足率，支持本行各项业务持续健康发展，持续努力实现“聚焦中小、深耕海西、融汇两岸、打造价值领先的综合金融服务商”的战略愿景。</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1"/>
        <w:rPr>
          <w:rFonts w:hint="eastAsia" w:ascii="宋体" w:hAnsi="宋体" w:eastAsia="宋体" w:cs="宋体"/>
          <w:b/>
          <w:sz w:val="24"/>
          <w:szCs w:val="24"/>
        </w:rPr>
      </w:pPr>
      <w:r>
        <w:rPr>
          <w:rFonts w:hint="eastAsia" w:ascii="宋体" w:hAnsi="宋体" w:eastAsia="宋体" w:cs="宋体"/>
          <w:b/>
          <w:sz w:val="24"/>
          <w:szCs w:val="24"/>
        </w:rPr>
        <w:t>（一）支持业务发展，服务实体经济</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四五”规划强调支持中小银行和农村信用社持续健康发展。而构建金融有效支持实体经济的体制机制，助推“十四五”规划由蓝图变为现实，是银行业的职责所在。一直以来，本行明确金融服务实体经济工作的总体目标要求，多措并举开展金融服务实体经济的工作。在复杂经济形势和新冠疫情反复的大环境下，公司坚决拥护及贯彻党中央国务院和监管机构的各项决策部署，继续强化金融支持中小微企业、服务实体经济的作用，积极应对各种风险和挑战。为了更好地服务实体经济，响应国家政策，本行有必要及时补充资本，进一步提升抵御风险能力，支持各项业务健康发展。</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1"/>
        <w:rPr>
          <w:rFonts w:hint="eastAsia" w:ascii="宋体" w:hAnsi="宋体" w:eastAsia="宋体" w:cs="宋体"/>
          <w:b/>
          <w:sz w:val="24"/>
          <w:szCs w:val="24"/>
        </w:rPr>
      </w:pPr>
      <w:r>
        <w:rPr>
          <w:rFonts w:hint="eastAsia" w:ascii="宋体" w:hAnsi="宋体" w:eastAsia="宋体" w:cs="宋体"/>
          <w:b/>
          <w:sz w:val="24"/>
          <w:szCs w:val="24"/>
        </w:rPr>
        <w:t>（二）应对趋严的银行资本监管要求</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近年来，银保监会颁布的《商业银行资本管理办法（试行）》及中国人民银行推出的宏观审慎评估体系（MPA），对各类资本的合格标准和计量要求进行了更为严格审慎的规定，进一步加强了对商业银行的资本监管要求，加大了商业银行资本补充压力。截至2021年末，本行合并口径的资本充足率为16.40%，核心一级资本充足率为10.47%；截至2022年3月末，本行合并口径的资本充足率为15.62%，核心一级资本充足率为10.19%。未来几年，随着业务持续发展，预计资本缺口将对本行发展构成一定制约。此外，最近几年国内外监管机构不断加强对银行资本监管的要求，银行资本需求将进一步提高。</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1"/>
        <w:rPr>
          <w:rFonts w:hint="eastAsia" w:ascii="宋体" w:hAnsi="宋体" w:eastAsia="宋体" w:cs="宋体"/>
          <w:b/>
          <w:sz w:val="24"/>
          <w:szCs w:val="24"/>
        </w:rPr>
      </w:pPr>
      <w:r>
        <w:rPr>
          <w:rFonts w:hint="eastAsia" w:ascii="宋体" w:hAnsi="宋体" w:eastAsia="宋体" w:cs="宋体"/>
          <w:b/>
          <w:sz w:val="24"/>
          <w:szCs w:val="24"/>
        </w:rPr>
        <w:t>（三）夯实本行未来业务发展的资本基础</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近年来，本行资产规模平稳增长。截至2019年末、2020年末、2021年末和2022年3月末，本行总资产分别为2,468.68亿元、2,851.50亿元、3,294,95亿元和3,438.12亿元，2019年至2021年，本行资产规模复合增长率为15.53%。资产和业务规模的稳定发展需要本行有充足的资本作为支撑。此外，本行需要在持续满足监管部门资本充足率最低要求的基础上预留一定比例的风险缓冲资本，进一步增强抵御风险的能力，以应对未来宏观经济发展的不确定性。为了保持稳步发展的良好趋势，本行将资本补充管理规划作为整体发展战略的重要组成部分，坚持资本管理目标与战略发展目标相匹配，资产规模增长与资本规模增长相匹配，确保业务长期可持续发展。</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1"/>
        <w:rPr>
          <w:rFonts w:hint="eastAsia" w:ascii="宋体" w:hAnsi="宋体" w:eastAsia="宋体" w:cs="宋体"/>
          <w:b/>
          <w:sz w:val="24"/>
          <w:szCs w:val="24"/>
        </w:rPr>
      </w:pPr>
      <w:r>
        <w:rPr>
          <w:rFonts w:hint="eastAsia" w:ascii="宋体" w:hAnsi="宋体" w:eastAsia="宋体" w:cs="宋体"/>
          <w:b/>
          <w:sz w:val="24"/>
          <w:szCs w:val="24"/>
        </w:rPr>
        <w:t>（四）本行符合发行可转债各项条件，发行具备合理性</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本行符合《中华人民共和国证券法》《上市公司证券发行管理办法》等法律法规对公开发行可转债所规定的各项要求，具备公开发行可转债的资格和条件。</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发行可转债符合本行战略发展需要，有利于本行长远稳健可持续发展，有利于进一步发挥业务特色及优势，本次拟发行不超过人民币50亿元（含50亿元）的融资规模可以满足本行未来下一阶段的资本补充需求，本次发行具有合理性。</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0"/>
        <w:rPr>
          <w:rFonts w:hint="eastAsia" w:ascii="宋体" w:hAnsi="宋体" w:eastAsia="宋体" w:cs="宋体"/>
          <w:b/>
          <w:sz w:val="24"/>
          <w:szCs w:val="24"/>
        </w:rPr>
      </w:pPr>
      <w:r>
        <w:rPr>
          <w:rFonts w:hint="eastAsia" w:ascii="宋体" w:hAnsi="宋体" w:eastAsia="宋体" w:cs="宋体"/>
          <w:b/>
          <w:sz w:val="24"/>
          <w:szCs w:val="24"/>
        </w:rPr>
        <w:t>四、本次募集资金投资项目与本行现有业务的关系，本行从事募投项目在人员、技术、市场等方面的储备情况</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1"/>
        <w:rPr>
          <w:rFonts w:hint="eastAsia" w:ascii="宋体" w:hAnsi="宋体" w:eastAsia="宋体" w:cs="宋体"/>
          <w:b/>
          <w:sz w:val="24"/>
          <w:szCs w:val="24"/>
        </w:rPr>
      </w:pPr>
      <w:r>
        <w:rPr>
          <w:rFonts w:hint="eastAsia" w:ascii="宋体" w:hAnsi="宋体" w:eastAsia="宋体" w:cs="宋体"/>
          <w:b/>
          <w:sz w:val="24"/>
          <w:szCs w:val="24"/>
        </w:rPr>
        <w:t>（一）募集资金投资项目与本行现有业务的关系</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行发行可转债的募集资金在扣除发行费用后，将全部用于支持本行未来各项业务发展，在可转债转股后按照相关监管要求用于补充本行核心一级资本，符合资本监管要求和本行长期发展战略，有利于增强本行的业务发展动力和风险抵御能力，提升竞争优势和盈利水平，为实体经济发展提供充足的信贷支持，并为本行股东创造合理、稳定的投资回报。</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1"/>
        <w:rPr>
          <w:rFonts w:hint="eastAsia" w:ascii="宋体" w:hAnsi="宋体" w:eastAsia="宋体" w:cs="宋体"/>
          <w:b/>
          <w:sz w:val="24"/>
          <w:szCs w:val="24"/>
        </w:rPr>
      </w:pPr>
      <w:r>
        <w:rPr>
          <w:rFonts w:hint="eastAsia" w:ascii="宋体" w:hAnsi="宋体" w:eastAsia="宋体" w:cs="宋体"/>
          <w:b/>
          <w:sz w:val="24"/>
          <w:szCs w:val="24"/>
        </w:rPr>
        <w:t>（二）本行从事募投项目在人员、技术、市场等方面的储备情况</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1、人员方面</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行将继续加强人力资源管理，强化人才支撑。加大人才引进、创新弹性福利，充分激励员工成长。加强人才培养，构建三级培训体系，建设全行性学习品牌，组织开展“领航”“远航”“百川”“启明星”“扬帆”等多层次人才培训计划，提升员工队伍素质及核心竞争力，打造学习型组织。关注员工职业生涯发展，提供双通道发展路径，促进人才梯队建设的可持续发展。完善绩效考核，通过对战略的层层分解，加深强化考核体系与全行整体战略目标的挂钩程度，建立差异化的个人考核指标。建立起与个人绩效紧密关联的差异化的薪酬体系，体现薪酬的正向激励作用，设置员工与本行长期发展相挂钩的长效激励机制，提高员工的责任感与稳定性，持续保持薪酬在区域市场的竞争力。</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2、技术方面</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行信息科技建设以“融合共进、自主可控、研发创新、品质卓越”为长期发展愿景，助力业务持续发展，配合不同板块对科技服务的不同诉求，基于差异化策略，打造主动性合作伙伴。本行不断夯实信息科技建设工作，在完善全行基础数据架构、启动新一轮IT战略规划、构建科技赋能的资源配置机制、提高基础设施保障能力、健全信息安全体系等方面都取得丰硕成果，为本行业务发展提供更加全面有效的IT支撑。本行持续关注新技术方向，聚焦5G、人工智能的场景应用能力建设，同时继续在云服务、分布式、微服务/容器等领域加强技术研究与储备，助力数字化转型深化。</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3、市场方面</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行总部位于厦门，主要业务分布在福建各城市，在西南经济重镇重庆直辖市设有分行。福建地处我国东南沿海，具备自由贸易试验区、海上丝绸之路核心区、福厦泉国家自主创新示范区等多区叠加优势，围绕共建“一带一路”加快对外开放，加快建设台胞台企登陆的第一家园，外贸和民营经济活跃。厦门是我国首批设立的经济特区之一，是“一带一路”国际合作中重要的枢纽城市，近年来推进建立金砖国家新工业革命伙伴关系创新基地，在全国大中城市营商环境排名中位居前列，18个营商环境指标全部获评“全国标杆”，有利于市场主体培育。十四五时期成渝地区双城经济圈建设成为国家重大区域发展战略，重庆被赋予国家重要先进制造业中心、西部金融中心、国际性综合交通枢纽城市等新定位。福建和重庆经济发展基础良好，多区叠加政策优势明显，为本行的业务发展提供了良好的外部环境和广阔空间。本行始终坚持“立足地方经济，服务中小企业、面向城市居民、服务两岸台商”的市场定位，充分发挥台资背景和区位优势，稳健耕耘，坚定不移地走好高质量发展的价值创造之路。</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0"/>
        <w:rPr>
          <w:rFonts w:hint="eastAsia" w:ascii="宋体" w:hAnsi="宋体" w:eastAsia="宋体" w:cs="宋体"/>
          <w:b/>
          <w:sz w:val="24"/>
          <w:szCs w:val="24"/>
        </w:rPr>
      </w:pPr>
      <w:r>
        <w:rPr>
          <w:rFonts w:hint="eastAsia" w:ascii="宋体" w:hAnsi="宋体" w:eastAsia="宋体" w:cs="宋体"/>
          <w:b/>
          <w:sz w:val="24"/>
          <w:szCs w:val="24"/>
        </w:rPr>
        <w:t>五、本行关于本次公开发行可转债摊薄即期回报的填补措施</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1"/>
        <w:rPr>
          <w:rFonts w:hint="eastAsia" w:ascii="宋体" w:hAnsi="宋体" w:eastAsia="宋体" w:cs="宋体"/>
          <w:b/>
          <w:sz w:val="24"/>
          <w:szCs w:val="24"/>
        </w:rPr>
      </w:pPr>
      <w:r>
        <w:rPr>
          <w:rFonts w:hint="eastAsia" w:ascii="宋体" w:hAnsi="宋体" w:eastAsia="宋体" w:cs="宋体"/>
          <w:b/>
          <w:sz w:val="24"/>
          <w:szCs w:val="24"/>
        </w:rPr>
        <w:t>（一）本行现有业务板块运营状况及发展态势，面临的主要风险及改进措施</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1、本行现有业务板块运营状况及发展态势</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在复杂经济形势和新冠疫情反复的大环境下，本行坚决拥护及贯彻党中央国务院和监管机构的各项决策部署，继续强化金融支持中小微企业、服务实体经济的作用，积极应对各种风险和挑战，建立科学的战略执行体系，深化战略改革转型，全力推进各项业务精进发展，延续了稳中向好、量增质优的发展态势。截至2021年末，本行资产总额达3,294.95亿元，较2020年末增长15.55%；归属于母公司股东的净资产达227.57亿元，较2020年末增长17.53%。2021年度，本行实现营业收入53.16亿元；实现归属于母公司股东的净利润21.69亿元，较2020年度增长18.99%。截至2022年3月末，本行资产总额3,438.12亿元，较2021年末增长4.35%，负债总额3,200.29亿元，较2021年末增长4.51%；2022年1-3月，本行实现营业收入13.67亿元；实现归属于母公司股东的净利润6.27亿元，同比增长16.52%。</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在财务表现稳步提升的同时，本行的各项业务亦取得了良好的发展。</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公司业务是本行的核心业务、是本行发展的压舱石。本行通过深化客群分类经营，围绕战略客户、机构客户、中小企业、台商企业等目标客群，构建“商行+投行”、“融资+融智”、银租协同的综合服务体系，提升公司业务的协同作战能力与整体实力，推动公司业务高质量发展。</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零售业务作为本行整体战略的三大“主赛道”之一，是本行长期可持续发展的基石。本行坚定不移深化大零售战略转型，在客户分层管理的基础上，持续加强产品创新和体系完善，扎实推进差异化客户营销服务，全面升级线上线下渠道效能，不断深化零售业务智能化进程，显著提升业务质效和综合贡献度，打造具有品牌美誉度和客户体验度的“零售”精品银行。</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行金融市场业务起步较早，具有一定的牌照及专业团队优势。本行致力于在强化自营业务能力的同时，着力打造代客业务能力，为本行其他板块提供资金交易、债券、衍生品组合避险等综合金融服务，助力本行获取并维护优质客户。</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本行依托台资股东背景及区位优势，在两岸金融合作方面不断先行先试，围绕个人、公司及同业构建全面的两岸金融业务体系，致力于成为最懂台商的银行以及两岸金融合作样板银行。</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2、本行面临的主要风险及改进措施</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行业务经营中面临的主要风险包括信用风险、流动性风险、市场风险、操作风险、信息科技风险和声誉风险等。本行始终坚持稳健的风险文化，遵循“风险管理创造价值、全覆盖、独立性、有效性、匹配性”的原则，不断完善全面风险管理体系，提升全面风险管理水平。公司在统一的风险偏好框架下，执行风险策略和风险限额管理，有序开展对各类风险的识别、计量、监测、控制和报告工作，为实现公司经营和战略目标提供保证。本行致力推进风险管理向“赋能者”的角色定位转型，持续强化科技赋能，着力提升风险管理能力和风险精细化管理水平。本行将进一步健全风险管理机制，改进信用风险等传统风险的管理流程，全面落实全流程风险管理，提高风险管控效率；开展风险数据治理与应用场景落地，加强风险管理基础设施建设；建立疫情应对机制，聚焦重点领域潜在风险，提升风险应急管理能力，保障公司各项业务稳健、可持续发展。</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1"/>
        <w:rPr>
          <w:rFonts w:hint="eastAsia" w:ascii="宋体" w:hAnsi="宋体" w:eastAsia="宋体" w:cs="宋体"/>
          <w:b/>
          <w:sz w:val="24"/>
          <w:szCs w:val="24"/>
        </w:rPr>
      </w:pPr>
      <w:r>
        <w:rPr>
          <w:rFonts w:hint="eastAsia" w:ascii="宋体" w:hAnsi="宋体" w:eastAsia="宋体" w:cs="宋体"/>
          <w:b/>
          <w:sz w:val="24"/>
          <w:szCs w:val="24"/>
        </w:rPr>
        <w:t>（二）填补回报的具体措施</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1、规范募集资金的管理和使用，充分发挥募集资金效益</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商业银行业务具有一定特殊性，募集资金用于补充资本而非具体募投项目，因此其使用和效益情况无法单独衡量。本行将加强对募集资金的管理，充分发挥本次募集资金的使用效益及杠杆作用，实现合理的资本回报水平以及对净资产收益率、每股收益等财务指标的积极影响，有效填补对普通股股东</w:t>
      </w:r>
      <w:r>
        <w:rPr>
          <w:rFonts w:hint="eastAsia" w:ascii="宋体" w:hAnsi="宋体" w:eastAsia="宋体" w:cs="宋体"/>
          <w:sz w:val="24"/>
          <w:szCs w:val="24"/>
          <w:lang w:val="en-US" w:eastAsia="zh-CN"/>
        </w:rPr>
        <w:t>即期</w:t>
      </w:r>
      <w:r>
        <w:rPr>
          <w:rFonts w:hint="eastAsia" w:ascii="宋体" w:hAnsi="宋体" w:eastAsia="宋体" w:cs="宋体"/>
          <w:sz w:val="24"/>
          <w:szCs w:val="24"/>
        </w:rPr>
        <w:t>回报摊薄的影响，并支持本行可持续发展。</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2、完善资本约束机制，提升资本配置效率</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行将积极推进资本管理工作，定期对资本规划进行重检，及时对资本规划进行动态调整，确保资本水平与未来业务发展和风险状况相适应；强化资本约束机制，建立全面风险管理架构和内部资本充足评估程序，确保资本水平与面临的主要风险及风险管理水平相适应，资本规划与经营状况、风险变化和长期发展战略相匹配；通过加大业务调整力度，将业务结构向低风险权重业务倾斜，提高资本配置效率，减少资本消耗。</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3、持续推动业务全面发展，实现多领域转型提升</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color w:val="000000"/>
          <w:kern w:val="0"/>
          <w:sz w:val="24"/>
          <w:szCs w:val="24"/>
        </w:rPr>
        <w:t>本行2021-2023年战略规划提出“聚焦中小、深耕海西、融汇两岸，打造价值领先的综合金融服务商”的战略愿景，以“客户体验、数字科技、人与机制”为三大战略驱动力，力争“做大零售、做强对公、做深两岸、做优资金”。本行将推动发展战略规划向纵深落地，打造以银行为核心、多元化业务协同发展的高价值上市城商行。零售业务方面，紧抓居民财富增长契机，做好“以客户为中心”，深化大零售战略转型落地，为居民提供更针对性、精准化、便利化的金融服务；公司业务方面，通过交易银行一揽子服务，以较少的资本消耗，提高客户黏性，提升客户综合价值贡献；两岸业务方面，依托台资股东背景，构建围绕个人、公司及同业的两岸金融服务体系，促进两岸金融合作；资金业务方面，在保持自营业务在同业领先地位的基础上，通过建立金融行销专业团队，提升代客业务服务能力；理财业务方面，积极争取理财子公司牌照，以期为顾客提供更多元化的金融服务。</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4、强化风险管控，支持战略落地</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在信用风险方面，本行秉承稳健经营的理念，坚持“承办主流客户的主流业务，做优质客户的主要授信行和主要结算行”的信贷原则，以“支持实体、聚焦本地、优化结构、合规经营、防范风险”为信贷导向，持续建设包括“政策制度、授权、审查、贷后排查、不良清收、大数据风控”在内的六道防线，优化全生命周期信用风险管理流程，强化数据驱动和科技赋能，全面提升信用风险管理水平，实现业务增长和风险防控的协调发展，有效防范降低信用风险损失。</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在流动性风险方面，本行坚持稳健审慎原则，积极应对外部经营形势变化和货币政策调整，合理制定流动性风险偏好，健全流动性风险管理体系，稳妥规划资金来源和运用，定期开展流动性风险评估和压力测试，深化优质流动性资产管理，强化日间头寸管控，确保公司流动性状况平稳可控。</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在市场风险方面，本行选择适当的、普遍接受的市场风险计量和管理方法。针对交易账簿市场风险，本行紧跟监管要求和金融市场走势，持续完善交易账簿市场风险管理体系，通过制定并执行年度限额管理、深入开展风险监测和分析、落实新业务市场风险识别和管理、优化市场风险管理系统等措施，不断强化市场风险识别、计量和监控效能。针对银行账簿利率风险，本行积极应对市场环境变化和政策动向，制定银行账簿利率风险管理策略和偏好，根据利率走势分析和预判，主动调整业务结构和重定价方式，同时，加强相关风险指标监测，确保在可承受的风险范围内，实现净利息收益和经济价值的最大化。针对银行账簿汇率风险，本行执行稳健的汇率风险管理政策，在国内外形势多变的情况下，主要通过限额管理、调整资产负债规模和结构等方式管控银行账簿汇率风险，并通过累计外汇敞口头寸比例衡量本公司面临的银行账簿汇率风险，通过指标动态跟踪和监测，确保银行账簿汇率风险保持在可控范围。</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5、建立对投资者持续、稳定的回报机制</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行积极落实中国证监会《关于进一步落实上市公司现金分红有关事项的通知》及《上市公司监管指引第3号——上市公司现金分红》的相关要求，在《公司章程》中进一步明确了利润分配政策尤其是现金分红政策，并制订了《厦门银行股份有限公司首次公开发行人民币普通股股票（A股）并上市后三年股东分红回报规划》，将继续保持利润分配政策的连续性和稳定性。</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0"/>
        <w:rPr>
          <w:rFonts w:hint="eastAsia" w:ascii="宋体" w:hAnsi="宋体" w:eastAsia="宋体" w:cs="宋体"/>
          <w:b/>
          <w:sz w:val="24"/>
          <w:szCs w:val="24"/>
        </w:rPr>
      </w:pPr>
      <w:r>
        <w:rPr>
          <w:rFonts w:hint="eastAsia" w:ascii="宋体" w:hAnsi="宋体" w:eastAsia="宋体" w:cs="宋体"/>
          <w:b/>
          <w:sz w:val="24"/>
          <w:szCs w:val="24"/>
        </w:rPr>
        <w:t>六、本行全体董事、高级管理人员的承诺</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本行的董事、高级管理人员承诺忠实、勤勉地履行职责，维护本行和全体股东的合法权益。根据中国证监会相关规定，为保证本行填补回报措施能够得到切实履行，本行董事、高级管理人员作出以下承诺：</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（一）承诺不无偿或以不公平条件向其他单位或者个人输送利益，也不采用其他方式损害本行利益；</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（二）承诺对本人的职务消费行为进行约束；</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（三）承诺不动用本行资产从事与本人履行职责无关的投资、消费活动；</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（四）承诺由董事会或薪酬委员会制定的薪酬制度与本行填补回报措施的执行情况相挂钩；</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hAnsi="宋体" w:eastAsia="宋体" w:cs="宋体"/>
          <w:sz w:val="24"/>
          <w:szCs w:val="24"/>
        </w:rPr>
      </w:pPr>
      <w:r>
        <w:rPr>
          <w:rFonts w:hint="eastAsia" w:ascii="宋体" w:hAnsi="宋体" w:eastAsia="宋体" w:cs="宋体"/>
          <w:sz w:val="24"/>
          <w:szCs w:val="24"/>
        </w:rPr>
        <w:t>（五）承诺如本行将来推出股权激励计划，拟公布的本行股权激励的行权条件与本行填补回报措施的执行情况相挂钩。</w:t>
      </w:r>
      <w:r>
        <w:rPr>
          <w:rFonts w:hint="eastAsia" w:hAnsi="宋体" w:eastAsia="宋体" w:cs="宋体"/>
          <w:sz w:val="24"/>
          <w:szCs w:val="24"/>
        </w:rPr>
        <w:br w:type="page"/>
      </w:r>
    </w:p>
    <w:p>
      <w:pPr>
        <w:pStyle w:val="19"/>
      </w:pPr>
    </w:p>
    <w:p>
      <w:pPr>
        <w:spacing w:line="360" w:lineRule="auto"/>
        <w:jc w:val="center"/>
        <w:rPr>
          <w:rFonts w:ascii="宋体" w:hAnsi="宋体" w:eastAsia="宋体" w:cs="宋体"/>
          <w:b/>
          <w:bCs/>
          <w:sz w:val="28"/>
          <w:szCs w:val="36"/>
        </w:rPr>
      </w:pPr>
      <w:r>
        <w:rPr>
          <w:rFonts w:hint="eastAsia" w:ascii="宋体" w:hAnsi="宋体" w:eastAsia="宋体" w:cs="宋体"/>
          <w:b/>
          <w:bCs/>
          <w:color w:val="000000"/>
          <w:sz w:val="30"/>
          <w:szCs w:val="30"/>
        </w:rPr>
        <mc:AlternateContent>
          <mc:Choice Requires="wps">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2494915" cy="676275"/>
                <wp:effectExtent l="5080" t="4445" r="14605" b="5080"/>
                <wp:wrapNone/>
                <wp:docPr id="13" name="文本框 3"/>
                <wp:cNvGraphicFramePr/>
                <a:graphic xmlns:a="http://schemas.openxmlformats.org/drawingml/2006/main">
                  <a:graphicData uri="http://schemas.microsoft.com/office/word/2010/wordprocessingShape">
                    <wps:wsp>
                      <wps:cNvSpPr txBox="1"/>
                      <wps:spPr>
                        <a:xfrm>
                          <a:off x="0" y="0"/>
                          <a:ext cx="2494915" cy="676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rPr>
                              <w:t>议案</w:t>
                            </w:r>
                            <w:r>
                              <w:rPr>
                                <w:rFonts w:hint="eastAsia" w:ascii="宋体" w:hAnsi="宋体" w:eastAsia="宋体" w:cs="宋体"/>
                                <w:lang w:val="en-US" w:eastAsia="zh-CN"/>
                              </w:rPr>
                              <w:t>12</w:t>
                            </w:r>
                          </w:p>
                        </w:txbxContent>
                      </wps:txbx>
                      <wps:bodyPr wrap="square" upright="1"/>
                    </wps:wsp>
                  </a:graphicData>
                </a:graphic>
              </wp:anchor>
            </w:drawing>
          </mc:Choice>
          <mc:Fallback>
            <w:pict>
              <v:shape id="文本框 3" o:spid="_x0000_s1026" o:spt="202" type="#_x0000_t202" style="position:absolute;left:0pt;margin-left:0pt;margin-top:0pt;height:53.25pt;width:196.45pt;z-index:251671552;mso-width-relative:page;mso-height-relative:page;" fillcolor="#FFFFFF" filled="t" stroked="t" coordsize="21600,21600" o:gfxdata="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hXBbWAAAABQEAAA8AAAAAAAAAAQAgAAAAIgAAAGRycy9kb3ducmV2Lnht&#10;bFBLAQIUABQAAAAIAIdO4kD2tqQb+wEAAPcDAAAOAAAAAAAAAAEAIAAAACUBAABkcnMvZTJvRG9j&#10;LnhtbFBLBQYAAAAABgAGAFkBAACSBQ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rPr>
                        <w:t>议案</w:t>
                      </w:r>
                      <w:r>
                        <w:rPr>
                          <w:rFonts w:hint="eastAsia" w:ascii="宋体" w:hAnsi="宋体" w:eastAsia="宋体" w:cs="宋体"/>
                          <w:lang w:val="en-US" w:eastAsia="zh-CN"/>
                        </w:rPr>
                        <w:t>12</w:t>
                      </w:r>
                    </w:p>
                  </w:txbxContent>
                </v:textbox>
              </v:shape>
            </w:pict>
          </mc:Fallback>
        </mc:AlternateContent>
      </w:r>
    </w:p>
    <w:p>
      <w:pPr>
        <w:spacing w:line="360" w:lineRule="auto"/>
        <w:jc w:val="center"/>
        <w:rPr>
          <w:rFonts w:ascii="宋体" w:hAnsi="宋体" w:eastAsia="宋体" w:cs="宋体"/>
          <w:b/>
          <w:bCs/>
          <w:sz w:val="28"/>
          <w:szCs w:val="36"/>
        </w:rPr>
      </w:pPr>
    </w:p>
    <w:p>
      <w:pPr>
        <w:pStyle w:val="2"/>
      </w:pPr>
    </w:p>
    <w:p>
      <w:pPr>
        <w:spacing w:line="360" w:lineRule="auto"/>
        <w:jc w:val="center"/>
        <w:outlineLvl w:val="0"/>
        <w:rPr>
          <w:rFonts w:ascii="宋体" w:hAnsi="宋体" w:eastAsia="宋体" w:cs="宋体"/>
          <w:bCs/>
          <w:color w:val="000000"/>
          <w:kern w:val="36"/>
          <w:sz w:val="24"/>
        </w:rPr>
      </w:pPr>
      <w:r>
        <w:rPr>
          <w:rFonts w:hint="eastAsia" w:ascii="宋体" w:hAnsi="宋体" w:eastAsia="宋体" w:cs="宋体"/>
          <w:b/>
          <w:bCs/>
          <w:sz w:val="28"/>
          <w:szCs w:val="36"/>
        </w:rPr>
        <w:t>厦门银行股份有限公司关于提请股东大会授权办理本次公开发行A股可转换公司债券并上市相关事宜的议案</w:t>
      </w:r>
    </w:p>
    <w:p>
      <w:pPr>
        <w:snapToGrid w:val="0"/>
        <w:spacing w:line="360" w:lineRule="auto"/>
        <w:rPr>
          <w:rFonts w:hint="eastAsia" w:ascii="宋体" w:hAnsi="宋体" w:eastAsia="宋体" w:cs="宋体"/>
          <w:bCs/>
          <w:color w:val="000000"/>
          <w:kern w:val="36"/>
          <w:sz w:val="24"/>
        </w:rPr>
      </w:pPr>
    </w:p>
    <w:p>
      <w:pPr>
        <w:snapToGrid w:val="0"/>
        <w:spacing w:line="360" w:lineRule="auto"/>
        <w:rPr>
          <w:rFonts w:hint="eastAsia" w:ascii="宋体" w:hAnsi="宋体" w:eastAsia="宋体" w:cs="宋体"/>
          <w:sz w:val="24"/>
        </w:rPr>
      </w:pPr>
      <w:r>
        <w:rPr>
          <w:rFonts w:hint="eastAsia" w:ascii="宋体" w:hAnsi="宋体" w:eastAsia="宋体" w:cs="宋体"/>
          <w:bCs/>
          <w:color w:val="000000"/>
          <w:kern w:val="36"/>
          <w:sz w:val="24"/>
        </w:rPr>
        <w:t>尊敬的各位</w:t>
      </w:r>
      <w:r>
        <w:rPr>
          <w:rFonts w:hint="eastAsia" w:ascii="宋体" w:hAnsi="宋体" w:eastAsia="宋体" w:cs="宋体"/>
          <w:sz w:val="24"/>
        </w:rPr>
        <w:t>股东</w:t>
      </w:r>
      <w:r>
        <w:rPr>
          <w:rFonts w:hint="eastAsia" w:ascii="宋体" w:hAnsi="宋体" w:eastAsia="宋体" w:cs="宋体"/>
          <w:bCs/>
          <w:color w:val="000000"/>
          <w:kern w:val="36"/>
          <w:sz w:val="24"/>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为保证本次发行及存续期间有关事宜的顺利进行，特提请股东大会授权董事会，并由董事会转授权经营管理层，在股东大会审议通过的框架和原则下，根据有关法律法规规定以及监管机构的意见和建议，在授权范围内全权办理本次可转债发行并上市以及存续期内的相关事宜。具体授权内容及范围包括但不限于：</w:t>
      </w:r>
    </w:p>
    <w:p>
      <w:pPr>
        <w:spacing w:line="360" w:lineRule="auto"/>
        <w:ind w:firstLine="482" w:firstLineChars="200"/>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一、与本次发行相关的授权</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根据国家法律法规、证券监管机构的有关规定及公司具体情况，制定和实施本次发行的具体方案，对本次可转换公司债券的发行条款进行适当修订、调整和补充，在发行前明确具体的发行条款及发行方案，制定和实施本次发行的最终方案，包括但不限于确定发行规模、发行方式及对象、向原股东优先配售的比例、转股条款、赎回条款、回售条款、债券利率、评级安排、可转债受托管理安排等，明确债券持有人会议规则（包括但不限于可转债持有人会议行使权利的范围及其召集、通知、决策机制和其他重要事项），约定构成可转债违约的情形、违约责任及其承担方式以及可转债发生违约后的诉讼、仲裁或其他争议解决机制，决定本次发行时机、增设募集资金专户、签署募集资金专户存储监管协议及其它与发行方案相关的一切事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2、批准、签署、修改、补充、递交、呈报、执行与本次发行有关的一切协议、申报文件和其他文件，并办理相关的申请、报批、登记、备案等手续；</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3、聘请相关中介机构并与之签署相关协议，办理本次发行的相关事宜；根据监管机构的要求制作、修改、报送有关本次发行及上市的申报材料，全权回复证券监管机构的反馈意见；</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4、设立本次发行的募集资金专项账户，办理本次发行募集资金使用相关事宜，并在股东大会决议范围内对本次发行募集资金使用及具体安排进行调整；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5、本次发行完成后，办理本次发行的可转换公司债券在</w:t>
      </w:r>
      <w:r>
        <w:rPr>
          <w:rFonts w:hint="eastAsia" w:ascii="宋体" w:hAnsi="宋体" w:eastAsia="宋体" w:cs="宋体"/>
          <w:sz w:val="24"/>
          <w:szCs w:val="24"/>
          <w:lang w:val="en-US" w:eastAsia="zh-CN"/>
        </w:rPr>
        <w:t>上交所</w:t>
      </w:r>
      <w:r>
        <w:rPr>
          <w:rFonts w:hint="eastAsia" w:ascii="宋体" w:hAnsi="宋体" w:eastAsia="宋体" w:cs="宋体"/>
          <w:sz w:val="24"/>
          <w:szCs w:val="24"/>
        </w:rPr>
        <w:t>及中国证券登记结算有限责任公司上海分公司登记、上市等相关事宜；根据本次发行情况适时修改《公司章程》中与本次发行相关的条款，并办理《公司章程》修改和注册资本变更的审批和工商备案等事宜；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根据相关法律法规、监管机构要求，分析、研究、论证本次可转债发行对即期回报的摊薄影响，制定、落实填补即期回报的相关措施，并根据未来新出台的政策法规、实施细则或自律规范，在原有框架范围内修改、补充、完善相关分析和措施，并全权处理与此相关的其他事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在遵守届时适用的中国法律的前提下，如法律、法规及其他规范性文件和有关监管机构对上市公司公开发行可转换公司债券政策有新的规定以及市场情况发生变化，除涉及有关法律法规及《公司章程》规定须由股东大会重新表决且不允许授权的事项，根据有关规定以及证券监管机构的要求（包括对本次发行申请的审核反馈意见）和市场情况对本次发行方案等进行调整并继续办理本次发行事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8、在出现不可抗力或其他足以使本次发行方案难以实施、或者虽然可以实施但会给公司带来不利后果之情形，或发行可转换公司债券政策发生变化时，酌情决定本次发行方案延期实施或提前终止；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9、在相关法律法规允许的前提下，代表公司做出与本次发行有关的必需、恰当和合适的所有其他事项。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上述授权自公司股东大会审议通过之日起生效，有效期为生效之日起12个月。</w:t>
      </w:r>
    </w:p>
    <w:p>
      <w:pPr>
        <w:spacing w:line="360" w:lineRule="auto"/>
        <w:ind w:firstLine="482" w:firstLineChars="200"/>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二、可转债存续期内的其他授权</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可转债存续期内，提请股东大会授权董事会，并由董事会转授权经营管理层，在股东大会审议通过的框架和原则下，根据有关法律法规规定以及监管机构的意见和建议，全权办理本次可转债存续期内的相关事宜。具体授权内容及范围包括但不限于：</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关于赎回事项：根据法律法规要求、相关监管机构的批准（如需）、《公司章程》规定、经披露的可转债募集说明书中约定的发行方案相关条款以及市场情况，全权办理与赎回相关的所有事宜，包括但不限于确定赎回时间、赎回比例及执行程序等；</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关于转股事项：根据法律法规要求、《公司章程》规定、经披露的可转债募集说明书中约定的发行方案相关条款以及市场情况，全权办理与转股相关的所有事宜，包括但不限于调整转股价格，根据本次可转债转股情况适时修订《公司章程》中注册资本相关条款，并办理《公司章程》修订的审批和工商备案、注册资本变更的审批和工商变更登记等事宜；</w:t>
      </w:r>
    </w:p>
    <w:p>
      <w:pPr>
        <w:pStyle w:val="19"/>
        <w:snapToGrid w:val="0"/>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szCs w:val="24"/>
        </w:rPr>
        <w:t>3、在相关法律法规允许的情况下，采取所有必要的行动，决定或办理本次可转债存续期内所有相关的其他事宜，包括但不限于根据法律法规及规范性文件要求，完成本次可转债存续期内的信息披露事宜；根据募集说明书、可转债受托管理协议、可转债持有人会议规则等约定行使相关权利、履行相关义务等。</w:t>
      </w:r>
    </w:p>
    <w:p>
      <w:pPr>
        <w:pStyle w:val="19"/>
        <w:snapToGrid w:val="0"/>
        <w:spacing w:line="360" w:lineRule="auto"/>
        <w:ind w:firstLine="480" w:firstLineChars="200"/>
        <w:rPr>
          <w:rFonts w:hint="eastAsia" w:ascii="宋体" w:hAnsi="宋体" w:eastAsia="宋体" w:cs="宋体"/>
          <w:sz w:val="24"/>
          <w:lang w:val="en-US" w:eastAsia="zh-CN"/>
        </w:rPr>
      </w:pPr>
    </w:p>
    <w:p>
      <w:pPr>
        <w:pStyle w:val="19"/>
        <w:snapToGrid w:val="0"/>
        <w:spacing w:line="360" w:lineRule="auto"/>
        <w:ind w:firstLine="480" w:firstLineChars="200"/>
        <w:rPr>
          <w:rFonts w:hint="eastAsia" w:ascii="宋体" w:hAnsi="宋体" w:eastAsia="宋体" w:cs="宋体"/>
          <w:sz w:val="24"/>
          <w:szCs w:val="20"/>
        </w:rPr>
      </w:pPr>
      <w:r>
        <w:rPr>
          <w:rFonts w:hint="eastAsia" w:ascii="宋体" w:hAnsi="宋体" w:eastAsia="宋体" w:cs="宋体"/>
          <w:sz w:val="24"/>
        </w:rPr>
        <w:t>本议案已经第八届董事会第十九次会议、第八届监事会第十三次会议审议通过，请各位股东审议。</w:t>
      </w:r>
    </w:p>
    <w:p>
      <w:pPr>
        <w:pStyle w:val="19"/>
        <w:snapToGrid w:val="0"/>
        <w:spacing w:line="360" w:lineRule="auto"/>
        <w:ind w:firstLine="480" w:firstLineChars="200"/>
        <w:rPr>
          <w:rFonts w:hint="eastAsia" w:ascii="宋体" w:hAnsi="宋体" w:eastAsia="宋体" w:cs="宋体"/>
          <w:sz w:val="24"/>
          <w:szCs w:val="20"/>
        </w:rPr>
      </w:pPr>
    </w:p>
    <w:p>
      <w:pPr>
        <w:pStyle w:val="19"/>
        <w:snapToGrid w:val="0"/>
        <w:spacing w:line="360" w:lineRule="auto"/>
        <w:ind w:firstLine="480" w:firstLineChars="200"/>
        <w:rPr>
          <w:rFonts w:hint="eastAsia" w:ascii="宋体" w:hAnsi="宋体" w:eastAsia="宋体" w:cs="宋体"/>
          <w:sz w:val="24"/>
          <w:szCs w:val="20"/>
        </w:rPr>
      </w:pPr>
    </w:p>
    <w:p>
      <w:pPr>
        <w:pStyle w:val="7"/>
        <w:snapToGrid w:val="0"/>
        <w:spacing w:line="360" w:lineRule="auto"/>
        <w:ind w:firstLine="480" w:firstLineChars="200"/>
        <w:jc w:val="right"/>
        <w:rPr>
          <w:rFonts w:hint="eastAsia" w:ascii="宋体" w:hAnsi="宋体" w:eastAsia="宋体" w:cs="宋体"/>
          <w:sz w:val="24"/>
          <w:szCs w:val="24"/>
        </w:rPr>
      </w:pPr>
      <w:r>
        <w:rPr>
          <w:rFonts w:hint="eastAsia" w:ascii="宋体" w:hAnsi="宋体" w:eastAsia="宋体" w:cs="宋体"/>
          <w:sz w:val="24"/>
          <w:szCs w:val="24"/>
        </w:rPr>
        <w:t>厦门银行股份有限公司</w:t>
      </w:r>
    </w:p>
    <w:p>
      <w:pPr>
        <w:pStyle w:val="7"/>
        <w:snapToGrid w:val="0"/>
        <w:spacing w:line="360" w:lineRule="auto"/>
        <w:ind w:firstLine="480" w:firstLineChars="200"/>
        <w:jc w:val="right"/>
        <w:rPr>
          <w:rFonts w:hint="eastAsia"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2</w:t>
      </w:r>
      <w:r>
        <w:rPr>
          <w:rFonts w:hint="eastAsia" w:ascii="宋体" w:hAnsi="宋体" w:eastAsia="宋体" w:cs="宋体"/>
          <w:sz w:val="24"/>
          <w:szCs w:val="24"/>
        </w:rPr>
        <w:t>年</w:t>
      </w:r>
      <w:r>
        <w:rPr>
          <w:rFonts w:hint="eastAsia" w:ascii="宋体" w:hAnsi="宋体" w:eastAsia="宋体" w:cs="宋体"/>
          <w:sz w:val="24"/>
          <w:szCs w:val="24"/>
          <w:lang w:val="en-US" w:eastAsia="zh-CN"/>
        </w:rPr>
        <w:t>6</w:t>
      </w:r>
      <w:r>
        <w:rPr>
          <w:rFonts w:hint="eastAsia" w:ascii="宋体" w:hAnsi="宋体" w:eastAsia="宋体" w:cs="宋体"/>
          <w:sz w:val="24"/>
          <w:szCs w:val="24"/>
        </w:rPr>
        <w:t>月</w:t>
      </w:r>
      <w:r>
        <w:rPr>
          <w:rFonts w:hint="eastAsia" w:ascii="宋体" w:hAnsi="宋体" w:eastAsia="宋体" w:cs="宋体"/>
          <w:sz w:val="24"/>
          <w:szCs w:val="24"/>
          <w:lang w:val="en-US" w:eastAsia="zh-CN"/>
        </w:rPr>
        <w:t>2</w:t>
      </w:r>
      <w:r>
        <w:rPr>
          <w:rFonts w:hint="eastAsia" w:ascii="宋体" w:hAnsi="宋体" w:eastAsia="宋体" w:cs="宋体"/>
          <w:sz w:val="24"/>
          <w:szCs w:val="24"/>
        </w:rPr>
        <w:t>日</w:t>
      </w:r>
    </w:p>
    <w:p>
      <w:pPr>
        <w:rPr>
          <w:rFonts w:hint="eastAsia" w:hAnsi="宋体" w:eastAsia="宋体" w:cs="宋体"/>
          <w:sz w:val="24"/>
          <w:szCs w:val="24"/>
        </w:rPr>
      </w:pPr>
      <w:r>
        <w:rPr>
          <w:rFonts w:hint="eastAsia" w:hAnsi="宋体" w:eastAsia="宋体" w:cs="宋体"/>
          <w:sz w:val="24"/>
          <w:szCs w:val="24"/>
        </w:rPr>
        <w:br w:type="page"/>
      </w:r>
    </w:p>
    <w:p>
      <w:pPr>
        <w:pStyle w:val="19"/>
      </w:pPr>
    </w:p>
    <w:p>
      <w:pPr>
        <w:spacing w:line="360" w:lineRule="auto"/>
        <w:jc w:val="center"/>
        <w:rPr>
          <w:rFonts w:ascii="宋体" w:hAnsi="宋体" w:eastAsia="宋体" w:cs="宋体"/>
          <w:b/>
          <w:bCs/>
          <w:sz w:val="28"/>
          <w:szCs w:val="36"/>
        </w:rPr>
      </w:pPr>
      <w:r>
        <w:rPr>
          <w:rFonts w:hint="eastAsia" w:ascii="宋体" w:hAnsi="宋体" w:eastAsia="宋体" w:cs="宋体"/>
          <w:b/>
          <w:bCs/>
          <w:color w:val="000000"/>
          <w:sz w:val="30"/>
          <w:szCs w:val="30"/>
        </w:rPr>
        <mc:AlternateContent>
          <mc:Choice Requires="wps">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494915" cy="676275"/>
                <wp:effectExtent l="5080" t="4445" r="14605" b="5080"/>
                <wp:wrapNone/>
                <wp:docPr id="14" name="文本框 3"/>
                <wp:cNvGraphicFramePr/>
                <a:graphic xmlns:a="http://schemas.openxmlformats.org/drawingml/2006/main">
                  <a:graphicData uri="http://schemas.microsoft.com/office/word/2010/wordprocessingShape">
                    <wps:wsp>
                      <wps:cNvSpPr txBox="1"/>
                      <wps:spPr>
                        <a:xfrm>
                          <a:off x="0" y="0"/>
                          <a:ext cx="2494915" cy="676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rPr>
                              <w:t>议案</w:t>
                            </w:r>
                            <w:r>
                              <w:rPr>
                                <w:rFonts w:hint="eastAsia" w:ascii="宋体" w:hAnsi="宋体" w:eastAsia="宋体" w:cs="宋体"/>
                                <w:lang w:val="en-US" w:eastAsia="zh-CN"/>
                              </w:rPr>
                              <w:t>13</w:t>
                            </w:r>
                          </w:p>
                        </w:txbxContent>
                      </wps:txbx>
                      <wps:bodyPr wrap="square" upright="1"/>
                    </wps:wsp>
                  </a:graphicData>
                </a:graphic>
              </wp:anchor>
            </w:drawing>
          </mc:Choice>
          <mc:Fallback>
            <w:pict>
              <v:shape id="文本框 3" o:spid="_x0000_s1026" o:spt="202" type="#_x0000_t202" style="position:absolute;left:0pt;margin-left:0pt;margin-top:0pt;height:53.25pt;width:196.45pt;z-index:251672576;mso-width-relative:page;mso-height-relative:page;" fillcolor="#FFFFFF" filled="t" stroked="t" coordsize="21600,21600" o:gfxdata="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hXBbWAAAABQEAAA8AAAAAAAAAAQAgAAAAIgAAAGRycy9kb3ducmV2Lnht&#10;bFBLAQIUABQAAAAIAIdO4kAUSgAN+wEAAPcDAAAOAAAAAAAAAAEAIAAAACUBAABkcnMvZTJvRG9j&#10;LnhtbFBLBQYAAAAABgAGAFkBAACSBQ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rPr>
                        <w:t>议案</w:t>
                      </w:r>
                      <w:r>
                        <w:rPr>
                          <w:rFonts w:hint="eastAsia" w:ascii="宋体" w:hAnsi="宋体" w:eastAsia="宋体" w:cs="宋体"/>
                          <w:lang w:val="en-US" w:eastAsia="zh-CN"/>
                        </w:rPr>
                        <w:t>13</w:t>
                      </w:r>
                    </w:p>
                  </w:txbxContent>
                </v:textbox>
              </v:shape>
            </w:pict>
          </mc:Fallback>
        </mc:AlternateContent>
      </w:r>
    </w:p>
    <w:p>
      <w:pPr>
        <w:spacing w:line="360" w:lineRule="auto"/>
        <w:jc w:val="center"/>
        <w:rPr>
          <w:rFonts w:ascii="宋体" w:hAnsi="宋体" w:eastAsia="宋体" w:cs="宋体"/>
          <w:b/>
          <w:bCs/>
          <w:sz w:val="28"/>
          <w:szCs w:val="36"/>
        </w:rPr>
      </w:pPr>
    </w:p>
    <w:p>
      <w:pPr>
        <w:pStyle w:val="2"/>
      </w:pPr>
    </w:p>
    <w:p>
      <w:pPr>
        <w:spacing w:line="360" w:lineRule="auto"/>
        <w:jc w:val="center"/>
        <w:outlineLvl w:val="0"/>
        <w:rPr>
          <w:rFonts w:ascii="宋体" w:hAnsi="宋体" w:eastAsia="宋体" w:cs="宋体"/>
          <w:bCs/>
          <w:color w:val="000000"/>
          <w:kern w:val="36"/>
          <w:sz w:val="24"/>
        </w:rPr>
      </w:pPr>
      <w:r>
        <w:rPr>
          <w:rFonts w:hint="eastAsia" w:ascii="宋体" w:hAnsi="宋体" w:eastAsia="宋体" w:cs="宋体"/>
          <w:b/>
          <w:bCs/>
          <w:sz w:val="28"/>
          <w:szCs w:val="36"/>
        </w:rPr>
        <w:t>厦门银行股份有限公司关于前次募集资金使用情况报告的议案</w:t>
      </w:r>
    </w:p>
    <w:p>
      <w:pPr>
        <w:snapToGrid w:val="0"/>
        <w:spacing w:line="360" w:lineRule="auto"/>
        <w:rPr>
          <w:rFonts w:hint="eastAsia" w:ascii="宋体" w:hAnsi="宋体" w:eastAsia="宋体" w:cs="宋体"/>
          <w:bCs/>
          <w:color w:val="000000"/>
          <w:kern w:val="36"/>
          <w:sz w:val="24"/>
        </w:rPr>
      </w:pPr>
    </w:p>
    <w:p>
      <w:pPr>
        <w:snapToGrid w:val="0"/>
        <w:spacing w:line="360" w:lineRule="auto"/>
        <w:rPr>
          <w:rFonts w:ascii="宋体" w:hAnsi="宋体" w:eastAsia="宋体" w:cs="宋体"/>
          <w:sz w:val="24"/>
        </w:rPr>
      </w:pPr>
      <w:r>
        <w:rPr>
          <w:rFonts w:hint="eastAsia" w:ascii="宋体" w:hAnsi="宋体" w:eastAsia="宋体" w:cs="宋体"/>
          <w:bCs/>
          <w:color w:val="000000"/>
          <w:kern w:val="36"/>
          <w:sz w:val="24"/>
        </w:rPr>
        <w:t>尊敬的各位</w:t>
      </w:r>
      <w:r>
        <w:rPr>
          <w:rFonts w:hint="eastAsia" w:ascii="宋体" w:hAnsi="宋体" w:eastAsia="宋体" w:cs="宋体"/>
          <w:sz w:val="24"/>
        </w:rPr>
        <w:t>股东</w:t>
      </w:r>
      <w:r>
        <w:rPr>
          <w:rFonts w:hint="eastAsia" w:ascii="宋体" w:hAnsi="宋体" w:eastAsia="宋体" w:cs="宋体"/>
          <w:bCs/>
          <w:color w:val="000000"/>
          <w:kern w:val="36"/>
          <w:sz w:val="24"/>
        </w:rPr>
        <w:t>：</w:t>
      </w:r>
    </w:p>
    <w:p>
      <w:pPr>
        <w:pStyle w:val="19"/>
        <w:snapToGrid w:val="0"/>
        <w:spacing w:line="360" w:lineRule="auto"/>
        <w:ind w:firstLine="480" w:firstLineChars="200"/>
        <w:rPr>
          <w:rFonts w:hint="eastAsia" w:ascii="宋体" w:hAnsi="宋体" w:eastAsia="宋体"/>
          <w:sz w:val="24"/>
          <w:lang w:val="en-US" w:eastAsia="zh-CN"/>
        </w:rPr>
      </w:pPr>
      <w:r>
        <w:rPr>
          <w:rFonts w:hint="eastAsia" w:ascii="宋体" w:hAnsi="宋体" w:eastAsia="宋体"/>
          <w:sz w:val="24"/>
          <w:lang w:val="en-US" w:eastAsia="zh-CN"/>
        </w:rPr>
        <w:t>根据中国证监会《关于前次募集资金使用情况报告的规定》（证监发行字[2007]500号）的有关规定，本行编制了《厦门银行股份有限公司截至2022年3月31日的前次募集资金使用情况报告》，主要包括：前次募集资金的数额、到账时间和存放情况；前次募集资金的实际使用情况；前次募集资金使用情况与本行定期报告已披露信息的比较等内容。该报告由安永华明出具了鉴证报告。</w:t>
      </w:r>
    </w:p>
    <w:p>
      <w:pPr>
        <w:pStyle w:val="19"/>
        <w:snapToGrid w:val="0"/>
        <w:spacing w:line="360" w:lineRule="auto"/>
        <w:ind w:firstLine="480" w:firstLineChars="200"/>
        <w:rPr>
          <w:rFonts w:hint="default" w:ascii="宋体" w:hAnsi="宋体" w:eastAsia="宋体"/>
          <w:sz w:val="24"/>
          <w:lang w:val="en-US" w:eastAsia="zh-CN"/>
        </w:rPr>
      </w:pPr>
    </w:p>
    <w:p>
      <w:pPr>
        <w:pStyle w:val="19"/>
        <w:snapToGrid w:val="0"/>
        <w:spacing w:line="360" w:lineRule="auto"/>
        <w:ind w:firstLine="480" w:firstLineChars="200"/>
        <w:rPr>
          <w:rFonts w:ascii="宋体" w:hAnsi="宋体" w:eastAsia="宋体" w:cs="宋体"/>
          <w:sz w:val="24"/>
          <w:szCs w:val="20"/>
        </w:rPr>
      </w:pPr>
      <w:r>
        <w:rPr>
          <w:rFonts w:hint="eastAsia" w:ascii="宋体" w:hAnsi="宋体" w:eastAsia="宋体" w:cs="宋体"/>
          <w:sz w:val="24"/>
        </w:rPr>
        <w:t>本议案已经第八届董事会第十九次会议、第八届监事会第十三次会议审议通过，请各位股东审议。</w:t>
      </w:r>
    </w:p>
    <w:p>
      <w:pPr>
        <w:pStyle w:val="19"/>
        <w:snapToGrid w:val="0"/>
        <w:spacing w:line="360" w:lineRule="auto"/>
        <w:ind w:firstLine="480" w:firstLineChars="200"/>
        <w:rPr>
          <w:rFonts w:ascii="宋体" w:hAnsi="宋体" w:eastAsia="宋体" w:cs="宋体"/>
          <w:sz w:val="24"/>
          <w:szCs w:val="20"/>
        </w:rPr>
      </w:pPr>
    </w:p>
    <w:p>
      <w:pPr>
        <w:pStyle w:val="19"/>
        <w:snapToGrid w:val="0"/>
        <w:spacing w:line="360" w:lineRule="auto"/>
        <w:ind w:firstLine="480" w:firstLineChars="200"/>
        <w:rPr>
          <w:rFonts w:ascii="宋体" w:hAnsi="宋体" w:eastAsia="宋体" w:cs="宋体"/>
          <w:sz w:val="24"/>
          <w:szCs w:val="20"/>
        </w:rPr>
      </w:pPr>
      <w:r>
        <w:rPr>
          <w:rFonts w:hint="eastAsia" w:ascii="宋体" w:hAnsi="宋体" w:eastAsia="宋体" w:cs="宋体"/>
          <w:sz w:val="24"/>
          <w:szCs w:val="20"/>
        </w:rPr>
        <w:t>附件：厦门银行股份有限公司截至2022年3月31日的前次募集资金使用情况报告及鉴证报告</w:t>
      </w:r>
    </w:p>
    <w:p>
      <w:pPr>
        <w:pStyle w:val="7"/>
        <w:snapToGrid w:val="0"/>
        <w:spacing w:line="360" w:lineRule="auto"/>
        <w:ind w:firstLine="480" w:firstLineChars="200"/>
        <w:jc w:val="right"/>
        <w:rPr>
          <w:rFonts w:hAnsi="宋体" w:eastAsia="宋体" w:cs="宋体"/>
          <w:sz w:val="24"/>
          <w:szCs w:val="24"/>
        </w:rPr>
      </w:pPr>
      <w:r>
        <w:rPr>
          <w:rFonts w:hint="eastAsia" w:hAnsi="宋体" w:eastAsia="宋体" w:cs="宋体"/>
          <w:sz w:val="24"/>
          <w:szCs w:val="24"/>
        </w:rPr>
        <w:t>厦门银行股份有限公司</w:t>
      </w:r>
    </w:p>
    <w:p>
      <w:pPr>
        <w:pStyle w:val="7"/>
        <w:snapToGrid w:val="0"/>
        <w:spacing w:line="360" w:lineRule="auto"/>
        <w:ind w:firstLine="480" w:firstLineChars="200"/>
        <w:jc w:val="right"/>
        <w:rPr>
          <w:rFonts w:hint="eastAsia" w:hAnsi="宋体" w:eastAsia="宋体" w:cs="宋体"/>
          <w:sz w:val="24"/>
          <w:szCs w:val="24"/>
        </w:rPr>
      </w:pPr>
      <w:r>
        <w:rPr>
          <w:rFonts w:hint="eastAsia" w:hAnsi="宋体" w:eastAsia="宋体" w:cs="宋体"/>
          <w:sz w:val="24"/>
          <w:szCs w:val="24"/>
        </w:rPr>
        <w:t>202</w:t>
      </w:r>
      <w:r>
        <w:rPr>
          <w:rFonts w:hint="eastAsia" w:hAnsi="宋体" w:eastAsia="宋体" w:cs="宋体"/>
          <w:sz w:val="24"/>
          <w:szCs w:val="24"/>
          <w:lang w:val="en-US" w:eastAsia="zh-CN"/>
        </w:rPr>
        <w:t>2</w:t>
      </w:r>
      <w:r>
        <w:rPr>
          <w:rFonts w:hint="eastAsia" w:hAnsi="宋体" w:eastAsia="宋体" w:cs="宋体"/>
          <w:sz w:val="24"/>
          <w:szCs w:val="24"/>
        </w:rPr>
        <w:t>年</w:t>
      </w:r>
      <w:r>
        <w:rPr>
          <w:rFonts w:hint="eastAsia" w:hAnsi="宋体" w:eastAsia="宋体" w:cs="宋体"/>
          <w:sz w:val="24"/>
          <w:szCs w:val="24"/>
          <w:lang w:val="en-US" w:eastAsia="zh-CN"/>
        </w:rPr>
        <w:t>6</w:t>
      </w:r>
      <w:r>
        <w:rPr>
          <w:rFonts w:hint="eastAsia" w:hAnsi="宋体" w:eastAsia="宋体" w:cs="宋体"/>
          <w:sz w:val="24"/>
          <w:szCs w:val="24"/>
        </w:rPr>
        <w:t>月</w:t>
      </w:r>
      <w:r>
        <w:rPr>
          <w:rFonts w:hint="eastAsia" w:hAnsi="宋体" w:eastAsia="宋体" w:cs="宋体"/>
          <w:sz w:val="24"/>
          <w:szCs w:val="24"/>
          <w:lang w:val="en-US" w:eastAsia="zh-CN"/>
        </w:rPr>
        <w:t>2</w:t>
      </w:r>
      <w:r>
        <w:rPr>
          <w:rFonts w:hint="eastAsia" w:hAnsi="宋体" w:eastAsia="宋体" w:cs="宋体"/>
          <w:sz w:val="24"/>
          <w:szCs w:val="24"/>
        </w:rPr>
        <w:t>日</w:t>
      </w:r>
    </w:p>
    <w:p>
      <w:pPr>
        <w:rPr>
          <w:rFonts w:hint="eastAsia" w:hAnsi="宋体" w:eastAsia="宋体" w:cs="宋体"/>
          <w:sz w:val="24"/>
          <w:szCs w:val="24"/>
        </w:rPr>
      </w:pPr>
      <w:r>
        <w:rPr>
          <w:rFonts w:hint="eastAsia" w:hAnsi="宋体" w:eastAsia="宋体" w:cs="宋体"/>
          <w:sz w:val="24"/>
          <w:szCs w:val="24"/>
        </w:rPr>
        <w:br w:type="page"/>
      </w:r>
    </w:p>
    <w:p>
      <w:pPr>
        <w:spacing w:line="600" w:lineRule="exact"/>
        <w:outlineLvl w:val="0"/>
        <w:rPr>
          <w:rFonts w:ascii="宋体" w:hAnsi="宋体" w:cs="Times New Roman"/>
          <w:b/>
          <w:sz w:val="24"/>
          <w:szCs w:val="24"/>
        </w:rPr>
      </w:pPr>
      <w:r>
        <w:rPr>
          <w:rFonts w:hint="eastAsia" w:ascii="宋体" w:hAnsi="宋体" w:cs="Times New Roman"/>
          <w:b/>
          <w:sz w:val="24"/>
          <w:szCs w:val="24"/>
        </w:rPr>
        <w:t>附件</w:t>
      </w:r>
    </w:p>
    <w:p>
      <w:pPr>
        <w:overflowPunct w:val="0"/>
        <w:autoSpaceDE w:val="0"/>
        <w:autoSpaceDN w:val="0"/>
        <w:adjustRightInd w:val="0"/>
        <w:snapToGrid w:val="0"/>
        <w:ind w:left="2268"/>
        <w:textAlignment w:val="bottom"/>
        <w:rPr>
          <w:rFonts w:ascii="Arial" w:hAnsi="Arial" w:eastAsia="黑体" w:cs="Arial"/>
          <w:b/>
          <w:bCs/>
          <w:snapToGrid w:val="0"/>
        </w:rPr>
      </w:pPr>
      <w:r>
        <w:rPr>
          <w:rFonts w:ascii="Arial" w:hAnsi="Arial" w:eastAsia="黑体" w:cs="Arial"/>
          <w:b/>
          <w:bCs/>
          <w:snapToGrid w:val="0"/>
        </w:rPr>
        <w:t>厦门银行股份有限公司</w:t>
      </w:r>
    </w:p>
    <w:p>
      <w:pPr>
        <w:overflowPunct w:val="0"/>
        <w:autoSpaceDE w:val="0"/>
        <w:autoSpaceDN w:val="0"/>
        <w:adjustRightInd w:val="0"/>
        <w:snapToGrid w:val="0"/>
        <w:ind w:left="2268"/>
        <w:textAlignment w:val="bottom"/>
        <w:rPr>
          <w:rFonts w:ascii="Arial" w:hAnsi="Arial" w:eastAsia="黑体" w:cs="Arial"/>
          <w:b/>
          <w:bCs/>
          <w:snapToGrid w:val="0"/>
        </w:rPr>
      </w:pPr>
    </w:p>
    <w:p>
      <w:pPr>
        <w:overflowPunct w:val="0"/>
        <w:autoSpaceDE w:val="0"/>
        <w:autoSpaceDN w:val="0"/>
        <w:adjustRightInd w:val="0"/>
        <w:snapToGrid w:val="0"/>
        <w:ind w:left="2268"/>
        <w:textAlignment w:val="bottom"/>
        <w:rPr>
          <w:rFonts w:ascii="Arial" w:hAnsi="Arial" w:eastAsia="黑体" w:cs="Arial"/>
          <w:b/>
          <w:bCs/>
          <w:snapToGrid w:val="0"/>
        </w:rPr>
      </w:pPr>
      <w:r>
        <w:rPr>
          <w:rFonts w:hint="eastAsia" w:ascii="Arial" w:hAnsi="Arial" w:eastAsia="黑体" w:cs="Arial"/>
          <w:b/>
          <w:bCs/>
          <w:snapToGrid w:val="0"/>
        </w:rPr>
        <w:t>前次募集资金使用情况的专项鉴证报告</w:t>
      </w:r>
    </w:p>
    <w:p>
      <w:pPr>
        <w:overflowPunct w:val="0"/>
        <w:autoSpaceDE w:val="0"/>
        <w:autoSpaceDN w:val="0"/>
        <w:adjustRightInd w:val="0"/>
        <w:snapToGrid w:val="0"/>
        <w:ind w:left="2268"/>
        <w:textAlignment w:val="bottom"/>
        <w:rPr>
          <w:rFonts w:ascii="Arial" w:hAnsi="Arial" w:eastAsia="黑体" w:cs="Arial"/>
          <w:b/>
          <w:bCs/>
          <w:snapToGrid w:val="0"/>
        </w:rPr>
      </w:pPr>
    </w:p>
    <w:p>
      <w:pPr>
        <w:overflowPunct w:val="0"/>
        <w:autoSpaceDE w:val="0"/>
        <w:autoSpaceDN w:val="0"/>
        <w:adjustRightInd w:val="0"/>
        <w:snapToGrid w:val="0"/>
        <w:ind w:left="2268"/>
        <w:textAlignment w:val="bottom"/>
        <w:rPr>
          <w:rFonts w:ascii="Arial" w:hAnsi="Arial" w:eastAsia="黑体" w:cs="Arial"/>
          <w:b/>
          <w:bCs/>
          <w:snapToGrid w:val="0"/>
        </w:rPr>
      </w:pPr>
      <w:r>
        <w:rPr>
          <w:rFonts w:hint="eastAsia" w:ascii="Arial" w:hAnsi="Arial" w:eastAsia="黑体" w:cs="Arial"/>
          <w:b/>
          <w:bCs/>
          <w:snapToGrid w:val="0"/>
        </w:rPr>
        <w:t>截至</w:t>
      </w:r>
      <w:r>
        <w:rPr>
          <w:rFonts w:ascii="Arial" w:hAnsi="Arial" w:eastAsia="黑体" w:cs="Arial"/>
          <w:b/>
          <w:bCs/>
          <w:snapToGrid w:val="0"/>
        </w:rPr>
        <w:t>2022</w:t>
      </w:r>
      <w:r>
        <w:rPr>
          <w:rFonts w:hint="eastAsia" w:ascii="Arial" w:hAnsi="Arial" w:eastAsia="黑体" w:cs="Arial"/>
          <w:b/>
          <w:bCs/>
          <w:snapToGrid w:val="0"/>
        </w:rPr>
        <w:t>年</w:t>
      </w:r>
      <w:r>
        <w:rPr>
          <w:rFonts w:ascii="Arial" w:hAnsi="Arial" w:eastAsia="黑体" w:cs="Arial"/>
          <w:b/>
          <w:bCs/>
          <w:snapToGrid w:val="0"/>
        </w:rPr>
        <w:t>3</w:t>
      </w:r>
      <w:r>
        <w:rPr>
          <w:rFonts w:hint="eastAsia" w:ascii="Arial" w:hAnsi="Arial" w:eastAsia="黑体" w:cs="Arial"/>
          <w:b/>
          <w:bCs/>
          <w:snapToGrid w:val="0"/>
        </w:rPr>
        <w:t>月</w:t>
      </w:r>
      <w:r>
        <w:rPr>
          <w:rFonts w:ascii="Arial" w:hAnsi="Arial" w:eastAsia="黑体" w:cs="Arial"/>
          <w:b/>
          <w:bCs/>
          <w:snapToGrid w:val="0"/>
        </w:rPr>
        <w:t>31</w:t>
      </w:r>
      <w:r>
        <w:rPr>
          <w:rFonts w:hint="eastAsia" w:ascii="Arial" w:hAnsi="Arial" w:eastAsia="黑体" w:cs="Arial"/>
          <w:b/>
          <w:bCs/>
          <w:snapToGrid w:val="0"/>
        </w:rPr>
        <w:t>日</w:t>
      </w:r>
    </w:p>
    <w:p>
      <w:pPr>
        <w:rPr>
          <w:rFonts w:ascii="Arial" w:hAnsi="Arial" w:eastAsia="黑体" w:cs="Arial"/>
          <w:b/>
        </w:rPr>
      </w:pPr>
    </w:p>
    <w:p>
      <w:pPr>
        <w:rPr>
          <w:rFonts w:ascii="Arial" w:hAnsi="Arial" w:eastAsia="黑体" w:cs="Arial"/>
          <w:b/>
        </w:rPr>
      </w:pPr>
    </w:p>
    <w:p>
      <w:pPr>
        <w:rPr>
          <w:rFonts w:ascii="Arial" w:hAnsi="Arial" w:eastAsia="黑体" w:cs="Arial"/>
          <w:b/>
        </w:rPr>
      </w:pPr>
    </w:p>
    <w:p>
      <w:pPr>
        <w:rPr>
          <w:rFonts w:ascii="Arial" w:hAnsi="Arial" w:eastAsia="黑体" w:cs="Arial"/>
          <w:b/>
        </w:rPr>
      </w:pPr>
    </w:p>
    <w:p>
      <w:pPr>
        <w:rPr>
          <w:rFonts w:ascii="Arial" w:hAnsi="Arial" w:eastAsia="黑体" w:cs="Arial"/>
          <w:b/>
        </w:rPr>
      </w:pPr>
      <w:r>
        <w:rPr>
          <w:rFonts w:ascii="Arial" w:hAnsi="Arial" w:eastAsia="黑体" w:cs="Arial"/>
          <w:b/>
        </w:rPr>
        <w:br w:type="page"/>
      </w:r>
    </w:p>
    <w:p>
      <w:pPr>
        <w:overflowPunct w:val="0"/>
        <w:autoSpaceDE w:val="0"/>
        <w:autoSpaceDN w:val="0"/>
        <w:adjustRightInd w:val="0"/>
        <w:snapToGrid w:val="0"/>
        <w:jc w:val="center"/>
        <w:textAlignment w:val="bottom"/>
        <w:rPr>
          <w:rFonts w:ascii="Arial" w:hAnsi="Arial" w:eastAsia="黑体" w:cs="Arial"/>
          <w:b/>
          <w:bCs/>
          <w:snapToGrid w:val="0"/>
        </w:rPr>
      </w:pPr>
    </w:p>
    <w:p>
      <w:pPr>
        <w:overflowPunct w:val="0"/>
        <w:autoSpaceDE w:val="0"/>
        <w:autoSpaceDN w:val="0"/>
        <w:adjustRightInd w:val="0"/>
        <w:snapToGrid w:val="0"/>
        <w:jc w:val="center"/>
        <w:textAlignment w:val="bottom"/>
        <w:rPr>
          <w:rFonts w:ascii="Arial" w:hAnsi="Arial" w:eastAsia="黑体" w:cs="Arial"/>
          <w:b/>
          <w:bCs/>
          <w:snapToGrid w:val="0"/>
        </w:rPr>
      </w:pPr>
    </w:p>
    <w:p>
      <w:pPr>
        <w:overflowPunct w:val="0"/>
        <w:autoSpaceDE w:val="0"/>
        <w:autoSpaceDN w:val="0"/>
        <w:adjustRightInd w:val="0"/>
        <w:snapToGrid w:val="0"/>
        <w:jc w:val="center"/>
        <w:textAlignment w:val="bottom"/>
        <w:rPr>
          <w:rFonts w:ascii="Arial" w:hAnsi="Arial" w:eastAsia="黑体" w:cs="Arial"/>
          <w:b/>
          <w:bCs/>
          <w:snapToGrid w:val="0"/>
        </w:rPr>
      </w:pPr>
    </w:p>
    <w:p>
      <w:pPr>
        <w:overflowPunct w:val="0"/>
        <w:autoSpaceDE w:val="0"/>
        <w:autoSpaceDN w:val="0"/>
        <w:adjustRightInd w:val="0"/>
        <w:snapToGrid w:val="0"/>
        <w:jc w:val="center"/>
        <w:textAlignment w:val="bottom"/>
        <w:rPr>
          <w:rFonts w:ascii="Arial" w:hAnsi="Arial" w:eastAsia="黑体" w:cs="Arial"/>
          <w:b/>
          <w:bCs/>
          <w:snapToGrid w:val="0"/>
        </w:rPr>
      </w:pPr>
    </w:p>
    <w:p>
      <w:pPr>
        <w:overflowPunct w:val="0"/>
        <w:autoSpaceDE w:val="0"/>
        <w:autoSpaceDN w:val="0"/>
        <w:adjustRightInd w:val="0"/>
        <w:snapToGrid w:val="0"/>
        <w:jc w:val="center"/>
        <w:textAlignment w:val="bottom"/>
        <w:rPr>
          <w:rFonts w:ascii="Arial" w:hAnsi="Arial" w:eastAsia="黑体" w:cs="Arial"/>
          <w:b/>
          <w:bCs/>
          <w:snapToGrid w:val="0"/>
          <w:sz w:val="22"/>
        </w:rPr>
      </w:pPr>
      <w:r>
        <w:rPr>
          <w:rFonts w:hint="eastAsia" w:ascii="Arial" w:hAnsi="Arial" w:eastAsia="黑体" w:cs="Arial"/>
          <w:b/>
          <w:bCs/>
          <w:snapToGrid w:val="0"/>
          <w:sz w:val="22"/>
        </w:rPr>
        <w:t>目</w:t>
      </w:r>
      <w:r>
        <w:rPr>
          <w:rFonts w:ascii="Arial" w:hAnsi="Arial" w:eastAsia="黑体" w:cs="Arial"/>
          <w:b/>
          <w:bCs/>
          <w:snapToGrid w:val="0"/>
          <w:sz w:val="22"/>
        </w:rPr>
        <w:t xml:space="preserve">  </w:t>
      </w:r>
      <w:r>
        <w:rPr>
          <w:rFonts w:hint="eastAsia" w:ascii="Arial" w:hAnsi="Arial" w:eastAsia="黑体" w:cs="Arial"/>
          <w:b/>
          <w:bCs/>
          <w:snapToGrid w:val="0"/>
          <w:sz w:val="22"/>
        </w:rPr>
        <w:t>录</w:t>
      </w:r>
    </w:p>
    <w:p>
      <w:pPr>
        <w:overflowPunct w:val="0"/>
        <w:autoSpaceDE w:val="0"/>
        <w:autoSpaceDN w:val="0"/>
        <w:adjustRightInd w:val="0"/>
        <w:snapToGrid w:val="0"/>
        <w:ind w:left="0"/>
        <w:textAlignment w:val="bottom"/>
        <w:rPr>
          <w:rFonts w:ascii="Arial" w:hAnsi="Arial" w:eastAsia="黑体" w:cs="Arial"/>
          <w:b/>
          <w:bCs/>
          <w:snapToGrid w:val="0"/>
          <w:sz w:val="22"/>
        </w:rPr>
      </w:pPr>
    </w:p>
    <w:p>
      <w:pPr>
        <w:overflowPunct w:val="0"/>
        <w:autoSpaceDE w:val="0"/>
        <w:autoSpaceDN w:val="0"/>
        <w:adjustRightInd w:val="0"/>
        <w:snapToGrid w:val="0"/>
        <w:ind w:left="0"/>
        <w:jc w:val="right"/>
        <w:textAlignment w:val="bottom"/>
        <w:rPr>
          <w:rFonts w:ascii="Arial" w:hAnsi="Arial" w:eastAsia="黑体" w:cs="Arial"/>
          <w:b/>
          <w:bCs/>
          <w:snapToGrid w:val="0"/>
          <w:sz w:val="22"/>
        </w:rPr>
      </w:pPr>
      <w:r>
        <w:rPr>
          <w:rFonts w:hint="eastAsia" w:ascii="Arial" w:hAnsi="Arial" w:eastAsia="黑体" w:cs="Arial"/>
          <w:b/>
          <w:bCs/>
          <w:snapToGrid w:val="0"/>
          <w:sz w:val="22"/>
        </w:rPr>
        <w:t>页</w:t>
      </w:r>
      <w:r>
        <w:rPr>
          <w:rFonts w:ascii="Arial" w:hAnsi="Arial" w:eastAsia="黑体" w:cs="Arial"/>
          <w:b/>
          <w:bCs/>
          <w:snapToGrid w:val="0"/>
          <w:sz w:val="22"/>
        </w:rPr>
        <w:t xml:space="preserve">  </w:t>
      </w:r>
      <w:r>
        <w:rPr>
          <w:rFonts w:hint="eastAsia" w:ascii="Arial" w:hAnsi="Arial" w:eastAsia="黑体" w:cs="Arial"/>
          <w:b/>
          <w:bCs/>
          <w:snapToGrid w:val="0"/>
          <w:sz w:val="22"/>
        </w:rPr>
        <w:t>次</w:t>
      </w:r>
    </w:p>
    <w:p>
      <w:pPr>
        <w:pStyle w:val="23"/>
        <w:widowControl/>
        <w:numPr>
          <w:ilvl w:val="0"/>
          <w:numId w:val="17"/>
        </w:numPr>
        <w:overflowPunct w:val="0"/>
        <w:autoSpaceDE w:val="0"/>
        <w:autoSpaceDN w:val="0"/>
        <w:adjustRightInd w:val="0"/>
        <w:snapToGrid w:val="0"/>
        <w:spacing w:before="120" w:after="120"/>
        <w:ind w:left="0" w:firstLine="440"/>
        <w:jc w:val="left"/>
        <w:textAlignment w:val="bottom"/>
        <w:rPr>
          <w:rFonts w:ascii="Arial" w:hAnsi="Arial" w:eastAsia="黑体" w:cs="Arial"/>
          <w:snapToGrid w:val="0"/>
          <w:sz w:val="22"/>
        </w:rPr>
      </w:pPr>
      <w:r>
        <w:rPr>
          <w:rFonts w:hint="eastAsia" w:ascii="Arial" w:hAnsi="Arial" w:eastAsia="黑体" w:cs="Arial"/>
          <w:snapToGrid w:val="0"/>
          <w:sz w:val="22"/>
        </w:rPr>
        <w:t>前次募集资金使用情况的专项鉴证报告</w:t>
      </w:r>
      <w:r>
        <w:rPr>
          <w:rFonts w:ascii="Arial" w:hAnsi="Arial" w:eastAsia="黑体" w:cs="Arial"/>
          <w:snapToGrid w:val="0"/>
          <w:sz w:val="22"/>
        </w:rPr>
        <w:t xml:space="preserve">                          1 - 2</w:t>
      </w:r>
    </w:p>
    <w:p>
      <w:pPr>
        <w:pStyle w:val="23"/>
        <w:overflowPunct w:val="0"/>
        <w:autoSpaceDE w:val="0"/>
        <w:autoSpaceDN w:val="0"/>
        <w:adjustRightInd w:val="0"/>
        <w:snapToGrid w:val="0"/>
        <w:spacing w:before="120" w:after="120"/>
        <w:ind w:left="0" w:firstLine="440"/>
        <w:textAlignment w:val="bottom"/>
        <w:rPr>
          <w:rFonts w:ascii="Arial" w:hAnsi="Arial" w:eastAsia="黑体" w:cs="Arial"/>
          <w:snapToGrid w:val="0"/>
          <w:sz w:val="22"/>
        </w:rPr>
      </w:pPr>
    </w:p>
    <w:p>
      <w:pPr>
        <w:pStyle w:val="23"/>
        <w:widowControl/>
        <w:numPr>
          <w:ilvl w:val="0"/>
          <w:numId w:val="17"/>
        </w:numPr>
        <w:overflowPunct w:val="0"/>
        <w:autoSpaceDE w:val="0"/>
        <w:autoSpaceDN w:val="0"/>
        <w:adjustRightInd w:val="0"/>
        <w:snapToGrid w:val="0"/>
        <w:spacing w:before="120" w:after="120"/>
        <w:ind w:left="0" w:firstLine="440"/>
        <w:jc w:val="left"/>
        <w:textAlignment w:val="bottom"/>
        <w:rPr>
          <w:rFonts w:ascii="Arial" w:hAnsi="Arial" w:eastAsia="黑体" w:cs="Arial"/>
          <w:snapToGrid w:val="0"/>
          <w:sz w:val="22"/>
        </w:rPr>
      </w:pPr>
      <w:r>
        <w:rPr>
          <w:rFonts w:hint="eastAsia" w:ascii="Arial" w:hAnsi="Arial" w:eastAsia="黑体" w:cs="Arial"/>
          <w:snapToGrid w:val="0"/>
          <w:sz w:val="22"/>
        </w:rPr>
        <w:t>厦门银行股份有限公司前次募集资金使用情况报告</w:t>
      </w:r>
      <w:r>
        <w:rPr>
          <w:rFonts w:ascii="Arial" w:hAnsi="Arial" w:eastAsia="黑体" w:cs="Arial"/>
          <w:snapToGrid w:val="0"/>
          <w:sz w:val="22"/>
        </w:rPr>
        <w:t xml:space="preserve">                3 - 5</w:t>
      </w:r>
    </w:p>
    <w:p>
      <w:pPr>
        <w:pStyle w:val="23"/>
        <w:overflowPunct w:val="0"/>
        <w:autoSpaceDE w:val="0"/>
        <w:autoSpaceDN w:val="0"/>
        <w:adjustRightInd w:val="0"/>
        <w:snapToGrid w:val="0"/>
        <w:spacing w:before="120" w:after="120"/>
        <w:ind w:firstLine="440"/>
        <w:textAlignment w:val="bottom"/>
        <w:rPr>
          <w:rFonts w:ascii="Arial" w:hAnsi="Arial" w:eastAsia="黑体" w:cs="Arial"/>
          <w:snapToGrid w:val="0"/>
          <w:sz w:val="22"/>
        </w:rPr>
      </w:pPr>
    </w:p>
    <w:p>
      <w:pPr>
        <w:pStyle w:val="23"/>
        <w:overflowPunct w:val="0"/>
        <w:autoSpaceDE w:val="0"/>
        <w:autoSpaceDN w:val="0"/>
        <w:adjustRightInd w:val="0"/>
        <w:snapToGrid w:val="0"/>
        <w:spacing w:before="120" w:after="120"/>
        <w:ind w:firstLine="440"/>
        <w:textAlignment w:val="bottom"/>
        <w:rPr>
          <w:rFonts w:ascii="Arial" w:hAnsi="Arial" w:eastAsia="黑体" w:cs="Arial"/>
          <w:snapToGrid w:val="0"/>
          <w:sz w:val="22"/>
        </w:rPr>
      </w:pPr>
    </w:p>
    <w:p>
      <w:pPr>
        <w:tabs>
          <w:tab w:val="right" w:pos="8640"/>
        </w:tabs>
        <w:overflowPunct w:val="0"/>
        <w:autoSpaceDE w:val="0"/>
        <w:autoSpaceDN w:val="0"/>
        <w:snapToGrid w:val="0"/>
        <w:jc w:val="right"/>
        <w:rPr>
          <w:rFonts w:ascii="Arial" w:hAnsi="Arial" w:eastAsia="黑体" w:cs="Arial"/>
          <w:b/>
          <w:sz w:val="22"/>
        </w:rPr>
      </w:pPr>
    </w:p>
    <w:p>
      <w:pPr>
        <w:rPr>
          <w:rFonts w:ascii="Arial" w:hAnsi="Arial" w:eastAsia="黑体" w:cs="Arial"/>
          <w:b/>
          <w:sz w:val="22"/>
        </w:rPr>
        <w:sectPr>
          <w:footerReference r:id="rId4" w:type="default"/>
          <w:pgSz w:w="11907" w:h="16840"/>
          <w:pgMar w:top="1440" w:right="1797" w:bottom="1440" w:left="1797" w:header="720" w:footer="720" w:gutter="0"/>
          <w:pgNumType w:start="1"/>
          <w:cols w:space="720" w:num="1"/>
          <w:docGrid w:linePitch="360" w:charSpace="0"/>
        </w:sectPr>
      </w:pPr>
    </w:p>
    <w:p>
      <w:pPr>
        <w:overflowPunct w:val="0"/>
        <w:autoSpaceDE w:val="0"/>
        <w:autoSpaceDN w:val="0"/>
        <w:snapToGrid w:val="0"/>
        <w:jc w:val="center"/>
        <w:rPr>
          <w:rFonts w:ascii="Arial" w:hAnsi="Arial" w:eastAsia="黑体" w:cs="Arial"/>
          <w:b/>
          <w:sz w:val="22"/>
        </w:rPr>
      </w:pPr>
    </w:p>
    <w:p>
      <w:pPr>
        <w:tabs>
          <w:tab w:val="right" w:pos="8640"/>
        </w:tabs>
        <w:overflowPunct w:val="0"/>
        <w:autoSpaceDE w:val="0"/>
        <w:autoSpaceDN w:val="0"/>
        <w:snapToGrid w:val="0"/>
        <w:rPr>
          <w:rFonts w:ascii="Arial" w:hAnsi="Arial" w:eastAsia="黑体"/>
          <w:b/>
          <w:sz w:val="22"/>
        </w:rPr>
      </w:pPr>
    </w:p>
    <w:p>
      <w:pPr>
        <w:tabs>
          <w:tab w:val="right" w:pos="8640"/>
        </w:tabs>
        <w:overflowPunct w:val="0"/>
        <w:autoSpaceDE w:val="0"/>
        <w:autoSpaceDN w:val="0"/>
        <w:snapToGrid w:val="0"/>
        <w:rPr>
          <w:rFonts w:ascii="Arial" w:hAnsi="Arial" w:eastAsia="黑体"/>
          <w:b/>
          <w:sz w:val="22"/>
        </w:rPr>
      </w:pPr>
    </w:p>
    <w:p>
      <w:pPr>
        <w:tabs>
          <w:tab w:val="right" w:pos="8640"/>
        </w:tabs>
        <w:overflowPunct w:val="0"/>
        <w:autoSpaceDE w:val="0"/>
        <w:autoSpaceDN w:val="0"/>
        <w:snapToGrid w:val="0"/>
        <w:rPr>
          <w:rFonts w:ascii="Arial" w:hAnsi="Arial" w:eastAsia="黑体"/>
          <w:b/>
          <w:sz w:val="22"/>
        </w:rPr>
      </w:pPr>
    </w:p>
    <w:p>
      <w:pPr>
        <w:rPr>
          <w:rFonts w:ascii="Arial" w:hAnsi="Arial" w:eastAsia="黑体"/>
          <w:b/>
          <w:sz w:val="22"/>
        </w:rPr>
      </w:pPr>
    </w:p>
    <w:p>
      <w:pPr>
        <w:tabs>
          <w:tab w:val="right" w:pos="8640"/>
        </w:tabs>
        <w:overflowPunct w:val="0"/>
        <w:autoSpaceDE w:val="0"/>
        <w:autoSpaceDN w:val="0"/>
        <w:snapToGrid w:val="0"/>
        <w:rPr>
          <w:rFonts w:ascii="Arial" w:hAnsi="Arial" w:eastAsia="黑体"/>
          <w:b/>
          <w:sz w:val="22"/>
        </w:rPr>
      </w:pPr>
    </w:p>
    <w:p>
      <w:pPr>
        <w:overflowPunct w:val="0"/>
        <w:autoSpaceDE w:val="0"/>
        <w:autoSpaceDN w:val="0"/>
        <w:snapToGrid w:val="0"/>
        <w:jc w:val="center"/>
        <w:rPr>
          <w:rFonts w:ascii="Arial" w:hAnsi="Arial" w:eastAsia="黑体"/>
          <w:b/>
          <w:sz w:val="22"/>
        </w:rPr>
      </w:pPr>
      <w:r>
        <w:rPr>
          <w:rFonts w:hint="eastAsia" w:ascii="Arial" w:hAnsi="Arial" w:eastAsia="黑体"/>
          <w:b/>
          <w:sz w:val="22"/>
        </w:rPr>
        <w:t>前次募集资金使用情况鉴证报告</w:t>
      </w:r>
    </w:p>
    <w:p>
      <w:pPr>
        <w:overflowPunct w:val="0"/>
        <w:autoSpaceDE w:val="0"/>
        <w:autoSpaceDN w:val="0"/>
        <w:snapToGrid w:val="0"/>
        <w:rPr>
          <w:rFonts w:ascii="Arial" w:hAnsi="Arial" w:eastAsia="黑体"/>
          <w:sz w:val="22"/>
        </w:rPr>
      </w:pPr>
    </w:p>
    <w:p>
      <w:pPr>
        <w:overflowPunct w:val="0"/>
        <w:autoSpaceDE w:val="0"/>
        <w:autoSpaceDN w:val="0"/>
        <w:snapToGrid w:val="0"/>
        <w:jc w:val="right"/>
        <w:rPr>
          <w:rFonts w:ascii="Arial" w:hAnsi="Arial" w:eastAsia="黑体"/>
          <w:sz w:val="22"/>
        </w:rPr>
      </w:pPr>
      <w:r>
        <w:rPr>
          <w:rFonts w:hint="eastAsia" w:ascii="Arial" w:hAnsi="Arial" w:eastAsia="黑体"/>
          <w:sz w:val="22"/>
        </w:rPr>
        <w:t>安永华明（</w:t>
      </w:r>
      <w:r>
        <w:rPr>
          <w:rFonts w:ascii="Arial" w:hAnsi="Arial" w:eastAsia="黑体"/>
          <w:sz w:val="22"/>
        </w:rPr>
        <w:t>2022</w:t>
      </w:r>
      <w:r>
        <w:rPr>
          <w:rFonts w:hint="eastAsia" w:ascii="Arial" w:hAnsi="Arial" w:eastAsia="黑体"/>
          <w:sz w:val="22"/>
        </w:rPr>
        <w:t>）专字第</w:t>
      </w:r>
      <w:r>
        <w:rPr>
          <w:rFonts w:ascii="Arial" w:hAnsi="Arial" w:eastAsia="黑体"/>
          <w:sz w:val="22"/>
        </w:rPr>
        <w:t>61276201_M04</w:t>
      </w:r>
      <w:r>
        <w:rPr>
          <w:rFonts w:hint="eastAsia" w:ascii="Arial" w:hAnsi="Arial" w:eastAsia="黑体"/>
          <w:sz w:val="22"/>
        </w:rPr>
        <w:t>号</w:t>
      </w:r>
    </w:p>
    <w:p>
      <w:pPr>
        <w:overflowPunct w:val="0"/>
        <w:autoSpaceDE w:val="0"/>
        <w:autoSpaceDN w:val="0"/>
        <w:snapToGrid w:val="0"/>
        <w:jc w:val="right"/>
        <w:rPr>
          <w:rFonts w:ascii="Arial" w:hAnsi="Arial" w:eastAsia="黑体"/>
          <w:sz w:val="22"/>
        </w:rPr>
      </w:pPr>
      <w:r>
        <w:rPr>
          <w:rFonts w:hint="eastAsia" w:ascii="Arial" w:hAnsi="Arial" w:eastAsia="黑体"/>
          <w:sz w:val="22"/>
        </w:rPr>
        <w:t>厦门银行股份有限公司</w:t>
      </w:r>
    </w:p>
    <w:p>
      <w:pPr>
        <w:overflowPunct w:val="0"/>
        <w:autoSpaceDE w:val="0"/>
        <w:autoSpaceDN w:val="0"/>
        <w:snapToGrid w:val="0"/>
        <w:rPr>
          <w:rFonts w:ascii="Arial" w:hAnsi="Arial" w:eastAsia="黑体"/>
          <w:sz w:val="22"/>
        </w:rPr>
      </w:pPr>
    </w:p>
    <w:p>
      <w:pPr>
        <w:overflowPunct w:val="0"/>
        <w:autoSpaceDE w:val="0"/>
        <w:autoSpaceDN w:val="0"/>
        <w:snapToGrid w:val="0"/>
        <w:rPr>
          <w:rFonts w:ascii="Arial" w:hAnsi="Arial" w:eastAsia="黑体"/>
          <w:sz w:val="22"/>
        </w:rPr>
      </w:pPr>
    </w:p>
    <w:p>
      <w:pPr>
        <w:overflowPunct w:val="0"/>
        <w:autoSpaceDE w:val="0"/>
        <w:autoSpaceDN w:val="0"/>
        <w:snapToGrid w:val="0"/>
        <w:ind w:firstLine="440" w:firstLineChars="200"/>
        <w:rPr>
          <w:rFonts w:ascii="Arial" w:hAnsi="Arial" w:eastAsia="黑体"/>
          <w:sz w:val="22"/>
        </w:rPr>
      </w:pPr>
      <w:r>
        <w:rPr>
          <w:rFonts w:hint="eastAsia" w:ascii="Arial" w:hAnsi="Arial" w:eastAsia="黑体"/>
          <w:sz w:val="22"/>
        </w:rPr>
        <w:t>厦门银行股份有限公司董事会：</w:t>
      </w:r>
    </w:p>
    <w:p>
      <w:pPr>
        <w:overflowPunct w:val="0"/>
        <w:autoSpaceDE w:val="0"/>
        <w:autoSpaceDN w:val="0"/>
        <w:snapToGrid w:val="0"/>
        <w:ind w:firstLine="440" w:firstLineChars="200"/>
        <w:rPr>
          <w:rFonts w:ascii="Arial" w:hAnsi="Arial" w:eastAsia="黑体"/>
          <w:sz w:val="22"/>
        </w:rPr>
      </w:pPr>
    </w:p>
    <w:p>
      <w:pPr>
        <w:pStyle w:val="6"/>
        <w:tabs>
          <w:tab w:val="left" w:pos="5160"/>
        </w:tabs>
        <w:autoSpaceDE w:val="0"/>
        <w:autoSpaceDN w:val="0"/>
        <w:ind w:firstLine="440" w:firstLineChars="200"/>
        <w:rPr>
          <w:rFonts w:ascii="Arial" w:hAnsi="Arial" w:eastAsia="黑体"/>
          <w:sz w:val="22"/>
        </w:rPr>
      </w:pPr>
      <w:r>
        <w:rPr>
          <w:rFonts w:hint="eastAsia" w:ascii="Arial" w:hAnsi="Arial" w:eastAsia="黑体"/>
          <w:sz w:val="22"/>
        </w:rPr>
        <w:t>我们接受委托，对后附的厦门银行股份有限公司截至</w:t>
      </w:r>
      <w:r>
        <w:rPr>
          <w:rFonts w:ascii="Arial" w:hAnsi="Arial" w:eastAsia="黑体"/>
          <w:sz w:val="22"/>
        </w:rPr>
        <w:t>2022年3月31日</w:t>
      </w:r>
      <w:r>
        <w:rPr>
          <w:rFonts w:hint="eastAsia" w:ascii="Arial" w:hAnsi="Arial" w:eastAsia="黑体"/>
          <w:sz w:val="22"/>
        </w:rPr>
        <w:t>止的前次募集资金使用情况报告（“前次募集资金使用情况报告”）进行了鉴证。按照中国证券监督管理委员会《关于前次募集资金使用情况报告的规定》（证监发行字</w:t>
      </w:r>
      <w:r>
        <w:rPr>
          <w:rFonts w:ascii="Arial" w:hAnsi="Arial" w:eastAsia="黑体"/>
          <w:sz w:val="22"/>
        </w:rPr>
        <w:t>[2007] 500</w:t>
      </w:r>
      <w:r>
        <w:rPr>
          <w:rFonts w:hint="eastAsia" w:ascii="Arial" w:hAnsi="Arial" w:eastAsia="黑体"/>
          <w:sz w:val="22"/>
        </w:rPr>
        <w:t>号）编制上述前次募集资金使用情况报告，并保证其内容真实、准确、完整，不存在虚假记载、误导性陈述或重大遗漏是厦门银行股份有限公司董事会的责任。我们的责任是在执行鉴证工作的基础上对前次募集资金使用情况报告独立发表鉴证意见。</w:t>
      </w:r>
    </w:p>
    <w:p>
      <w:pPr>
        <w:pStyle w:val="6"/>
        <w:tabs>
          <w:tab w:val="left" w:pos="5160"/>
        </w:tabs>
        <w:autoSpaceDE w:val="0"/>
        <w:autoSpaceDN w:val="0"/>
        <w:ind w:firstLine="440" w:firstLineChars="200"/>
        <w:rPr>
          <w:rFonts w:ascii="Arial" w:hAnsi="Arial" w:eastAsia="黑体"/>
          <w:sz w:val="22"/>
        </w:rPr>
      </w:pPr>
    </w:p>
    <w:p>
      <w:pPr>
        <w:pStyle w:val="6"/>
        <w:tabs>
          <w:tab w:val="left" w:pos="5160"/>
        </w:tabs>
        <w:autoSpaceDE w:val="0"/>
        <w:autoSpaceDN w:val="0"/>
        <w:ind w:firstLine="440" w:firstLineChars="200"/>
        <w:rPr>
          <w:rFonts w:ascii="Arial" w:hAnsi="Arial" w:eastAsia="黑体"/>
          <w:sz w:val="22"/>
        </w:rPr>
      </w:pPr>
      <w:r>
        <w:rPr>
          <w:rFonts w:hint="eastAsia" w:ascii="Arial" w:hAnsi="Arial" w:eastAsia="黑体"/>
          <w:sz w:val="22"/>
        </w:rPr>
        <w:t>我们按照《中国注册会计师其他鉴证业务准则第</w:t>
      </w:r>
      <w:r>
        <w:rPr>
          <w:rFonts w:ascii="Arial" w:hAnsi="Arial" w:eastAsia="黑体"/>
          <w:sz w:val="22"/>
        </w:rPr>
        <w:t>3101</w:t>
      </w:r>
      <w:r>
        <w:rPr>
          <w:rFonts w:hint="eastAsia" w:ascii="Arial" w:hAnsi="Arial" w:eastAsia="黑体"/>
          <w:sz w:val="22"/>
        </w:rPr>
        <w:t>号——历史财务信息审计或审阅以外的鉴证业务》的规定执行了鉴证业务。该准则要求我们计划和执行鉴证工作，以对上述前次募集资金使用情况报告是否不存在重大错报获取合理保证。在鉴证过程中，我们实施了包括了解、</w:t>
      </w:r>
      <w:r>
        <w:rPr>
          <w:rFonts w:hint="eastAsia" w:ascii="Arial" w:hAnsi="Arial" w:eastAsia="黑体"/>
          <w:color w:val="000000"/>
          <w:spacing w:val="15"/>
          <w:sz w:val="22"/>
        </w:rPr>
        <w:t>抽查、核对</w:t>
      </w:r>
      <w:r>
        <w:rPr>
          <w:rFonts w:hint="eastAsia" w:ascii="Arial" w:hAnsi="Arial" w:eastAsia="黑体"/>
          <w:sz w:val="22"/>
        </w:rPr>
        <w:t>以及我们认为必要的其他程序。我们相信，我们的鉴证工作为发表意见提供了合理的基础。</w:t>
      </w:r>
    </w:p>
    <w:p>
      <w:pPr>
        <w:pStyle w:val="6"/>
        <w:tabs>
          <w:tab w:val="left" w:pos="5160"/>
        </w:tabs>
        <w:autoSpaceDE w:val="0"/>
        <w:autoSpaceDN w:val="0"/>
        <w:ind w:firstLine="440" w:firstLineChars="200"/>
        <w:rPr>
          <w:rFonts w:ascii="Arial" w:hAnsi="Arial" w:eastAsia="黑体"/>
          <w:sz w:val="22"/>
        </w:rPr>
      </w:pPr>
    </w:p>
    <w:p>
      <w:pPr>
        <w:pStyle w:val="6"/>
        <w:tabs>
          <w:tab w:val="left" w:pos="5160"/>
        </w:tabs>
        <w:autoSpaceDE w:val="0"/>
        <w:autoSpaceDN w:val="0"/>
        <w:ind w:firstLine="440" w:firstLineChars="200"/>
        <w:rPr>
          <w:rFonts w:ascii="Arial" w:hAnsi="Arial" w:eastAsia="黑体"/>
          <w:sz w:val="22"/>
        </w:rPr>
      </w:pPr>
      <w:r>
        <w:rPr>
          <w:rFonts w:hint="eastAsia" w:ascii="Arial" w:hAnsi="Arial" w:eastAsia="黑体"/>
          <w:sz w:val="22"/>
        </w:rPr>
        <w:t>我们认为，厦门银行股份有限公司的上述前次募集资金使用情况报告在所有重大方面按照中国证券监督管理委员会《关于前次募集资金使用情况报告的规定》（证监发行字</w:t>
      </w:r>
      <w:r>
        <w:rPr>
          <w:rFonts w:ascii="Arial" w:hAnsi="Arial" w:eastAsia="黑体"/>
          <w:sz w:val="22"/>
        </w:rPr>
        <w:t>[2007] 500</w:t>
      </w:r>
      <w:r>
        <w:rPr>
          <w:rFonts w:hint="eastAsia" w:ascii="Arial" w:hAnsi="Arial" w:eastAsia="黑体"/>
          <w:sz w:val="22"/>
        </w:rPr>
        <w:t>号）编制，如实反映了截至</w:t>
      </w:r>
      <w:r>
        <w:rPr>
          <w:rFonts w:ascii="Arial" w:hAnsi="Arial" w:eastAsia="黑体"/>
          <w:sz w:val="22"/>
        </w:rPr>
        <w:t>2022年3月31日</w:t>
      </w:r>
      <w:r>
        <w:rPr>
          <w:rFonts w:hint="eastAsia" w:ascii="Arial" w:hAnsi="Arial" w:eastAsia="黑体"/>
          <w:sz w:val="22"/>
        </w:rPr>
        <w:t>止厦门银行股份有限公司前次募集资金使用情况。</w:t>
      </w:r>
    </w:p>
    <w:p>
      <w:pPr>
        <w:pStyle w:val="6"/>
        <w:tabs>
          <w:tab w:val="left" w:pos="5160"/>
        </w:tabs>
        <w:autoSpaceDE w:val="0"/>
        <w:autoSpaceDN w:val="0"/>
        <w:ind w:firstLine="440" w:firstLineChars="200"/>
        <w:rPr>
          <w:rFonts w:ascii="Arial" w:hAnsi="Arial" w:eastAsia="黑体"/>
          <w:sz w:val="22"/>
        </w:rPr>
      </w:pPr>
    </w:p>
    <w:p>
      <w:pPr>
        <w:overflowPunct w:val="0"/>
        <w:autoSpaceDE w:val="0"/>
        <w:autoSpaceDN w:val="0"/>
        <w:ind w:firstLine="440" w:firstLineChars="200"/>
        <w:rPr>
          <w:rFonts w:ascii="Arial" w:hAnsi="Arial" w:eastAsia="黑体" w:cs="Arial"/>
          <w:sz w:val="22"/>
        </w:rPr>
      </w:pPr>
      <w:r>
        <w:rPr>
          <w:rFonts w:hint="eastAsia" w:ascii="Arial" w:hAnsi="Arial" w:eastAsia="黑体"/>
          <w:sz w:val="22"/>
        </w:rPr>
        <w:t>本报告仅供厦门银行股份有限公司本次向中国证券监督管理委员会申请发行可转换公司债券使用，除按照中国证券监督管理委员会、上海证券交易所的要求用于报送申请文件、相关信息披露之外，未经本所书面同意，不得作其他用途使用。</w:t>
      </w:r>
      <w:r>
        <w:rPr>
          <w:rFonts w:ascii="Arial" w:hAnsi="Arial" w:eastAsia="黑体" w:cs="Arial"/>
          <w:sz w:val="22"/>
        </w:rPr>
        <w:br w:type="page"/>
      </w:r>
    </w:p>
    <w:p>
      <w:pPr>
        <w:overflowPunct w:val="0"/>
        <w:autoSpaceDE w:val="0"/>
        <w:autoSpaceDN w:val="0"/>
        <w:adjustRightInd w:val="0"/>
        <w:snapToGrid w:val="0"/>
        <w:jc w:val="center"/>
        <w:rPr>
          <w:rFonts w:ascii="Arial" w:hAnsi="Arial" w:eastAsia="黑体" w:cs="Arial"/>
          <w:b/>
          <w:sz w:val="22"/>
        </w:rPr>
      </w:pPr>
    </w:p>
    <w:p>
      <w:pPr>
        <w:overflowPunct w:val="0"/>
        <w:autoSpaceDE w:val="0"/>
        <w:autoSpaceDN w:val="0"/>
        <w:adjustRightInd w:val="0"/>
        <w:snapToGrid w:val="0"/>
        <w:jc w:val="center"/>
        <w:rPr>
          <w:rFonts w:ascii="Arial" w:hAnsi="Arial" w:eastAsia="黑体" w:cs="Arial"/>
          <w:b/>
          <w:sz w:val="22"/>
        </w:rPr>
      </w:pPr>
    </w:p>
    <w:p>
      <w:pPr>
        <w:overflowPunct w:val="0"/>
        <w:autoSpaceDE w:val="0"/>
        <w:autoSpaceDN w:val="0"/>
        <w:adjustRightInd w:val="0"/>
        <w:snapToGrid w:val="0"/>
        <w:jc w:val="center"/>
        <w:rPr>
          <w:rFonts w:ascii="Arial" w:hAnsi="Arial" w:eastAsia="黑体" w:cs="Arial"/>
          <w:b/>
          <w:sz w:val="22"/>
        </w:rPr>
      </w:pPr>
    </w:p>
    <w:p>
      <w:pPr>
        <w:overflowPunct w:val="0"/>
        <w:autoSpaceDE w:val="0"/>
        <w:autoSpaceDN w:val="0"/>
        <w:adjustRightInd w:val="0"/>
        <w:snapToGrid w:val="0"/>
        <w:jc w:val="center"/>
        <w:rPr>
          <w:rFonts w:ascii="Arial" w:hAnsi="Arial" w:eastAsia="黑体" w:cs="Arial"/>
          <w:b/>
          <w:sz w:val="22"/>
        </w:rPr>
      </w:pPr>
    </w:p>
    <w:p>
      <w:pPr>
        <w:overflowPunct w:val="0"/>
        <w:autoSpaceDE w:val="0"/>
        <w:autoSpaceDN w:val="0"/>
        <w:adjustRightInd w:val="0"/>
        <w:snapToGrid w:val="0"/>
        <w:jc w:val="center"/>
        <w:rPr>
          <w:rFonts w:ascii="Arial" w:hAnsi="Arial" w:eastAsia="黑体" w:cs="Arial"/>
          <w:b/>
          <w:sz w:val="22"/>
        </w:rPr>
      </w:pPr>
    </w:p>
    <w:p>
      <w:pPr>
        <w:overflowPunct w:val="0"/>
        <w:autoSpaceDE w:val="0"/>
        <w:autoSpaceDN w:val="0"/>
        <w:snapToGrid w:val="0"/>
        <w:jc w:val="center"/>
        <w:rPr>
          <w:rFonts w:ascii="Arial" w:hAnsi="Arial" w:eastAsia="黑体"/>
          <w:b/>
          <w:sz w:val="22"/>
        </w:rPr>
      </w:pPr>
      <w:r>
        <w:rPr>
          <w:rFonts w:hint="eastAsia" w:ascii="Arial" w:hAnsi="Arial" w:eastAsia="黑体"/>
          <w:b/>
          <w:sz w:val="22"/>
        </w:rPr>
        <w:t>前次募集资金使用情况鉴证报告（续）</w:t>
      </w:r>
    </w:p>
    <w:p>
      <w:pPr>
        <w:overflowPunct w:val="0"/>
        <w:autoSpaceDE w:val="0"/>
        <w:autoSpaceDN w:val="0"/>
        <w:adjustRightInd w:val="0"/>
        <w:snapToGrid w:val="0"/>
        <w:jc w:val="right"/>
        <w:rPr>
          <w:rFonts w:ascii="Arial" w:hAnsi="Arial" w:eastAsia="黑体" w:cs="Arial"/>
          <w:sz w:val="22"/>
        </w:rPr>
      </w:pPr>
    </w:p>
    <w:p>
      <w:pPr>
        <w:overflowPunct w:val="0"/>
        <w:autoSpaceDE w:val="0"/>
        <w:autoSpaceDN w:val="0"/>
        <w:adjustRightInd w:val="0"/>
        <w:snapToGrid w:val="0"/>
        <w:jc w:val="right"/>
        <w:rPr>
          <w:rFonts w:ascii="Arial" w:hAnsi="Arial" w:eastAsia="黑体" w:cs="Arial"/>
          <w:sz w:val="22"/>
        </w:rPr>
      </w:pPr>
      <w:r>
        <w:rPr>
          <w:rFonts w:hint="eastAsia" w:ascii="Arial" w:hAnsi="Arial" w:eastAsia="黑体" w:cs="Arial"/>
          <w:sz w:val="22"/>
        </w:rPr>
        <w:t>安永华明（</w:t>
      </w:r>
      <w:r>
        <w:rPr>
          <w:rFonts w:ascii="Arial" w:hAnsi="Arial" w:eastAsia="黑体" w:cs="Arial"/>
          <w:sz w:val="22"/>
        </w:rPr>
        <w:t>2022</w:t>
      </w:r>
      <w:r>
        <w:rPr>
          <w:rFonts w:hint="eastAsia" w:ascii="Arial" w:hAnsi="Arial" w:eastAsia="黑体" w:cs="Arial"/>
          <w:sz w:val="22"/>
        </w:rPr>
        <w:t>）专字第</w:t>
      </w:r>
      <w:r>
        <w:rPr>
          <w:rFonts w:ascii="Arial" w:hAnsi="Arial" w:eastAsia="黑体" w:cs="Arial"/>
          <w:sz w:val="22"/>
        </w:rPr>
        <w:t>61276201_M04</w:t>
      </w:r>
      <w:r>
        <w:rPr>
          <w:rFonts w:hint="eastAsia" w:ascii="Arial" w:hAnsi="Arial" w:eastAsia="黑体" w:cs="Arial"/>
          <w:sz w:val="22"/>
        </w:rPr>
        <w:t>号</w:t>
      </w:r>
    </w:p>
    <w:p>
      <w:pPr>
        <w:overflowPunct w:val="0"/>
        <w:autoSpaceDE w:val="0"/>
        <w:autoSpaceDN w:val="0"/>
        <w:adjustRightInd w:val="0"/>
        <w:snapToGrid w:val="0"/>
        <w:jc w:val="right"/>
        <w:rPr>
          <w:rFonts w:ascii="Arial" w:hAnsi="Arial" w:eastAsia="黑体" w:cs="Arial"/>
          <w:sz w:val="22"/>
        </w:rPr>
      </w:pPr>
      <w:r>
        <w:rPr>
          <w:rFonts w:hint="eastAsia" w:ascii="Arial" w:hAnsi="Arial" w:eastAsia="黑体" w:cs="Arial"/>
          <w:snapToGrid w:val="0"/>
          <w:sz w:val="22"/>
        </w:rPr>
        <w:t>厦门银行股份有限公司</w:t>
      </w:r>
    </w:p>
    <w:p>
      <w:pPr>
        <w:overflowPunct w:val="0"/>
        <w:autoSpaceDE w:val="0"/>
        <w:autoSpaceDN w:val="0"/>
        <w:adjustRightInd w:val="0"/>
        <w:snapToGrid w:val="0"/>
        <w:rPr>
          <w:rFonts w:ascii="Arial" w:hAnsi="Arial" w:eastAsia="黑体" w:cs="Arial"/>
          <w:sz w:val="22"/>
        </w:rPr>
      </w:pPr>
    </w:p>
    <w:p>
      <w:pPr>
        <w:overflowPunct w:val="0"/>
        <w:autoSpaceDE w:val="0"/>
        <w:autoSpaceDN w:val="0"/>
        <w:ind w:firstLine="440" w:firstLineChars="200"/>
        <w:rPr>
          <w:rFonts w:ascii="Arial" w:hAnsi="Arial" w:eastAsia="黑体" w:cs="Arial"/>
          <w:sz w:val="22"/>
        </w:rPr>
      </w:pPr>
      <w:r>
        <w:rPr>
          <w:rFonts w:hint="eastAsia" w:ascii="Arial" w:hAnsi="Arial" w:eastAsia="黑体" w:cs="Arial"/>
          <w:sz w:val="22"/>
        </w:rPr>
        <w:t>（本页无正文）</w:t>
      </w:r>
    </w:p>
    <w:p>
      <w:pPr>
        <w:overflowPunct w:val="0"/>
        <w:autoSpaceDE w:val="0"/>
        <w:autoSpaceDN w:val="0"/>
        <w:rPr>
          <w:rFonts w:ascii="Arial" w:hAnsi="Arial" w:eastAsia="黑体" w:cs="Arial"/>
          <w:sz w:val="22"/>
        </w:rPr>
      </w:pPr>
    </w:p>
    <w:p>
      <w:pPr>
        <w:overflowPunct w:val="0"/>
        <w:autoSpaceDE w:val="0"/>
        <w:autoSpaceDN w:val="0"/>
        <w:rPr>
          <w:rFonts w:ascii="Arial" w:hAnsi="Arial" w:eastAsia="黑体" w:cs="Arial"/>
          <w:sz w:val="22"/>
        </w:rPr>
      </w:pPr>
    </w:p>
    <w:p>
      <w:pPr>
        <w:overflowPunct w:val="0"/>
        <w:autoSpaceDE w:val="0"/>
        <w:autoSpaceDN w:val="0"/>
        <w:rPr>
          <w:rFonts w:ascii="Arial" w:hAnsi="Arial" w:eastAsia="黑体" w:cs="Arial"/>
          <w:sz w:val="22"/>
        </w:rPr>
      </w:pPr>
    </w:p>
    <w:p>
      <w:pPr>
        <w:overflowPunct w:val="0"/>
        <w:autoSpaceDE w:val="0"/>
        <w:autoSpaceDN w:val="0"/>
        <w:rPr>
          <w:rFonts w:ascii="Arial" w:hAnsi="Arial" w:eastAsia="黑体" w:cs="Arial"/>
          <w:sz w:val="22"/>
        </w:rPr>
      </w:pPr>
    </w:p>
    <w:p>
      <w:pPr>
        <w:overflowPunct w:val="0"/>
        <w:autoSpaceDE w:val="0"/>
        <w:autoSpaceDN w:val="0"/>
        <w:rPr>
          <w:rFonts w:ascii="Arial" w:hAnsi="Arial" w:eastAsia="黑体" w:cs="Arial"/>
          <w:sz w:val="22"/>
        </w:rPr>
      </w:pPr>
    </w:p>
    <w:p>
      <w:pPr>
        <w:overflowPunct w:val="0"/>
        <w:autoSpaceDE w:val="0"/>
        <w:autoSpaceDN w:val="0"/>
        <w:rPr>
          <w:rFonts w:ascii="Arial" w:hAnsi="Arial" w:eastAsia="黑体" w:cs="Arial"/>
          <w:sz w:val="22"/>
        </w:rPr>
      </w:pPr>
    </w:p>
    <w:p>
      <w:pPr>
        <w:overflowPunct w:val="0"/>
        <w:autoSpaceDE w:val="0"/>
        <w:autoSpaceDN w:val="0"/>
        <w:rPr>
          <w:rFonts w:ascii="Arial" w:hAnsi="Arial" w:eastAsia="黑体" w:cs="Arial"/>
          <w:sz w:val="22"/>
        </w:rPr>
      </w:pPr>
    </w:p>
    <w:p>
      <w:pPr>
        <w:overflowPunct w:val="0"/>
        <w:autoSpaceDE w:val="0"/>
        <w:autoSpaceDN w:val="0"/>
        <w:rPr>
          <w:rFonts w:ascii="Arial" w:hAnsi="Arial" w:eastAsia="黑体" w:cs="Arial"/>
          <w:sz w:val="22"/>
        </w:rPr>
      </w:pPr>
    </w:p>
    <w:tbl>
      <w:tblPr>
        <w:tblStyle w:val="14"/>
        <w:tblW w:w="832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78"/>
        <w:gridCol w:w="36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78" w:type="dxa"/>
          </w:tcPr>
          <w:p>
            <w:pPr>
              <w:overflowPunct w:val="0"/>
              <w:autoSpaceDE w:val="0"/>
              <w:autoSpaceDN w:val="0"/>
              <w:adjustRightInd w:val="0"/>
              <w:spacing w:before="240" w:line="360" w:lineRule="atLeast"/>
              <w:textAlignment w:val="baseline"/>
              <w:rPr>
                <w:rFonts w:ascii="Arial" w:hAnsi="Arial" w:eastAsia="黑体" w:cs="Arial"/>
                <w:sz w:val="22"/>
              </w:rPr>
            </w:pPr>
            <w:r>
              <w:rPr>
                <w:rFonts w:hint="eastAsia" w:ascii="Arial" w:hAnsi="Arial" w:eastAsia="黑体" w:cs="Arial"/>
                <w:sz w:val="22"/>
              </w:rPr>
              <w:t>安永华明会计师事务所（特殊普通合伙）</w:t>
            </w:r>
          </w:p>
          <w:p>
            <w:pPr>
              <w:overflowPunct w:val="0"/>
              <w:autoSpaceDE w:val="0"/>
              <w:autoSpaceDN w:val="0"/>
              <w:adjustRightInd w:val="0"/>
              <w:spacing w:before="240" w:line="360" w:lineRule="atLeast"/>
              <w:textAlignment w:val="baseline"/>
              <w:rPr>
                <w:rFonts w:ascii="Arial" w:hAnsi="Arial" w:eastAsia="黑体" w:cs="Arial"/>
                <w:i/>
                <w:sz w:val="22"/>
              </w:rPr>
            </w:pPr>
          </w:p>
        </w:tc>
        <w:tc>
          <w:tcPr>
            <w:tcW w:w="3651" w:type="dxa"/>
          </w:tcPr>
          <w:p>
            <w:pPr>
              <w:tabs>
                <w:tab w:val="left" w:pos="2377"/>
                <w:tab w:val="left" w:pos="2448"/>
              </w:tabs>
              <w:overflowPunct w:val="0"/>
              <w:autoSpaceDE w:val="0"/>
              <w:autoSpaceDN w:val="0"/>
              <w:adjustRightInd w:val="0"/>
              <w:spacing w:before="240" w:line="360" w:lineRule="atLeast"/>
              <w:textAlignment w:val="baseline"/>
              <w:rPr>
                <w:rFonts w:ascii="Arial" w:hAnsi="Arial" w:eastAsia="黑体" w:cs="Arial"/>
                <w:sz w:val="22"/>
              </w:rPr>
            </w:pPr>
            <w:r>
              <w:rPr>
                <w:rFonts w:hint="eastAsia" w:ascii="Arial" w:hAnsi="Arial" w:eastAsia="黑体" w:cs="Arial"/>
                <w:sz w:val="22"/>
              </w:rPr>
              <w:t>中国注册会计师：昌</w:t>
            </w:r>
            <w:r>
              <w:rPr>
                <w:rFonts w:ascii="Arial" w:hAnsi="Arial" w:eastAsia="黑体" w:cs="Arial"/>
                <w:sz w:val="22"/>
              </w:rPr>
              <w:t xml:space="preserve">    </w:t>
            </w:r>
            <w:r>
              <w:rPr>
                <w:rFonts w:hint="eastAsia" w:ascii="Arial" w:hAnsi="Arial" w:eastAsia="黑体" w:cs="Arial"/>
                <w:sz w:val="22"/>
              </w:rPr>
              <w:t>华</w:t>
            </w:r>
          </w:p>
          <w:p>
            <w:pPr>
              <w:overflowPunct w:val="0"/>
              <w:autoSpaceDE w:val="0"/>
              <w:autoSpaceDN w:val="0"/>
              <w:adjustRightInd w:val="0"/>
              <w:spacing w:before="240" w:line="360" w:lineRule="atLeast"/>
              <w:textAlignment w:val="baseline"/>
              <w:rPr>
                <w:rFonts w:ascii="Arial" w:hAnsi="Arial" w:eastAsia="黑体" w:cs="Arial"/>
                <w:sz w:val="22"/>
              </w:rPr>
            </w:pPr>
          </w:p>
          <w:p>
            <w:pPr>
              <w:overflowPunct w:val="0"/>
              <w:autoSpaceDE w:val="0"/>
              <w:autoSpaceDN w:val="0"/>
              <w:adjustRightInd w:val="0"/>
              <w:spacing w:before="240" w:line="360" w:lineRule="atLeast"/>
              <w:textAlignment w:val="baseline"/>
              <w:rPr>
                <w:rFonts w:ascii="Arial" w:hAnsi="Arial" w:eastAsia="黑体" w:cs="Arial"/>
                <w:sz w:val="22"/>
              </w:rPr>
            </w:pPr>
          </w:p>
          <w:p>
            <w:pPr>
              <w:overflowPunct w:val="0"/>
              <w:autoSpaceDE w:val="0"/>
              <w:autoSpaceDN w:val="0"/>
              <w:adjustRightInd w:val="0"/>
              <w:spacing w:before="240" w:line="360" w:lineRule="atLeast"/>
              <w:textAlignment w:val="baseline"/>
              <w:rPr>
                <w:rFonts w:ascii="Arial" w:hAnsi="Arial" w:eastAsia="黑体" w:cs="Arial"/>
                <w:sz w:val="22"/>
              </w:rPr>
            </w:pPr>
          </w:p>
          <w:p>
            <w:pPr>
              <w:overflowPunct w:val="0"/>
              <w:autoSpaceDE w:val="0"/>
              <w:autoSpaceDN w:val="0"/>
              <w:adjustRightInd w:val="0"/>
              <w:spacing w:before="240" w:line="360" w:lineRule="atLeast"/>
              <w:textAlignment w:val="baseline"/>
              <w:rPr>
                <w:rFonts w:ascii="Arial" w:hAnsi="Arial" w:eastAsia="黑体" w:cs="Arial"/>
                <w:sz w:val="22"/>
              </w:rPr>
            </w:pPr>
          </w:p>
          <w:p>
            <w:pPr>
              <w:overflowPunct w:val="0"/>
              <w:autoSpaceDE w:val="0"/>
              <w:autoSpaceDN w:val="0"/>
              <w:adjustRightInd w:val="0"/>
              <w:spacing w:before="240" w:line="360" w:lineRule="atLeast"/>
              <w:textAlignment w:val="baseline"/>
              <w:rPr>
                <w:rFonts w:ascii="Arial" w:hAnsi="Arial" w:eastAsia="黑体" w:cs="Arial"/>
                <w:sz w:val="22"/>
              </w:rPr>
            </w:pPr>
          </w:p>
          <w:p>
            <w:pPr>
              <w:overflowPunct w:val="0"/>
              <w:autoSpaceDE w:val="0"/>
              <w:autoSpaceDN w:val="0"/>
              <w:adjustRightInd w:val="0"/>
              <w:spacing w:before="240" w:line="360" w:lineRule="atLeast"/>
              <w:textAlignment w:val="baseline"/>
              <w:rPr>
                <w:rFonts w:ascii="Arial" w:hAnsi="Arial" w:eastAsia="黑体" w:cs="Arial"/>
                <w:sz w:val="22"/>
              </w:rPr>
            </w:pPr>
          </w:p>
          <w:p>
            <w:pPr>
              <w:overflowPunct w:val="0"/>
              <w:autoSpaceDE w:val="0"/>
              <w:autoSpaceDN w:val="0"/>
              <w:adjustRightInd w:val="0"/>
              <w:spacing w:before="240" w:line="360" w:lineRule="atLeast"/>
              <w:textAlignment w:val="baseline"/>
              <w:rPr>
                <w:rFonts w:ascii="Arial" w:hAnsi="Arial" w:eastAsia="黑体" w:cs="Arial"/>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78" w:type="dxa"/>
          </w:tcPr>
          <w:p>
            <w:pPr>
              <w:overflowPunct w:val="0"/>
              <w:autoSpaceDE w:val="0"/>
              <w:autoSpaceDN w:val="0"/>
              <w:adjustRightInd w:val="0"/>
              <w:spacing w:before="240" w:line="360" w:lineRule="atLeast"/>
              <w:textAlignment w:val="baseline"/>
              <w:rPr>
                <w:rFonts w:ascii="Arial" w:hAnsi="Arial" w:eastAsia="黑体" w:cs="Arial"/>
                <w:sz w:val="22"/>
              </w:rPr>
            </w:pPr>
          </w:p>
        </w:tc>
        <w:tc>
          <w:tcPr>
            <w:tcW w:w="3651" w:type="dxa"/>
          </w:tcPr>
          <w:p>
            <w:pPr>
              <w:overflowPunct w:val="0"/>
              <w:autoSpaceDE w:val="0"/>
              <w:autoSpaceDN w:val="0"/>
              <w:adjustRightInd w:val="0"/>
              <w:spacing w:before="240" w:line="360" w:lineRule="atLeast"/>
              <w:textAlignment w:val="baseline"/>
              <w:rPr>
                <w:rFonts w:ascii="Arial" w:hAnsi="Arial" w:eastAsia="黑体" w:cs="Arial"/>
                <w:sz w:val="22"/>
              </w:rPr>
            </w:pPr>
            <w:r>
              <w:rPr>
                <w:rFonts w:hint="eastAsia" w:ascii="Arial" w:hAnsi="Arial" w:eastAsia="黑体" w:cs="Arial"/>
                <w:sz w:val="22"/>
              </w:rPr>
              <w:t>中国注册会计师：张力卓</w:t>
            </w:r>
          </w:p>
          <w:p>
            <w:pPr>
              <w:overflowPunct w:val="0"/>
              <w:autoSpaceDE w:val="0"/>
              <w:autoSpaceDN w:val="0"/>
              <w:adjustRightInd w:val="0"/>
              <w:spacing w:before="240" w:line="360" w:lineRule="atLeast"/>
              <w:textAlignment w:val="baseline"/>
              <w:rPr>
                <w:rFonts w:ascii="Arial" w:hAnsi="Arial" w:eastAsia="黑体" w:cs="Arial"/>
                <w:sz w:val="22"/>
              </w:rPr>
            </w:pPr>
          </w:p>
          <w:p>
            <w:pPr>
              <w:tabs>
                <w:tab w:val="left" w:pos="2400"/>
                <w:tab w:val="left" w:pos="2700"/>
              </w:tabs>
              <w:overflowPunct w:val="0"/>
              <w:autoSpaceDE w:val="0"/>
              <w:autoSpaceDN w:val="0"/>
              <w:adjustRightInd w:val="0"/>
              <w:spacing w:before="240" w:line="360" w:lineRule="atLeast"/>
              <w:textAlignment w:val="baseline"/>
              <w:rPr>
                <w:rFonts w:ascii="Arial" w:hAnsi="Arial" w:eastAsia="黑体" w:cs="Arial"/>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78" w:type="dxa"/>
          </w:tcPr>
          <w:p>
            <w:pPr>
              <w:overflowPunct w:val="0"/>
              <w:autoSpaceDE w:val="0"/>
              <w:autoSpaceDN w:val="0"/>
              <w:adjustRightInd w:val="0"/>
              <w:spacing w:before="240" w:line="360" w:lineRule="atLeast"/>
              <w:jc w:val="center"/>
              <w:textAlignment w:val="baseline"/>
              <w:rPr>
                <w:rFonts w:ascii="Arial" w:hAnsi="Arial" w:eastAsia="黑体" w:cs="Arial"/>
                <w:sz w:val="22"/>
              </w:rPr>
            </w:pPr>
          </w:p>
        </w:tc>
        <w:tc>
          <w:tcPr>
            <w:tcW w:w="3651" w:type="dxa"/>
          </w:tcPr>
          <w:p>
            <w:pPr>
              <w:overflowPunct w:val="0"/>
              <w:autoSpaceDE w:val="0"/>
              <w:autoSpaceDN w:val="0"/>
              <w:adjustRightInd w:val="0"/>
              <w:spacing w:before="240" w:line="360" w:lineRule="atLeast"/>
              <w:textAlignment w:val="baseline"/>
              <w:rPr>
                <w:rFonts w:ascii="Arial" w:hAnsi="Arial" w:eastAsia="黑体" w:cs="Arial"/>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78" w:type="dxa"/>
          </w:tcPr>
          <w:p>
            <w:pPr>
              <w:overflowPunct w:val="0"/>
              <w:autoSpaceDE w:val="0"/>
              <w:autoSpaceDN w:val="0"/>
              <w:adjustRightInd w:val="0"/>
              <w:spacing w:before="240" w:line="360" w:lineRule="atLeast"/>
              <w:jc w:val="center"/>
              <w:textAlignment w:val="baseline"/>
              <w:rPr>
                <w:rFonts w:ascii="Arial" w:hAnsi="Arial" w:eastAsia="黑体" w:cs="Arial"/>
                <w:sz w:val="22"/>
              </w:rPr>
            </w:pPr>
            <w:r>
              <w:rPr>
                <w:rFonts w:hint="eastAsia" w:ascii="Arial" w:hAnsi="Arial" w:eastAsia="黑体" w:cs="Arial"/>
                <w:sz w:val="22"/>
              </w:rPr>
              <w:t>中国</w:t>
            </w:r>
            <w:r>
              <w:rPr>
                <w:rFonts w:ascii="Arial" w:hAnsi="Arial" w:eastAsia="黑体" w:cs="Arial"/>
                <w:sz w:val="22"/>
              </w:rPr>
              <w:t xml:space="preserve">  </w:t>
            </w:r>
            <w:r>
              <w:rPr>
                <w:rFonts w:hint="eastAsia" w:ascii="Arial" w:hAnsi="Arial" w:eastAsia="黑体" w:cs="Arial"/>
                <w:sz w:val="22"/>
              </w:rPr>
              <w:t>北京</w:t>
            </w:r>
          </w:p>
        </w:tc>
        <w:tc>
          <w:tcPr>
            <w:tcW w:w="3651" w:type="dxa"/>
          </w:tcPr>
          <w:p>
            <w:pPr>
              <w:overflowPunct w:val="0"/>
              <w:autoSpaceDE w:val="0"/>
              <w:autoSpaceDN w:val="0"/>
              <w:adjustRightInd w:val="0"/>
              <w:spacing w:before="240" w:line="360" w:lineRule="atLeast"/>
              <w:textAlignment w:val="baseline"/>
              <w:rPr>
                <w:rFonts w:ascii="Arial" w:hAnsi="Arial" w:eastAsia="黑体" w:cs="Arial"/>
                <w:sz w:val="22"/>
              </w:rPr>
            </w:pPr>
            <w:r>
              <w:rPr>
                <w:rFonts w:ascii="Arial" w:hAnsi="Arial" w:eastAsia="黑体" w:cs="Arial"/>
                <w:sz w:val="22"/>
              </w:rPr>
              <w:t>2022</w:t>
            </w:r>
            <w:r>
              <w:rPr>
                <w:rFonts w:hint="eastAsia" w:ascii="Arial" w:hAnsi="Arial" w:eastAsia="黑体" w:cs="Arial"/>
                <w:sz w:val="22"/>
              </w:rPr>
              <w:t>年</w:t>
            </w:r>
            <w:r>
              <w:rPr>
                <w:rFonts w:ascii="Arial" w:hAnsi="Arial" w:eastAsia="黑体" w:cs="Arial"/>
                <w:sz w:val="22"/>
              </w:rPr>
              <w:t>5</w:t>
            </w:r>
            <w:r>
              <w:rPr>
                <w:rFonts w:hint="eastAsia" w:ascii="Arial" w:hAnsi="Arial" w:eastAsia="黑体" w:cs="Arial"/>
                <w:sz w:val="22"/>
              </w:rPr>
              <w:t>月</w:t>
            </w:r>
            <w:r>
              <w:rPr>
                <w:rFonts w:ascii="Arial" w:hAnsi="Arial" w:eastAsia="黑体" w:cs="Arial"/>
                <w:sz w:val="22"/>
              </w:rPr>
              <w:t>11</w:t>
            </w:r>
            <w:r>
              <w:rPr>
                <w:rFonts w:hint="eastAsia" w:ascii="Arial" w:hAnsi="Arial" w:eastAsia="黑体" w:cs="Arial"/>
                <w:sz w:val="22"/>
              </w:rPr>
              <w:t>日</w:t>
            </w:r>
          </w:p>
        </w:tc>
      </w:tr>
    </w:tbl>
    <w:p>
      <w:pPr>
        <w:pStyle w:val="9"/>
        <w:overflowPunct w:val="0"/>
        <w:autoSpaceDE w:val="0"/>
        <w:autoSpaceDN w:val="0"/>
        <w:ind w:firstLine="440" w:firstLineChars="200"/>
        <w:rPr>
          <w:rFonts w:ascii="Arial" w:hAnsi="Arial" w:eastAsia="黑体"/>
          <w:sz w:val="22"/>
          <w:szCs w:val="22"/>
        </w:rPr>
      </w:pPr>
    </w:p>
    <w:p>
      <w:pPr>
        <w:pStyle w:val="9"/>
        <w:overflowPunct w:val="0"/>
        <w:autoSpaceDE w:val="0"/>
        <w:autoSpaceDN w:val="0"/>
        <w:ind w:firstLine="440" w:firstLineChars="200"/>
        <w:rPr>
          <w:rFonts w:ascii="Arial" w:hAnsi="Arial" w:eastAsia="黑体"/>
          <w:sz w:val="22"/>
          <w:szCs w:val="22"/>
        </w:rPr>
      </w:pPr>
    </w:p>
    <w:p>
      <w:pPr>
        <w:tabs>
          <w:tab w:val="center" w:pos="1134"/>
          <w:tab w:val="center" w:pos="6521"/>
        </w:tabs>
        <w:overflowPunct w:val="0"/>
        <w:autoSpaceDE w:val="0"/>
        <w:autoSpaceDN w:val="0"/>
        <w:snapToGrid w:val="0"/>
        <w:rPr>
          <w:rFonts w:ascii="Arial" w:hAnsi="Arial" w:eastAsia="黑体"/>
          <w:sz w:val="22"/>
        </w:rPr>
      </w:pPr>
    </w:p>
    <w:p>
      <w:pPr>
        <w:tabs>
          <w:tab w:val="center" w:pos="1134"/>
          <w:tab w:val="center" w:pos="6521"/>
        </w:tabs>
        <w:overflowPunct w:val="0"/>
        <w:autoSpaceDE w:val="0"/>
        <w:autoSpaceDN w:val="0"/>
        <w:snapToGrid w:val="0"/>
        <w:rPr>
          <w:rFonts w:ascii="Arial" w:hAnsi="Arial" w:eastAsia="黑体" w:cs="Arial"/>
          <w:sz w:val="22"/>
        </w:rPr>
        <w:sectPr>
          <w:footerReference r:id="rId5" w:type="default"/>
          <w:pgSz w:w="11907" w:h="16840"/>
          <w:pgMar w:top="1440" w:right="1797" w:bottom="1440" w:left="1797" w:header="720" w:footer="720" w:gutter="0"/>
          <w:cols w:space="720" w:num="1"/>
          <w:docGrid w:linePitch="360" w:charSpace="0"/>
        </w:sectPr>
      </w:pPr>
    </w:p>
    <w:p>
      <w:pPr>
        <w:autoSpaceDE w:val="0"/>
        <w:autoSpaceDN w:val="0"/>
        <w:jc w:val="center"/>
        <w:rPr>
          <w:rFonts w:ascii="Arial" w:hAnsi="Arial" w:eastAsia="黑体" w:cs="Arial"/>
          <w:b/>
          <w:sz w:val="22"/>
        </w:rPr>
      </w:pPr>
      <w:r>
        <w:rPr>
          <w:rFonts w:hint="eastAsia" w:ascii="Arial" w:hAnsi="Arial" w:eastAsia="黑体" w:cs="Arial"/>
          <w:b/>
          <w:sz w:val="22"/>
        </w:rPr>
        <w:t>厦门银行股份有限公司</w:t>
      </w:r>
    </w:p>
    <w:p>
      <w:pPr>
        <w:autoSpaceDE w:val="0"/>
        <w:autoSpaceDN w:val="0"/>
        <w:jc w:val="center"/>
        <w:rPr>
          <w:rFonts w:ascii="Arial" w:hAnsi="Arial" w:eastAsia="黑体" w:cs="Arial"/>
          <w:b/>
          <w:sz w:val="22"/>
        </w:rPr>
      </w:pPr>
      <w:bookmarkStart w:id="22" w:name="_Hlk69567651"/>
      <w:r>
        <w:rPr>
          <w:rFonts w:hint="eastAsia" w:ascii="Arial" w:hAnsi="Arial" w:eastAsia="黑体" w:cs="Arial"/>
          <w:b/>
          <w:sz w:val="22"/>
        </w:rPr>
        <w:t>截至</w:t>
      </w:r>
      <w:r>
        <w:rPr>
          <w:rFonts w:ascii="Arial" w:hAnsi="Arial" w:eastAsia="黑体" w:cs="Arial"/>
          <w:b/>
          <w:sz w:val="22"/>
        </w:rPr>
        <w:t>2022</w:t>
      </w:r>
      <w:r>
        <w:rPr>
          <w:rFonts w:hint="eastAsia" w:ascii="Arial" w:hAnsi="Arial" w:eastAsia="黑体" w:cs="Arial"/>
          <w:b/>
          <w:sz w:val="22"/>
        </w:rPr>
        <w:t>年</w:t>
      </w:r>
      <w:r>
        <w:rPr>
          <w:rFonts w:ascii="Arial" w:hAnsi="Arial" w:eastAsia="黑体" w:cs="Arial"/>
          <w:b/>
          <w:sz w:val="22"/>
        </w:rPr>
        <w:t>3</w:t>
      </w:r>
      <w:r>
        <w:rPr>
          <w:rFonts w:hint="eastAsia" w:ascii="Arial" w:hAnsi="Arial" w:eastAsia="黑体" w:cs="Arial"/>
          <w:b/>
          <w:sz w:val="22"/>
        </w:rPr>
        <w:t>月</w:t>
      </w:r>
      <w:r>
        <w:rPr>
          <w:rFonts w:ascii="Arial" w:hAnsi="Arial" w:eastAsia="黑体" w:cs="Arial"/>
          <w:b/>
          <w:sz w:val="22"/>
        </w:rPr>
        <w:t>31</w:t>
      </w:r>
      <w:r>
        <w:rPr>
          <w:rFonts w:hint="eastAsia" w:ascii="Arial" w:hAnsi="Arial" w:eastAsia="黑体" w:cs="Arial"/>
          <w:b/>
          <w:sz w:val="22"/>
        </w:rPr>
        <w:t>日的</w:t>
      </w:r>
      <w:bookmarkEnd w:id="22"/>
      <w:r>
        <w:rPr>
          <w:rFonts w:hint="eastAsia" w:ascii="Arial" w:hAnsi="Arial" w:eastAsia="黑体" w:cs="Arial"/>
          <w:b/>
          <w:sz w:val="22"/>
        </w:rPr>
        <w:t>前次募集资金使用情况报告</w:t>
      </w:r>
    </w:p>
    <w:p>
      <w:pPr>
        <w:autoSpaceDE w:val="0"/>
        <w:autoSpaceDN w:val="0"/>
        <w:jc w:val="center"/>
        <w:rPr>
          <w:rFonts w:ascii="Arial" w:hAnsi="Arial" w:eastAsia="黑体" w:cs="Arial"/>
          <w:sz w:val="22"/>
        </w:rPr>
      </w:pPr>
    </w:p>
    <w:p>
      <w:pPr>
        <w:autoSpaceDE w:val="0"/>
        <w:autoSpaceDN w:val="0"/>
        <w:jc w:val="center"/>
        <w:rPr>
          <w:rFonts w:ascii="Arial" w:hAnsi="Arial" w:eastAsia="黑体" w:cs="Arial"/>
          <w:sz w:val="22"/>
        </w:rPr>
      </w:pPr>
    </w:p>
    <w:p>
      <w:pPr>
        <w:autoSpaceDE w:val="0"/>
        <w:autoSpaceDN w:val="0"/>
        <w:ind w:firstLine="480"/>
        <w:rPr>
          <w:rFonts w:ascii="Arial" w:hAnsi="Arial" w:eastAsia="黑体" w:cs="Arial"/>
          <w:b/>
          <w:bCs/>
          <w:sz w:val="22"/>
        </w:rPr>
      </w:pPr>
      <w:r>
        <w:rPr>
          <w:rFonts w:hint="eastAsia" w:ascii="Arial" w:hAnsi="Arial" w:eastAsia="黑体" w:cs="Arial"/>
          <w:b/>
          <w:bCs/>
          <w:sz w:val="22"/>
        </w:rPr>
        <w:t>一、编制基础</w:t>
      </w:r>
    </w:p>
    <w:p>
      <w:pPr>
        <w:autoSpaceDE w:val="0"/>
        <w:autoSpaceDN w:val="0"/>
        <w:ind w:firstLine="480"/>
        <w:rPr>
          <w:rFonts w:ascii="Arial" w:hAnsi="Arial" w:eastAsia="黑体" w:cs="Arial"/>
          <w:sz w:val="22"/>
        </w:rPr>
      </w:pPr>
    </w:p>
    <w:p>
      <w:pPr>
        <w:autoSpaceDE w:val="0"/>
        <w:autoSpaceDN w:val="0"/>
        <w:ind w:firstLine="480"/>
        <w:rPr>
          <w:rFonts w:ascii="Arial" w:hAnsi="Arial" w:eastAsia="黑体" w:cs="Arial"/>
          <w:sz w:val="22"/>
        </w:rPr>
      </w:pPr>
      <w:r>
        <w:rPr>
          <w:rFonts w:hint="eastAsia" w:ascii="Arial" w:hAnsi="Arial" w:eastAsia="黑体" w:cs="Arial"/>
          <w:sz w:val="22"/>
        </w:rPr>
        <w:t>厦门银行股份有限公司（以下简称“本行”）截至</w:t>
      </w:r>
      <w:r>
        <w:rPr>
          <w:rFonts w:ascii="Arial" w:hAnsi="Arial" w:eastAsia="黑体" w:cs="Arial"/>
          <w:sz w:val="22"/>
        </w:rPr>
        <w:t>2022</w:t>
      </w:r>
      <w:r>
        <w:rPr>
          <w:rFonts w:hint="eastAsia" w:ascii="Arial" w:hAnsi="Arial" w:eastAsia="黑体" w:cs="Arial"/>
          <w:sz w:val="22"/>
        </w:rPr>
        <w:t>年</w:t>
      </w:r>
      <w:r>
        <w:rPr>
          <w:rFonts w:ascii="Arial" w:hAnsi="Arial" w:eastAsia="黑体" w:cs="Arial"/>
          <w:sz w:val="22"/>
        </w:rPr>
        <w:t>3</w:t>
      </w:r>
      <w:r>
        <w:rPr>
          <w:rFonts w:hint="eastAsia" w:ascii="Arial" w:hAnsi="Arial" w:eastAsia="黑体" w:cs="Arial"/>
          <w:sz w:val="22"/>
        </w:rPr>
        <w:t>月</w:t>
      </w:r>
      <w:r>
        <w:rPr>
          <w:rFonts w:ascii="Arial" w:hAnsi="Arial" w:eastAsia="黑体" w:cs="Arial"/>
          <w:sz w:val="22"/>
        </w:rPr>
        <w:t>31</w:t>
      </w:r>
      <w:r>
        <w:rPr>
          <w:rFonts w:hint="eastAsia" w:ascii="Arial" w:hAnsi="Arial" w:eastAsia="黑体" w:cs="Arial"/>
          <w:sz w:val="22"/>
        </w:rPr>
        <w:t>日止的前次募集资金使用情况报告（以下简称“本报告”）是根据中国证券监督管理委员会（以下简称“中国证监会”）印发的《关于前次募集资金使用情况报告的规定》（证监发行字</w:t>
      </w:r>
      <w:r>
        <w:rPr>
          <w:rFonts w:ascii="Arial" w:hAnsi="Arial" w:eastAsia="黑体" w:cs="Arial"/>
          <w:sz w:val="22"/>
        </w:rPr>
        <w:t>[2007] 500</w:t>
      </w:r>
      <w:r>
        <w:rPr>
          <w:rFonts w:hint="eastAsia" w:ascii="Arial" w:hAnsi="Arial" w:eastAsia="黑体" w:cs="Arial"/>
          <w:sz w:val="22"/>
        </w:rPr>
        <w:t>号）的规定而编制。</w:t>
      </w:r>
    </w:p>
    <w:p>
      <w:pPr>
        <w:autoSpaceDE w:val="0"/>
        <w:autoSpaceDN w:val="0"/>
        <w:ind w:firstLine="480"/>
        <w:rPr>
          <w:rFonts w:ascii="Arial" w:hAnsi="Arial" w:eastAsia="黑体" w:cs="Arial"/>
          <w:sz w:val="22"/>
        </w:rPr>
      </w:pPr>
    </w:p>
    <w:p>
      <w:pPr>
        <w:autoSpaceDE w:val="0"/>
        <w:autoSpaceDN w:val="0"/>
        <w:ind w:firstLine="480"/>
        <w:rPr>
          <w:rFonts w:ascii="Arial" w:hAnsi="Arial" w:eastAsia="黑体" w:cs="Arial"/>
          <w:b/>
          <w:sz w:val="22"/>
        </w:rPr>
      </w:pPr>
      <w:r>
        <w:rPr>
          <w:rFonts w:hint="eastAsia" w:ascii="Arial" w:hAnsi="Arial" w:eastAsia="黑体" w:cs="Arial"/>
          <w:b/>
          <w:sz w:val="22"/>
        </w:rPr>
        <w:t>二、前次募集资金的数额、到账时间以及在专项账户的存放情况</w:t>
      </w:r>
    </w:p>
    <w:p>
      <w:pPr>
        <w:autoSpaceDE w:val="0"/>
        <w:autoSpaceDN w:val="0"/>
        <w:ind w:firstLine="480"/>
        <w:rPr>
          <w:rFonts w:ascii="Arial" w:hAnsi="Arial" w:eastAsia="黑体" w:cs="Arial"/>
          <w:sz w:val="22"/>
        </w:rPr>
      </w:pPr>
    </w:p>
    <w:p>
      <w:pPr>
        <w:adjustRightInd w:val="0"/>
        <w:spacing w:line="235" w:lineRule="auto"/>
        <w:ind w:firstLine="440" w:firstLineChars="200"/>
        <w:textAlignment w:val="baseline"/>
        <w:rPr>
          <w:rFonts w:cs="Arial"/>
          <w:sz w:val="22"/>
        </w:rPr>
      </w:pPr>
      <w:r>
        <w:rPr>
          <w:rFonts w:hint="eastAsia" w:ascii="Arial" w:hAnsi="Arial" w:eastAsia="黑体" w:cs="Arial"/>
          <w:sz w:val="22"/>
        </w:rPr>
        <w:t>经中国证监会《关于核准厦门银行股份有限公司首次公开发行股票的批复》（证监许可</w:t>
      </w:r>
      <w:r>
        <w:rPr>
          <w:rFonts w:ascii="Arial" w:hAnsi="Arial" w:eastAsia="黑体" w:cs="Arial"/>
          <w:sz w:val="22"/>
        </w:rPr>
        <w:t>[2020]2099</w:t>
      </w:r>
      <w:r>
        <w:rPr>
          <w:rFonts w:hint="eastAsia" w:ascii="Arial" w:hAnsi="Arial" w:eastAsia="黑体" w:cs="Arial"/>
          <w:sz w:val="22"/>
        </w:rPr>
        <w:t>号）批准，本行于中国境内首次公开发行</w:t>
      </w:r>
      <w:r>
        <w:rPr>
          <w:rFonts w:ascii="Arial" w:hAnsi="Arial" w:eastAsia="黑体" w:cs="Arial"/>
          <w:sz w:val="22"/>
        </w:rPr>
        <w:t>A</w:t>
      </w:r>
      <w:r>
        <w:rPr>
          <w:rFonts w:hint="eastAsia" w:ascii="Arial" w:hAnsi="Arial" w:eastAsia="黑体" w:cs="Arial"/>
          <w:sz w:val="22"/>
        </w:rPr>
        <w:t>股，并于发行完成后向上海证券交易所申请上市。本行已于</w:t>
      </w:r>
      <w:r>
        <w:rPr>
          <w:rFonts w:ascii="Arial" w:hAnsi="Arial" w:eastAsia="黑体" w:cs="Arial"/>
          <w:sz w:val="22"/>
        </w:rPr>
        <w:t>2020</w:t>
      </w:r>
      <w:r>
        <w:rPr>
          <w:rFonts w:hint="eastAsia" w:ascii="Arial" w:hAnsi="Arial" w:eastAsia="黑体" w:cs="Arial"/>
          <w:sz w:val="22"/>
        </w:rPr>
        <w:t>年</w:t>
      </w:r>
      <w:r>
        <w:rPr>
          <w:rFonts w:ascii="Arial" w:hAnsi="Arial" w:eastAsia="黑体" w:cs="Arial"/>
          <w:sz w:val="22"/>
        </w:rPr>
        <w:t>10</w:t>
      </w:r>
      <w:r>
        <w:rPr>
          <w:rFonts w:hint="eastAsia" w:ascii="Arial" w:hAnsi="Arial" w:eastAsia="黑体" w:cs="Arial"/>
          <w:sz w:val="22"/>
        </w:rPr>
        <w:t>月通过上海证券交易所发行</w:t>
      </w:r>
      <w:r>
        <w:rPr>
          <w:rFonts w:ascii="Arial" w:hAnsi="Arial" w:eastAsia="黑体" w:cs="Arial"/>
          <w:sz w:val="22"/>
        </w:rPr>
        <w:t>A</w:t>
      </w:r>
      <w:r>
        <w:rPr>
          <w:rFonts w:hint="eastAsia" w:ascii="Arial" w:hAnsi="Arial" w:eastAsia="黑体" w:cs="Arial"/>
          <w:sz w:val="22"/>
        </w:rPr>
        <w:t>股</w:t>
      </w:r>
      <w:r>
        <w:rPr>
          <w:rFonts w:ascii="Arial" w:hAnsi="Arial" w:eastAsia="黑体" w:cs="Arial"/>
          <w:sz w:val="22"/>
        </w:rPr>
        <w:t>263,912,789</w:t>
      </w:r>
      <w:r>
        <w:rPr>
          <w:rFonts w:hint="eastAsia" w:ascii="Arial" w:hAnsi="Arial" w:eastAsia="黑体" w:cs="Arial"/>
          <w:sz w:val="22"/>
        </w:rPr>
        <w:t>股，面值为每股人民币</w:t>
      </w:r>
      <w:r>
        <w:rPr>
          <w:rFonts w:ascii="Arial" w:hAnsi="Arial" w:eastAsia="黑体" w:cs="Arial"/>
          <w:sz w:val="22"/>
        </w:rPr>
        <w:t>1</w:t>
      </w:r>
      <w:r>
        <w:rPr>
          <w:rFonts w:hint="eastAsia" w:ascii="Arial" w:hAnsi="Arial" w:eastAsia="黑体" w:cs="Arial"/>
          <w:sz w:val="22"/>
        </w:rPr>
        <w:t>元，发行价格为每股人民币</w:t>
      </w:r>
      <w:r>
        <w:rPr>
          <w:rFonts w:ascii="Arial" w:hAnsi="Arial" w:eastAsia="黑体" w:cs="Arial"/>
          <w:sz w:val="22"/>
        </w:rPr>
        <w:t>6.71</w:t>
      </w:r>
      <w:r>
        <w:rPr>
          <w:rFonts w:hint="eastAsia" w:ascii="Arial" w:hAnsi="Arial" w:eastAsia="黑体" w:cs="Arial"/>
          <w:sz w:val="22"/>
        </w:rPr>
        <w:t>元，收到股东认缴股款共计人民币</w:t>
      </w:r>
      <w:r>
        <w:rPr>
          <w:rFonts w:ascii="Arial" w:hAnsi="Arial" w:eastAsia="黑体" w:cs="Arial"/>
          <w:sz w:val="22"/>
        </w:rPr>
        <w:t>1,770,854,814.19</w:t>
      </w:r>
      <w:r>
        <w:rPr>
          <w:rFonts w:hint="eastAsia" w:ascii="Arial" w:hAnsi="Arial" w:eastAsia="黑体" w:cs="Arial"/>
          <w:sz w:val="22"/>
        </w:rPr>
        <w:t>元，扣除部分承销和保荐费用人民币</w:t>
      </w:r>
      <w:r>
        <w:rPr>
          <w:rFonts w:ascii="Arial" w:hAnsi="Arial" w:eastAsia="黑体" w:cs="Arial"/>
          <w:sz w:val="22"/>
        </w:rPr>
        <w:t>15,762,781.26</w:t>
      </w:r>
      <w:r>
        <w:rPr>
          <w:rFonts w:hint="eastAsia" w:ascii="Arial" w:hAnsi="Arial" w:eastAsia="黑体" w:cs="Arial"/>
          <w:sz w:val="22"/>
        </w:rPr>
        <w:t>元（不含增值税）后，募集资金为</w:t>
      </w:r>
      <w:r>
        <w:rPr>
          <w:rFonts w:ascii="Arial" w:hAnsi="Arial" w:eastAsia="黑体" w:cs="Arial"/>
          <w:sz w:val="22"/>
        </w:rPr>
        <w:t>1,755,092,032.93</w:t>
      </w:r>
      <w:r>
        <w:rPr>
          <w:rFonts w:hint="eastAsia" w:ascii="Arial" w:hAnsi="Arial" w:eastAsia="黑体" w:cs="Arial"/>
          <w:sz w:val="22"/>
        </w:rPr>
        <w:t>元，已由主承销商中信建投证券股份有限公司于</w:t>
      </w:r>
      <w:r>
        <w:rPr>
          <w:rFonts w:ascii="Arial" w:hAnsi="Arial" w:eastAsia="黑体" w:cs="Arial"/>
          <w:sz w:val="22"/>
        </w:rPr>
        <w:t>2020</w:t>
      </w:r>
      <w:r>
        <w:rPr>
          <w:rFonts w:hint="eastAsia" w:ascii="Arial" w:hAnsi="Arial" w:eastAsia="黑体" w:cs="Arial"/>
          <w:sz w:val="22"/>
        </w:rPr>
        <w:t>年</w:t>
      </w:r>
      <w:r>
        <w:rPr>
          <w:rFonts w:ascii="Arial" w:hAnsi="Arial" w:eastAsia="黑体" w:cs="Arial"/>
          <w:sz w:val="22"/>
        </w:rPr>
        <w:t>10</w:t>
      </w:r>
      <w:r>
        <w:rPr>
          <w:rFonts w:hint="eastAsia" w:ascii="Arial" w:hAnsi="Arial" w:eastAsia="黑体" w:cs="Arial"/>
          <w:sz w:val="22"/>
        </w:rPr>
        <w:t>月</w:t>
      </w:r>
      <w:r>
        <w:rPr>
          <w:rFonts w:ascii="Arial" w:hAnsi="Arial" w:eastAsia="黑体" w:cs="Arial"/>
          <w:sz w:val="22"/>
        </w:rPr>
        <w:t>19</w:t>
      </w:r>
      <w:r>
        <w:rPr>
          <w:rFonts w:hint="eastAsia" w:ascii="Arial" w:hAnsi="Arial" w:eastAsia="黑体" w:cs="Arial"/>
          <w:sz w:val="22"/>
        </w:rPr>
        <w:t>日汇入本行在厦门银行股份有限公司开立的账号为</w:t>
      </w:r>
      <w:r>
        <w:rPr>
          <w:rFonts w:ascii="Arial" w:hAnsi="Arial" w:eastAsia="黑体" w:cs="Arial"/>
          <w:sz w:val="22"/>
        </w:rPr>
        <w:t>80101000002659</w:t>
      </w:r>
      <w:r>
        <w:rPr>
          <w:rFonts w:hint="eastAsia" w:ascii="Arial" w:hAnsi="Arial" w:eastAsia="黑体" w:cs="Arial"/>
          <w:sz w:val="22"/>
        </w:rPr>
        <w:t>的募集资金专项账户。另扣减剩余部分承销和保荐费用、审计验资费用、律师费、信息披露费、发行手续费等费用后，实际募集资金净额为人民币</w:t>
      </w:r>
      <w:r>
        <w:rPr>
          <w:rFonts w:ascii="Arial" w:hAnsi="Arial" w:eastAsia="黑体" w:cs="Arial"/>
          <w:sz w:val="22"/>
        </w:rPr>
        <w:t>1,738,604,615.19</w:t>
      </w:r>
      <w:r>
        <w:rPr>
          <w:rFonts w:hint="eastAsia" w:ascii="Arial" w:hAnsi="Arial" w:eastAsia="黑体" w:cs="Arial"/>
          <w:sz w:val="22"/>
        </w:rPr>
        <w:t>元。</w:t>
      </w:r>
    </w:p>
    <w:p>
      <w:pPr>
        <w:autoSpaceDE w:val="0"/>
        <w:autoSpaceDN w:val="0"/>
        <w:ind w:firstLine="480"/>
        <w:rPr>
          <w:rFonts w:ascii="Arial" w:hAnsi="Arial" w:eastAsia="黑体" w:cs="Arial"/>
          <w:sz w:val="22"/>
        </w:rPr>
      </w:pPr>
    </w:p>
    <w:p>
      <w:pPr>
        <w:autoSpaceDE w:val="0"/>
        <w:autoSpaceDN w:val="0"/>
        <w:ind w:firstLine="480"/>
        <w:rPr>
          <w:rFonts w:ascii="Arial" w:hAnsi="Arial" w:eastAsia="黑体" w:cs="Arial"/>
          <w:sz w:val="22"/>
        </w:rPr>
      </w:pPr>
      <w:r>
        <w:rPr>
          <w:rFonts w:hint="eastAsia" w:ascii="Arial" w:hAnsi="Arial" w:eastAsia="黑体" w:cs="Arial"/>
          <w:sz w:val="22"/>
        </w:rPr>
        <w:t>上述募集资金的到账情况经安永华明会计师事务所（特殊普通合伙）出具的</w:t>
      </w:r>
      <w:bookmarkStart w:id="23" w:name="OLE_LINK1"/>
      <w:bookmarkStart w:id="24" w:name="OLE_LINK2"/>
      <w:r>
        <w:rPr>
          <w:rFonts w:hint="eastAsia" w:ascii="Arial" w:hAnsi="Arial" w:eastAsia="黑体" w:cs="Arial"/>
          <w:sz w:val="22"/>
        </w:rPr>
        <w:t>安永华明（</w:t>
      </w:r>
      <w:r>
        <w:rPr>
          <w:rFonts w:ascii="Arial" w:hAnsi="Arial" w:eastAsia="黑体" w:cs="Arial"/>
          <w:sz w:val="22"/>
        </w:rPr>
        <w:t>2020</w:t>
      </w:r>
      <w:r>
        <w:rPr>
          <w:rFonts w:hint="eastAsia" w:ascii="Arial" w:hAnsi="Arial" w:eastAsia="黑体" w:cs="Arial"/>
          <w:sz w:val="22"/>
        </w:rPr>
        <w:t>）验字第</w:t>
      </w:r>
      <w:r>
        <w:rPr>
          <w:rFonts w:ascii="Arial" w:hAnsi="Arial" w:eastAsia="黑体" w:cs="Arial"/>
          <w:sz w:val="22"/>
        </w:rPr>
        <w:t>61276201_G01</w:t>
      </w:r>
      <w:r>
        <w:rPr>
          <w:rFonts w:hint="eastAsia" w:ascii="Arial" w:hAnsi="Arial" w:eastAsia="黑体" w:cs="Arial"/>
          <w:sz w:val="22"/>
        </w:rPr>
        <w:t>号验资报告</w:t>
      </w:r>
      <w:bookmarkEnd w:id="23"/>
      <w:bookmarkEnd w:id="24"/>
      <w:r>
        <w:rPr>
          <w:rFonts w:hint="eastAsia" w:ascii="Arial" w:hAnsi="Arial" w:eastAsia="黑体" w:cs="Arial"/>
          <w:sz w:val="22"/>
        </w:rPr>
        <w:t>验证。</w:t>
      </w:r>
    </w:p>
    <w:p>
      <w:pPr>
        <w:autoSpaceDE w:val="0"/>
        <w:autoSpaceDN w:val="0"/>
        <w:ind w:firstLine="480"/>
        <w:rPr>
          <w:rFonts w:ascii="Arial" w:hAnsi="Arial" w:eastAsia="黑体" w:cs="Arial"/>
          <w:sz w:val="22"/>
        </w:rPr>
      </w:pPr>
    </w:p>
    <w:p>
      <w:pPr>
        <w:autoSpaceDE w:val="0"/>
        <w:autoSpaceDN w:val="0"/>
        <w:ind w:firstLine="480"/>
        <w:rPr>
          <w:rFonts w:ascii="Arial" w:hAnsi="Arial" w:eastAsia="黑体" w:cs="Arial"/>
          <w:sz w:val="22"/>
        </w:rPr>
      </w:pPr>
      <w:r>
        <w:rPr>
          <w:rFonts w:hint="eastAsia" w:ascii="Arial" w:hAnsi="Arial" w:eastAsia="黑体" w:cs="Arial"/>
          <w:sz w:val="22"/>
        </w:rPr>
        <w:t>截至</w:t>
      </w:r>
      <w:r>
        <w:rPr>
          <w:rFonts w:ascii="Arial" w:hAnsi="Arial" w:eastAsia="黑体" w:cs="Arial"/>
          <w:sz w:val="22"/>
        </w:rPr>
        <w:t>2022</w:t>
      </w:r>
      <w:r>
        <w:rPr>
          <w:rFonts w:hint="eastAsia" w:ascii="Arial" w:hAnsi="Arial" w:eastAsia="黑体" w:cs="Arial"/>
          <w:sz w:val="22"/>
        </w:rPr>
        <w:t>年3月</w:t>
      </w:r>
      <w:r>
        <w:rPr>
          <w:rFonts w:ascii="Arial" w:hAnsi="Arial" w:eastAsia="黑体" w:cs="Arial"/>
          <w:sz w:val="22"/>
        </w:rPr>
        <w:t>31</w:t>
      </w:r>
      <w:r>
        <w:rPr>
          <w:rFonts w:hint="eastAsia" w:ascii="Arial" w:hAnsi="Arial" w:eastAsia="黑体" w:cs="Arial"/>
          <w:sz w:val="22"/>
        </w:rPr>
        <w:t>日止，上述前次募集资金已全部用于补充核心一级资本，该募集资金专户于</w:t>
      </w:r>
      <w:r>
        <w:rPr>
          <w:rFonts w:ascii="Arial" w:hAnsi="Arial" w:eastAsia="黑体" w:cs="Arial"/>
          <w:sz w:val="22"/>
        </w:rPr>
        <w:t>2020</w:t>
      </w:r>
      <w:r>
        <w:rPr>
          <w:rFonts w:hint="eastAsia" w:ascii="Arial" w:hAnsi="Arial" w:eastAsia="黑体" w:cs="Arial"/>
          <w:sz w:val="22"/>
        </w:rPr>
        <w:t>年</w:t>
      </w:r>
      <w:r>
        <w:rPr>
          <w:rFonts w:ascii="Arial" w:hAnsi="Arial" w:eastAsia="黑体" w:cs="Arial"/>
          <w:sz w:val="22"/>
        </w:rPr>
        <w:t>11</w:t>
      </w:r>
      <w:r>
        <w:rPr>
          <w:rFonts w:hint="eastAsia" w:ascii="Arial" w:hAnsi="Arial" w:eastAsia="黑体" w:cs="Arial"/>
          <w:sz w:val="22"/>
        </w:rPr>
        <w:t>月</w:t>
      </w:r>
      <w:r>
        <w:rPr>
          <w:rFonts w:ascii="Arial" w:hAnsi="Arial" w:eastAsia="黑体" w:cs="Arial"/>
          <w:sz w:val="22"/>
        </w:rPr>
        <w:t>9</w:t>
      </w:r>
      <w:r>
        <w:rPr>
          <w:rFonts w:hint="eastAsia" w:ascii="Arial" w:hAnsi="Arial" w:eastAsia="黑体" w:cs="Arial"/>
          <w:sz w:val="22"/>
        </w:rPr>
        <w:t>日已销户。</w:t>
      </w:r>
    </w:p>
    <w:p>
      <w:pPr>
        <w:autoSpaceDE w:val="0"/>
        <w:autoSpaceDN w:val="0"/>
        <w:ind w:firstLine="480"/>
        <w:rPr>
          <w:rFonts w:ascii="Arial" w:hAnsi="Arial" w:eastAsia="黑体" w:cs="Arial"/>
          <w:sz w:val="22"/>
        </w:rPr>
      </w:pPr>
    </w:p>
    <w:p>
      <w:pPr>
        <w:autoSpaceDE w:val="0"/>
        <w:autoSpaceDN w:val="0"/>
        <w:ind w:firstLine="480"/>
        <w:rPr>
          <w:rFonts w:ascii="Arial" w:hAnsi="Arial" w:eastAsia="黑体" w:cs="Arial"/>
          <w:b/>
          <w:sz w:val="22"/>
        </w:rPr>
      </w:pPr>
      <w:r>
        <w:rPr>
          <w:rFonts w:hint="eastAsia" w:ascii="Arial" w:hAnsi="Arial" w:eastAsia="黑体" w:cs="Arial"/>
          <w:b/>
          <w:sz w:val="22"/>
        </w:rPr>
        <w:t>三、前次募集资金实际投资项目的变更情况</w:t>
      </w:r>
    </w:p>
    <w:p>
      <w:pPr>
        <w:autoSpaceDE w:val="0"/>
        <w:autoSpaceDN w:val="0"/>
        <w:ind w:firstLine="480"/>
        <w:rPr>
          <w:rFonts w:ascii="Arial" w:hAnsi="Arial" w:eastAsia="黑体" w:cs="Arial"/>
          <w:b/>
          <w:sz w:val="22"/>
        </w:rPr>
      </w:pPr>
    </w:p>
    <w:p>
      <w:pPr>
        <w:autoSpaceDE w:val="0"/>
        <w:autoSpaceDN w:val="0"/>
        <w:ind w:firstLine="480"/>
        <w:rPr>
          <w:rFonts w:ascii="Arial" w:hAnsi="Arial" w:eastAsia="黑体" w:cs="Arial"/>
          <w:sz w:val="22"/>
        </w:rPr>
      </w:pPr>
      <w:r>
        <w:rPr>
          <w:rFonts w:hint="eastAsia" w:ascii="Arial" w:hAnsi="Arial" w:eastAsia="黑体" w:cs="Arial"/>
          <w:sz w:val="22"/>
        </w:rPr>
        <w:t>前次募集资金实际投资项目与招股说明书披露的募集资金运用方案一致，无实际投资项目变更情况。</w:t>
      </w:r>
    </w:p>
    <w:p>
      <w:pPr>
        <w:autoSpaceDE w:val="0"/>
        <w:autoSpaceDN w:val="0"/>
        <w:ind w:firstLine="480"/>
        <w:rPr>
          <w:rFonts w:ascii="Arial" w:hAnsi="Arial" w:eastAsia="黑体" w:cs="Arial"/>
          <w:sz w:val="22"/>
        </w:rPr>
      </w:pPr>
    </w:p>
    <w:p>
      <w:pPr>
        <w:autoSpaceDE w:val="0"/>
        <w:autoSpaceDN w:val="0"/>
        <w:ind w:firstLine="480"/>
        <w:rPr>
          <w:rFonts w:ascii="Arial" w:hAnsi="Arial" w:eastAsia="黑体" w:cs="Arial"/>
          <w:b/>
          <w:sz w:val="22"/>
        </w:rPr>
      </w:pPr>
      <w:r>
        <w:rPr>
          <w:rFonts w:hint="eastAsia" w:ascii="Arial" w:hAnsi="Arial" w:eastAsia="黑体" w:cs="Arial"/>
          <w:b/>
          <w:sz w:val="22"/>
        </w:rPr>
        <w:t>四、前次募集资金实际使用情况</w:t>
      </w:r>
    </w:p>
    <w:p>
      <w:pPr>
        <w:autoSpaceDE w:val="0"/>
        <w:autoSpaceDN w:val="0"/>
        <w:ind w:firstLine="480"/>
        <w:rPr>
          <w:rFonts w:ascii="Arial" w:hAnsi="Arial" w:eastAsia="黑体" w:cs="Arial"/>
          <w:sz w:val="22"/>
        </w:rPr>
      </w:pPr>
    </w:p>
    <w:p>
      <w:pPr>
        <w:autoSpaceDE w:val="0"/>
        <w:autoSpaceDN w:val="0"/>
        <w:ind w:firstLine="480"/>
        <w:rPr>
          <w:rFonts w:ascii="Arial" w:hAnsi="Arial" w:eastAsia="黑体" w:cs="Arial"/>
          <w:bCs/>
          <w:sz w:val="22"/>
        </w:rPr>
      </w:pPr>
      <w:r>
        <w:rPr>
          <w:rFonts w:hint="eastAsia" w:ascii="Arial" w:hAnsi="Arial" w:eastAsia="黑体" w:cs="Arial"/>
          <w:sz w:val="22"/>
        </w:rPr>
        <w:t>截至</w:t>
      </w:r>
      <w:r>
        <w:rPr>
          <w:rFonts w:ascii="Arial" w:hAnsi="Arial" w:eastAsia="黑体" w:cs="Arial"/>
          <w:sz w:val="22"/>
        </w:rPr>
        <w:t>2022</w:t>
      </w:r>
      <w:r>
        <w:rPr>
          <w:rFonts w:hint="eastAsia" w:ascii="Arial" w:hAnsi="Arial" w:eastAsia="黑体" w:cs="Arial"/>
          <w:sz w:val="22"/>
        </w:rPr>
        <w:t>年</w:t>
      </w:r>
      <w:r>
        <w:rPr>
          <w:rFonts w:ascii="Arial" w:hAnsi="Arial" w:eastAsia="黑体" w:cs="Arial"/>
          <w:sz w:val="22"/>
        </w:rPr>
        <w:t>3</w:t>
      </w:r>
      <w:r>
        <w:rPr>
          <w:rFonts w:hint="eastAsia" w:ascii="Arial" w:hAnsi="Arial" w:eastAsia="黑体" w:cs="Arial"/>
          <w:sz w:val="22"/>
        </w:rPr>
        <w:t>月</w:t>
      </w:r>
      <w:r>
        <w:rPr>
          <w:rFonts w:ascii="Arial" w:hAnsi="Arial" w:eastAsia="黑体" w:cs="Arial"/>
          <w:sz w:val="22"/>
        </w:rPr>
        <w:t>31</w:t>
      </w:r>
      <w:r>
        <w:rPr>
          <w:rFonts w:hint="eastAsia" w:ascii="Arial" w:hAnsi="Arial" w:eastAsia="黑体" w:cs="Arial"/>
          <w:sz w:val="22"/>
        </w:rPr>
        <w:t>日，本行首发募集资金在扣除发生的券商承销佣金及其他发行费用后实际募集资金净额人民币</w:t>
      </w:r>
      <w:r>
        <w:rPr>
          <w:rFonts w:ascii="Arial" w:hAnsi="Arial" w:eastAsia="黑体" w:cs="Arial"/>
          <w:sz w:val="22"/>
        </w:rPr>
        <w:t>1,738,604,615.19</w:t>
      </w:r>
      <w:r>
        <w:rPr>
          <w:rFonts w:hint="eastAsia" w:ascii="Arial" w:hAnsi="Arial" w:eastAsia="黑体" w:cs="Arial"/>
          <w:sz w:val="22"/>
        </w:rPr>
        <w:t>元已经全部用于补充本行核心一级资本，以上使用情况与首次公开发行股票时承诺的募集资金用途一致。截至</w:t>
      </w:r>
      <w:r>
        <w:rPr>
          <w:rFonts w:ascii="Arial" w:hAnsi="Arial" w:eastAsia="黑体" w:cs="Arial"/>
          <w:sz w:val="22"/>
        </w:rPr>
        <w:t>2022</w:t>
      </w:r>
      <w:r>
        <w:rPr>
          <w:rFonts w:hint="eastAsia" w:ascii="Arial" w:hAnsi="Arial" w:eastAsia="黑体" w:cs="Arial"/>
          <w:sz w:val="22"/>
        </w:rPr>
        <w:t>年</w:t>
      </w:r>
      <w:r>
        <w:rPr>
          <w:rFonts w:ascii="Arial" w:hAnsi="Arial" w:eastAsia="黑体" w:cs="Arial"/>
          <w:sz w:val="22"/>
        </w:rPr>
        <w:t>3</w:t>
      </w:r>
      <w:r>
        <w:rPr>
          <w:rFonts w:hint="eastAsia" w:ascii="Arial" w:hAnsi="Arial" w:eastAsia="黑体" w:cs="Arial"/>
          <w:sz w:val="22"/>
        </w:rPr>
        <w:t>月</w:t>
      </w:r>
      <w:r>
        <w:rPr>
          <w:rFonts w:ascii="Arial" w:hAnsi="Arial" w:eastAsia="黑体" w:cs="Arial"/>
          <w:sz w:val="22"/>
        </w:rPr>
        <w:t>31</w:t>
      </w:r>
      <w:r>
        <w:rPr>
          <w:rFonts w:hint="eastAsia" w:ascii="Arial" w:hAnsi="Arial" w:eastAsia="黑体" w:cs="Arial"/>
          <w:sz w:val="22"/>
        </w:rPr>
        <w:t>日止，本行前次募集资金实际使用情况详见本报告附表“前次募集资金使用情况对照表”。</w:t>
      </w:r>
    </w:p>
    <w:p>
      <w:pPr>
        <w:autoSpaceDE w:val="0"/>
        <w:autoSpaceDN w:val="0"/>
        <w:ind w:firstLine="480"/>
        <w:rPr>
          <w:rFonts w:ascii="Arial" w:hAnsi="Arial" w:eastAsia="黑体" w:cs="Arial"/>
          <w:sz w:val="22"/>
        </w:rPr>
      </w:pPr>
    </w:p>
    <w:p>
      <w:pPr>
        <w:autoSpaceDE w:val="0"/>
        <w:autoSpaceDN w:val="0"/>
        <w:ind w:firstLine="480"/>
        <w:rPr>
          <w:rFonts w:ascii="Arial" w:hAnsi="Arial" w:eastAsia="黑体" w:cs="Arial"/>
          <w:sz w:val="22"/>
        </w:rPr>
      </w:pPr>
    </w:p>
    <w:p>
      <w:pPr>
        <w:autoSpaceDE w:val="0"/>
        <w:autoSpaceDN w:val="0"/>
        <w:jc w:val="center"/>
        <w:rPr>
          <w:rFonts w:ascii="Arial" w:hAnsi="Arial" w:eastAsia="黑体" w:cs="Arial"/>
          <w:b/>
          <w:sz w:val="22"/>
        </w:rPr>
        <w:sectPr>
          <w:pgSz w:w="11907" w:h="16840"/>
          <w:pgMar w:top="1440" w:right="1797" w:bottom="1440" w:left="1797" w:header="720" w:footer="720" w:gutter="0"/>
          <w:cols w:space="720" w:num="1"/>
          <w:docGrid w:linePitch="360" w:charSpace="0"/>
        </w:sectPr>
      </w:pPr>
    </w:p>
    <w:p>
      <w:pPr>
        <w:autoSpaceDE w:val="0"/>
        <w:autoSpaceDN w:val="0"/>
        <w:jc w:val="center"/>
        <w:rPr>
          <w:rFonts w:ascii="Arial" w:hAnsi="Arial" w:eastAsia="黑体" w:cs="Arial"/>
          <w:b/>
          <w:sz w:val="22"/>
        </w:rPr>
      </w:pPr>
      <w:r>
        <w:rPr>
          <w:rFonts w:hint="eastAsia" w:ascii="Arial" w:hAnsi="Arial" w:eastAsia="黑体" w:cs="Arial"/>
          <w:b/>
          <w:sz w:val="22"/>
        </w:rPr>
        <w:t>厦门银行股份有限公司</w:t>
      </w:r>
    </w:p>
    <w:p>
      <w:pPr>
        <w:autoSpaceDE w:val="0"/>
        <w:autoSpaceDN w:val="0"/>
        <w:jc w:val="center"/>
        <w:rPr>
          <w:rFonts w:ascii="Arial" w:hAnsi="Arial" w:eastAsia="黑体" w:cs="Arial"/>
          <w:b/>
          <w:sz w:val="22"/>
        </w:rPr>
      </w:pPr>
      <w:r>
        <w:rPr>
          <w:rFonts w:hint="eastAsia" w:ascii="Arial" w:hAnsi="Arial" w:eastAsia="黑体" w:cs="Arial"/>
          <w:b/>
          <w:sz w:val="22"/>
        </w:rPr>
        <w:t>截至</w:t>
      </w:r>
      <w:r>
        <w:rPr>
          <w:rFonts w:ascii="Arial" w:hAnsi="Arial" w:eastAsia="黑体" w:cs="Arial"/>
          <w:b/>
          <w:sz w:val="22"/>
        </w:rPr>
        <w:t>2022</w:t>
      </w:r>
      <w:r>
        <w:rPr>
          <w:rFonts w:hint="eastAsia" w:ascii="Arial" w:hAnsi="Arial" w:eastAsia="黑体" w:cs="Arial"/>
          <w:b/>
          <w:sz w:val="22"/>
        </w:rPr>
        <w:t>年</w:t>
      </w:r>
      <w:r>
        <w:rPr>
          <w:rFonts w:ascii="Arial" w:hAnsi="Arial" w:eastAsia="黑体" w:cs="Arial"/>
          <w:b/>
          <w:sz w:val="22"/>
        </w:rPr>
        <w:t>3</w:t>
      </w:r>
      <w:r>
        <w:rPr>
          <w:rFonts w:hint="eastAsia" w:ascii="Arial" w:hAnsi="Arial" w:eastAsia="黑体" w:cs="Arial"/>
          <w:b/>
          <w:sz w:val="22"/>
        </w:rPr>
        <w:t>月</w:t>
      </w:r>
      <w:r>
        <w:rPr>
          <w:rFonts w:ascii="Arial" w:hAnsi="Arial" w:eastAsia="黑体" w:cs="Arial"/>
          <w:b/>
          <w:sz w:val="22"/>
        </w:rPr>
        <w:t>31</w:t>
      </w:r>
      <w:r>
        <w:rPr>
          <w:rFonts w:hint="eastAsia" w:ascii="Arial" w:hAnsi="Arial" w:eastAsia="黑体" w:cs="Arial"/>
          <w:b/>
          <w:sz w:val="22"/>
        </w:rPr>
        <w:t>日的前次募集资金使用情况报告（续）</w:t>
      </w:r>
    </w:p>
    <w:p>
      <w:pPr>
        <w:autoSpaceDE w:val="0"/>
        <w:autoSpaceDN w:val="0"/>
        <w:ind w:firstLine="480"/>
        <w:jc w:val="center"/>
        <w:rPr>
          <w:rFonts w:ascii="Arial" w:hAnsi="Arial" w:eastAsia="黑体" w:cs="Arial"/>
          <w:b/>
          <w:sz w:val="22"/>
        </w:rPr>
      </w:pPr>
    </w:p>
    <w:p>
      <w:pPr>
        <w:autoSpaceDE w:val="0"/>
        <w:autoSpaceDN w:val="0"/>
        <w:ind w:firstLine="480"/>
        <w:jc w:val="center"/>
        <w:rPr>
          <w:rFonts w:ascii="Arial" w:hAnsi="Arial" w:eastAsia="黑体" w:cs="Arial"/>
          <w:b/>
          <w:sz w:val="22"/>
        </w:rPr>
      </w:pPr>
    </w:p>
    <w:p>
      <w:pPr>
        <w:autoSpaceDE w:val="0"/>
        <w:autoSpaceDN w:val="0"/>
        <w:ind w:firstLine="480"/>
        <w:rPr>
          <w:rFonts w:ascii="Arial" w:hAnsi="Arial" w:eastAsia="黑体" w:cs="Arial"/>
          <w:b/>
          <w:sz w:val="22"/>
        </w:rPr>
      </w:pPr>
      <w:r>
        <w:rPr>
          <w:rFonts w:ascii="Arial" w:hAnsi="Arial" w:eastAsia="黑体" w:cs="Arial"/>
          <w:i/>
          <w:sz w:val="22"/>
        </w:rPr>
        <w:t xml:space="preserve"> </w:t>
      </w:r>
      <w:r>
        <w:rPr>
          <w:rFonts w:hint="eastAsia" w:ascii="Arial" w:hAnsi="Arial" w:eastAsia="黑体" w:cs="Arial"/>
          <w:b/>
          <w:sz w:val="22"/>
        </w:rPr>
        <w:t>五、前次募集资金投资项目实现效益的情况</w:t>
      </w:r>
    </w:p>
    <w:p>
      <w:pPr>
        <w:autoSpaceDE w:val="0"/>
        <w:autoSpaceDN w:val="0"/>
        <w:ind w:firstLine="480"/>
        <w:rPr>
          <w:rFonts w:ascii="Arial" w:hAnsi="Arial" w:eastAsia="黑体" w:cs="Arial"/>
          <w:b/>
          <w:sz w:val="22"/>
        </w:rPr>
      </w:pPr>
    </w:p>
    <w:p>
      <w:pPr>
        <w:autoSpaceDE w:val="0"/>
        <w:autoSpaceDN w:val="0"/>
        <w:ind w:firstLine="480"/>
        <w:rPr>
          <w:rFonts w:ascii="Arial" w:hAnsi="Arial" w:eastAsia="黑体" w:cs="Arial"/>
          <w:bCs/>
          <w:sz w:val="22"/>
        </w:rPr>
      </w:pPr>
      <w:r>
        <w:rPr>
          <w:rFonts w:hint="eastAsia" w:ascii="Arial" w:hAnsi="Arial" w:eastAsia="黑体" w:cs="Arial"/>
          <w:bCs/>
          <w:sz w:val="22"/>
        </w:rPr>
        <w:t>由于银行业务的特殊性，本行前次募集资金扣除全部发行费用后全部用于充实本行资本金并用于支持本行业务发展，其实现效益无法独立核算。本行募集资金用于充实资本金后，资本充足水平获得提高。</w:t>
      </w:r>
    </w:p>
    <w:p>
      <w:pPr>
        <w:autoSpaceDE w:val="0"/>
        <w:autoSpaceDN w:val="0"/>
        <w:ind w:firstLine="480"/>
        <w:rPr>
          <w:rFonts w:ascii="Arial" w:hAnsi="Arial" w:eastAsia="黑体" w:cs="Arial"/>
          <w:b/>
          <w:sz w:val="22"/>
        </w:rPr>
      </w:pPr>
    </w:p>
    <w:p>
      <w:pPr>
        <w:autoSpaceDE w:val="0"/>
        <w:autoSpaceDN w:val="0"/>
        <w:ind w:firstLine="480"/>
        <w:rPr>
          <w:rFonts w:ascii="Arial" w:hAnsi="Arial" w:eastAsia="黑体" w:cs="Arial"/>
          <w:b/>
          <w:sz w:val="22"/>
        </w:rPr>
      </w:pPr>
      <w:r>
        <w:rPr>
          <w:rFonts w:hint="eastAsia" w:ascii="Arial" w:hAnsi="Arial" w:eastAsia="黑体" w:cs="Arial"/>
          <w:b/>
          <w:sz w:val="22"/>
        </w:rPr>
        <w:t>六、前次募集资金实际使用情况与本行定期报告披露的有关内容的比较</w:t>
      </w:r>
    </w:p>
    <w:p>
      <w:pPr>
        <w:autoSpaceDE w:val="0"/>
        <w:autoSpaceDN w:val="0"/>
        <w:ind w:right="-7432" w:rightChars="-3539"/>
        <w:rPr>
          <w:rFonts w:ascii="Arial" w:hAnsi="Arial" w:eastAsia="黑体" w:cs="Arial"/>
          <w:sz w:val="22"/>
        </w:rPr>
      </w:pPr>
    </w:p>
    <w:p>
      <w:pPr>
        <w:autoSpaceDE w:val="0"/>
        <w:autoSpaceDN w:val="0"/>
        <w:ind w:firstLine="480"/>
        <w:rPr>
          <w:rFonts w:ascii="Arial" w:hAnsi="Arial" w:eastAsia="黑体" w:cs="Arial"/>
          <w:sz w:val="22"/>
        </w:rPr>
      </w:pPr>
      <w:r>
        <w:rPr>
          <w:rFonts w:hint="eastAsia" w:ascii="Arial" w:hAnsi="Arial" w:eastAsia="黑体" w:cs="Arial"/>
          <w:sz w:val="22"/>
        </w:rPr>
        <w:t>本行已将上述前次募集资金的实际使用情况与本行</w:t>
      </w:r>
      <w:r>
        <w:rPr>
          <w:rFonts w:ascii="Arial" w:hAnsi="Arial" w:eastAsia="黑体" w:cs="Arial"/>
          <w:sz w:val="22"/>
        </w:rPr>
        <w:t>2020</w:t>
      </w:r>
      <w:r>
        <w:rPr>
          <w:rFonts w:hint="eastAsia" w:ascii="Arial" w:hAnsi="Arial" w:eastAsia="黑体" w:cs="Arial"/>
          <w:sz w:val="22"/>
        </w:rPr>
        <w:t>年</w:t>
      </w:r>
      <w:r>
        <w:rPr>
          <w:rFonts w:ascii="Arial" w:hAnsi="Arial" w:eastAsia="黑体" w:cs="Arial"/>
          <w:sz w:val="22"/>
        </w:rPr>
        <w:t>10</w:t>
      </w:r>
      <w:r>
        <w:rPr>
          <w:rFonts w:hint="eastAsia" w:ascii="Arial" w:hAnsi="Arial" w:eastAsia="黑体" w:cs="Arial"/>
          <w:sz w:val="22"/>
        </w:rPr>
        <w:t>月以来已经公布的相关定期报告和其他信息披露文件中所披露的有关内容进行逐项对照，实际使用情况与披露的相关内容一致。</w:t>
      </w:r>
    </w:p>
    <w:p>
      <w:pPr>
        <w:autoSpaceDE w:val="0"/>
        <w:autoSpaceDN w:val="0"/>
        <w:ind w:firstLine="480"/>
        <w:rPr>
          <w:rFonts w:ascii="Arial" w:hAnsi="Arial" w:eastAsia="黑体" w:cs="Arial"/>
          <w:sz w:val="22"/>
        </w:rPr>
      </w:pPr>
    </w:p>
    <w:p>
      <w:pPr>
        <w:autoSpaceDE w:val="0"/>
        <w:autoSpaceDN w:val="0"/>
        <w:ind w:firstLine="480"/>
        <w:rPr>
          <w:rFonts w:ascii="Arial" w:hAnsi="Arial" w:eastAsia="黑体" w:cs="Arial"/>
          <w:b/>
          <w:sz w:val="22"/>
        </w:rPr>
      </w:pPr>
      <w:r>
        <w:rPr>
          <w:rFonts w:hint="eastAsia" w:ascii="Arial" w:hAnsi="Arial" w:eastAsia="黑体" w:cs="Arial"/>
          <w:b/>
          <w:sz w:val="22"/>
        </w:rPr>
        <w:t>七、结论</w:t>
      </w:r>
    </w:p>
    <w:p>
      <w:pPr>
        <w:autoSpaceDE w:val="0"/>
        <w:autoSpaceDN w:val="0"/>
        <w:ind w:firstLine="480"/>
        <w:rPr>
          <w:rFonts w:ascii="Arial" w:hAnsi="Arial" w:eastAsia="黑体" w:cs="Arial"/>
          <w:sz w:val="22"/>
        </w:rPr>
      </w:pPr>
    </w:p>
    <w:p>
      <w:pPr>
        <w:autoSpaceDE w:val="0"/>
        <w:autoSpaceDN w:val="0"/>
        <w:ind w:firstLine="480"/>
        <w:rPr>
          <w:rFonts w:ascii="Arial" w:hAnsi="Arial" w:eastAsia="黑体" w:cs="Arial"/>
          <w:sz w:val="22"/>
        </w:rPr>
      </w:pPr>
      <w:r>
        <w:rPr>
          <w:rFonts w:hint="eastAsia" w:ascii="Arial" w:hAnsi="Arial" w:eastAsia="黑体" w:cs="Arial"/>
          <w:sz w:val="22"/>
        </w:rPr>
        <w:t>董事会认为，本行已按首次公开发行股票时承诺的募集资金运用方案使用了前次募集资金。本行对前次募集资金的投向和进展情况均如实履行了披露义务。本报告按照中国证券监督管理委员会《关于前次募集资金使用情况报告的规定》（证监发行字</w:t>
      </w:r>
      <w:r>
        <w:rPr>
          <w:rFonts w:ascii="Arial" w:hAnsi="Arial" w:eastAsia="黑体" w:cs="Arial"/>
          <w:sz w:val="22"/>
        </w:rPr>
        <w:t>[2007] 500</w:t>
      </w:r>
      <w:r>
        <w:rPr>
          <w:rFonts w:hint="eastAsia" w:ascii="Arial" w:hAnsi="Arial" w:eastAsia="黑体" w:cs="Arial"/>
          <w:sz w:val="22"/>
        </w:rPr>
        <w:t>号）的要求编制。</w:t>
      </w:r>
    </w:p>
    <w:p>
      <w:pPr>
        <w:autoSpaceDE w:val="0"/>
        <w:autoSpaceDN w:val="0"/>
        <w:ind w:firstLine="480"/>
        <w:rPr>
          <w:rFonts w:ascii="Arial" w:hAnsi="Arial" w:eastAsia="黑体" w:cs="Arial"/>
          <w:sz w:val="22"/>
        </w:rPr>
      </w:pPr>
    </w:p>
    <w:p>
      <w:pPr>
        <w:autoSpaceDE w:val="0"/>
        <w:autoSpaceDN w:val="0"/>
        <w:ind w:firstLine="480"/>
        <w:rPr>
          <w:rFonts w:ascii="Arial" w:hAnsi="Arial" w:eastAsia="黑体" w:cs="Arial"/>
          <w:sz w:val="22"/>
        </w:rPr>
      </w:pPr>
      <w:r>
        <w:rPr>
          <w:rFonts w:hint="eastAsia" w:ascii="Arial" w:hAnsi="Arial" w:eastAsia="黑体" w:cs="Arial"/>
          <w:sz w:val="22"/>
        </w:rPr>
        <w:t>本行全体董事承诺本报告不存在虚假记载、误导性陈述或重大遗漏，并对其真实性、准确性、完整性承担个别和连带的法律责任。</w:t>
      </w:r>
    </w:p>
    <w:p>
      <w:pPr>
        <w:autoSpaceDE w:val="0"/>
        <w:autoSpaceDN w:val="0"/>
        <w:ind w:firstLine="480"/>
        <w:rPr>
          <w:rFonts w:ascii="Arial" w:hAnsi="Arial" w:eastAsia="黑体" w:cs="Arial"/>
          <w:sz w:val="22"/>
        </w:rPr>
      </w:pPr>
    </w:p>
    <w:p>
      <w:pPr>
        <w:autoSpaceDE w:val="0"/>
        <w:autoSpaceDN w:val="0"/>
        <w:ind w:firstLine="480"/>
        <w:rPr>
          <w:rFonts w:ascii="Arial" w:hAnsi="Arial" w:eastAsia="黑体" w:cs="Arial"/>
          <w:sz w:val="22"/>
        </w:rPr>
      </w:pPr>
    </w:p>
    <w:p>
      <w:pPr>
        <w:autoSpaceDE w:val="0"/>
        <w:autoSpaceDN w:val="0"/>
        <w:ind w:firstLine="480"/>
        <w:rPr>
          <w:rFonts w:ascii="Arial" w:hAnsi="Arial" w:eastAsia="黑体" w:cs="Arial"/>
          <w:b/>
          <w:bCs/>
          <w:sz w:val="22"/>
        </w:rPr>
      </w:pPr>
      <w:r>
        <w:rPr>
          <w:rFonts w:hint="eastAsia" w:ascii="Arial" w:hAnsi="Arial" w:eastAsia="黑体" w:cs="Arial"/>
          <w:b/>
          <w:bCs/>
          <w:sz w:val="22"/>
        </w:rPr>
        <w:t>附表：前次募集资金使用情况对照表</w:t>
      </w:r>
    </w:p>
    <w:p>
      <w:pPr>
        <w:autoSpaceDE w:val="0"/>
        <w:autoSpaceDN w:val="0"/>
        <w:ind w:firstLine="480"/>
        <w:rPr>
          <w:rFonts w:ascii="Arial" w:hAnsi="Arial" w:eastAsia="黑体" w:cs="Arial"/>
          <w:sz w:val="22"/>
        </w:rPr>
      </w:pPr>
    </w:p>
    <w:p>
      <w:pPr>
        <w:autoSpaceDE w:val="0"/>
        <w:autoSpaceDN w:val="0"/>
        <w:ind w:firstLine="480"/>
        <w:rPr>
          <w:rFonts w:ascii="Arial" w:hAnsi="Arial" w:eastAsia="黑体" w:cs="Arial"/>
          <w:sz w:val="22"/>
        </w:rPr>
      </w:pPr>
    </w:p>
    <w:p>
      <w:pPr>
        <w:autoSpaceDE w:val="0"/>
        <w:autoSpaceDN w:val="0"/>
        <w:ind w:firstLine="480"/>
        <w:rPr>
          <w:rFonts w:ascii="Arial" w:hAnsi="Arial" w:eastAsia="黑体" w:cs="Arial"/>
          <w:sz w:val="22"/>
        </w:rPr>
      </w:pPr>
    </w:p>
    <w:p>
      <w:pPr>
        <w:tabs>
          <w:tab w:val="center" w:pos="6804"/>
        </w:tabs>
        <w:autoSpaceDE w:val="0"/>
        <w:autoSpaceDN w:val="0"/>
        <w:jc w:val="right"/>
        <w:rPr>
          <w:rFonts w:ascii="Arial" w:hAnsi="Arial" w:eastAsia="黑体" w:cs="Arial"/>
          <w:sz w:val="22"/>
        </w:rPr>
      </w:pPr>
      <w:r>
        <w:rPr>
          <w:rFonts w:ascii="Arial" w:hAnsi="Arial" w:eastAsia="黑体" w:cs="Arial"/>
          <w:sz w:val="22"/>
        </w:rPr>
        <w:tab/>
      </w:r>
      <w:r>
        <w:rPr>
          <w:rFonts w:hint="eastAsia" w:ascii="Arial" w:hAnsi="Arial" w:eastAsia="黑体" w:cs="Arial"/>
          <w:sz w:val="22"/>
        </w:rPr>
        <w:t>厦门银行股份有限公司董事会</w:t>
      </w:r>
    </w:p>
    <w:p>
      <w:pPr>
        <w:tabs>
          <w:tab w:val="center" w:pos="6804"/>
        </w:tabs>
        <w:autoSpaceDE w:val="0"/>
        <w:autoSpaceDN w:val="0"/>
        <w:rPr>
          <w:rFonts w:ascii="Arial" w:hAnsi="Arial" w:eastAsia="黑体" w:cs="Arial"/>
          <w:sz w:val="22"/>
        </w:rPr>
      </w:pPr>
    </w:p>
    <w:p>
      <w:pPr>
        <w:tabs>
          <w:tab w:val="center" w:pos="6804"/>
        </w:tabs>
        <w:autoSpaceDE w:val="0"/>
        <w:autoSpaceDN w:val="0"/>
        <w:jc w:val="right"/>
        <w:rPr>
          <w:rFonts w:ascii="Arial" w:hAnsi="Arial" w:eastAsia="黑体" w:cs="Arial"/>
          <w:sz w:val="22"/>
        </w:rPr>
        <w:sectPr>
          <w:pgSz w:w="11907" w:h="16840"/>
          <w:pgMar w:top="1440" w:right="1701" w:bottom="1440" w:left="1797" w:header="720" w:footer="720" w:gutter="0"/>
          <w:cols w:space="720" w:num="1"/>
          <w:docGrid w:linePitch="360" w:charSpace="0"/>
        </w:sectPr>
      </w:pPr>
      <w:r>
        <w:rPr>
          <w:rFonts w:ascii="Arial" w:hAnsi="Arial" w:eastAsia="黑体" w:cs="Arial"/>
          <w:sz w:val="22"/>
        </w:rPr>
        <w:tab/>
      </w:r>
      <w:r>
        <w:rPr>
          <w:rFonts w:ascii="Arial" w:hAnsi="Arial" w:eastAsia="黑体" w:cs="Arial"/>
          <w:sz w:val="22"/>
        </w:rPr>
        <w:t>2022</w:t>
      </w:r>
      <w:r>
        <w:rPr>
          <w:rFonts w:hint="eastAsia" w:ascii="Arial" w:hAnsi="Arial" w:eastAsia="黑体" w:cs="Arial"/>
          <w:sz w:val="22"/>
        </w:rPr>
        <w:t>年</w:t>
      </w:r>
      <w:r>
        <w:rPr>
          <w:rFonts w:ascii="Arial" w:hAnsi="Arial" w:eastAsia="黑体" w:cs="Arial"/>
          <w:sz w:val="22"/>
        </w:rPr>
        <w:t>5</w:t>
      </w:r>
      <w:r>
        <w:rPr>
          <w:rFonts w:hint="eastAsia" w:ascii="Arial" w:hAnsi="Arial" w:eastAsia="黑体" w:cs="Arial"/>
          <w:sz w:val="22"/>
        </w:rPr>
        <w:t>月</w:t>
      </w:r>
      <w:r>
        <w:rPr>
          <w:rFonts w:ascii="Arial" w:hAnsi="Arial" w:eastAsia="黑体" w:cs="Arial"/>
          <w:sz w:val="22"/>
        </w:rPr>
        <w:t>11</w:t>
      </w:r>
      <w:r>
        <w:rPr>
          <w:rFonts w:hint="eastAsia" w:ascii="Arial" w:hAnsi="Arial" w:eastAsia="黑体" w:cs="Arial"/>
          <w:sz w:val="22"/>
        </w:rPr>
        <w:t>日</w:t>
      </w:r>
    </w:p>
    <w:p>
      <w:pPr>
        <w:autoSpaceDE w:val="0"/>
        <w:autoSpaceDN w:val="0"/>
        <w:rPr>
          <w:rFonts w:ascii="Arial" w:hAnsi="Arial" w:eastAsia="黑体" w:cs="Arial"/>
          <w:b/>
          <w:bCs/>
          <w:sz w:val="16"/>
          <w:szCs w:val="16"/>
        </w:rPr>
      </w:pPr>
      <w:r>
        <w:rPr>
          <w:rFonts w:hint="eastAsia" w:ascii="Arial" w:hAnsi="Arial" w:eastAsia="黑体" w:cs="Arial"/>
          <w:b/>
          <w:bCs/>
          <w:sz w:val="16"/>
          <w:szCs w:val="16"/>
        </w:rPr>
        <w:t>附表：前次募集资金使用情况对照表</w:t>
      </w:r>
    </w:p>
    <w:p>
      <w:pPr>
        <w:autoSpaceDE w:val="0"/>
        <w:autoSpaceDN w:val="0"/>
        <w:ind w:firstLine="480"/>
        <w:jc w:val="center"/>
        <w:rPr>
          <w:rFonts w:ascii="Arial" w:hAnsi="Arial" w:eastAsia="黑体" w:cs="Arial"/>
          <w:b/>
          <w:sz w:val="16"/>
          <w:szCs w:val="16"/>
        </w:rPr>
      </w:pPr>
    </w:p>
    <w:p>
      <w:pPr>
        <w:autoSpaceDE w:val="0"/>
        <w:autoSpaceDN w:val="0"/>
        <w:jc w:val="center"/>
        <w:rPr>
          <w:rFonts w:ascii="Arial" w:hAnsi="Arial" w:eastAsia="黑体" w:cs="Arial"/>
          <w:b/>
          <w:sz w:val="16"/>
          <w:szCs w:val="16"/>
        </w:rPr>
      </w:pPr>
      <w:r>
        <w:rPr>
          <w:rFonts w:hint="eastAsia" w:ascii="Arial" w:hAnsi="Arial" w:eastAsia="黑体" w:cs="Arial"/>
          <w:b/>
          <w:sz w:val="16"/>
          <w:szCs w:val="16"/>
        </w:rPr>
        <w:t>前次募集资金使用情况对照表</w:t>
      </w:r>
    </w:p>
    <w:p>
      <w:pPr>
        <w:autoSpaceDE w:val="0"/>
        <w:autoSpaceDN w:val="0"/>
        <w:ind w:firstLine="480"/>
        <w:jc w:val="center"/>
        <w:rPr>
          <w:rFonts w:ascii="Arial" w:hAnsi="Arial" w:eastAsia="黑体" w:cs="Arial"/>
          <w:b/>
          <w:sz w:val="16"/>
          <w:szCs w:val="16"/>
        </w:rPr>
      </w:pPr>
    </w:p>
    <w:p>
      <w:pPr>
        <w:autoSpaceDE w:val="0"/>
        <w:autoSpaceDN w:val="0"/>
        <w:rPr>
          <w:rFonts w:ascii="Arial" w:hAnsi="Arial" w:eastAsia="黑体" w:cs="Arial"/>
          <w:bCs/>
          <w:sz w:val="16"/>
          <w:szCs w:val="16"/>
        </w:rPr>
      </w:pPr>
      <w:r>
        <w:rPr>
          <w:rFonts w:hint="eastAsia" w:ascii="Arial" w:hAnsi="Arial" w:eastAsia="黑体" w:cs="Arial"/>
          <w:bCs/>
          <w:sz w:val="16"/>
          <w:szCs w:val="16"/>
        </w:rPr>
        <w:t>编制单位：厦门银行股份有限公司</w:t>
      </w:r>
    </w:p>
    <w:p>
      <w:pPr>
        <w:autoSpaceDE w:val="0"/>
        <w:autoSpaceDN w:val="0"/>
        <w:rPr>
          <w:rFonts w:ascii="Arial" w:hAnsi="Arial" w:eastAsia="黑体" w:cs="Arial"/>
          <w:bCs/>
          <w:sz w:val="16"/>
          <w:szCs w:val="16"/>
        </w:rPr>
      </w:pPr>
      <w:r>
        <w:rPr>
          <w:rFonts w:hint="eastAsia" w:ascii="Arial" w:hAnsi="Arial" w:eastAsia="黑体" w:cs="Arial"/>
          <w:bCs/>
          <w:sz w:val="16"/>
          <w:szCs w:val="16"/>
        </w:rPr>
        <w:t>截至日：</w:t>
      </w:r>
      <w:r>
        <w:rPr>
          <w:rFonts w:ascii="Arial" w:hAnsi="Arial" w:eastAsia="黑体" w:cs="Arial"/>
          <w:bCs/>
          <w:sz w:val="16"/>
          <w:szCs w:val="16"/>
        </w:rPr>
        <w:t>2022</w:t>
      </w:r>
      <w:r>
        <w:rPr>
          <w:rFonts w:hint="eastAsia" w:ascii="Arial" w:hAnsi="Arial" w:eastAsia="黑体" w:cs="Arial"/>
          <w:bCs/>
          <w:sz w:val="16"/>
          <w:szCs w:val="16"/>
        </w:rPr>
        <w:t>年</w:t>
      </w:r>
      <w:r>
        <w:rPr>
          <w:rFonts w:ascii="Arial" w:hAnsi="Arial" w:eastAsia="黑体" w:cs="Arial"/>
          <w:bCs/>
          <w:sz w:val="16"/>
          <w:szCs w:val="16"/>
        </w:rPr>
        <w:t>3</w:t>
      </w:r>
      <w:r>
        <w:rPr>
          <w:rFonts w:hint="eastAsia" w:ascii="Arial" w:hAnsi="Arial" w:eastAsia="黑体" w:cs="Arial"/>
          <w:bCs/>
          <w:sz w:val="16"/>
          <w:szCs w:val="16"/>
        </w:rPr>
        <w:t>月</w:t>
      </w:r>
      <w:r>
        <w:rPr>
          <w:rFonts w:ascii="Arial" w:hAnsi="Arial" w:eastAsia="黑体" w:cs="Arial"/>
          <w:bCs/>
          <w:sz w:val="16"/>
          <w:szCs w:val="16"/>
        </w:rPr>
        <w:t>31</w:t>
      </w:r>
      <w:r>
        <w:rPr>
          <w:rFonts w:hint="eastAsia" w:ascii="Arial" w:hAnsi="Arial" w:eastAsia="黑体" w:cs="Arial"/>
          <w:bCs/>
          <w:sz w:val="16"/>
          <w:szCs w:val="16"/>
        </w:rPr>
        <w:t>日</w:t>
      </w:r>
    </w:p>
    <w:p>
      <w:pPr>
        <w:autoSpaceDE w:val="0"/>
        <w:autoSpaceDN w:val="0"/>
        <w:ind w:firstLine="480"/>
        <w:jc w:val="right"/>
        <w:rPr>
          <w:rFonts w:ascii="Arial" w:hAnsi="Arial" w:eastAsia="黑体" w:cs="Arial"/>
          <w:color w:val="000000"/>
          <w:sz w:val="16"/>
          <w:szCs w:val="16"/>
        </w:rPr>
      </w:pPr>
      <w:r>
        <w:rPr>
          <w:rFonts w:hint="eastAsia" w:ascii="Arial" w:hAnsi="Arial" w:eastAsia="黑体" w:cs="Arial"/>
          <w:sz w:val="16"/>
          <w:szCs w:val="16"/>
        </w:rPr>
        <w:t>单位：人民币元</w:t>
      </w:r>
    </w:p>
    <w:tbl>
      <w:tblPr>
        <w:tblStyle w:val="13"/>
        <w:tblW w:w="5000" w:type="pct"/>
        <w:tblInd w:w="0" w:type="dxa"/>
        <w:tblLayout w:type="fixed"/>
        <w:tblCellMar>
          <w:top w:w="0" w:type="dxa"/>
          <w:left w:w="0" w:type="dxa"/>
          <w:bottom w:w="0" w:type="dxa"/>
          <w:right w:w="0" w:type="dxa"/>
        </w:tblCellMar>
      </w:tblPr>
      <w:tblGrid>
        <w:gridCol w:w="688"/>
        <w:gridCol w:w="1011"/>
        <w:gridCol w:w="995"/>
        <w:gridCol w:w="1419"/>
        <w:gridCol w:w="1419"/>
        <w:gridCol w:w="1340"/>
        <w:gridCol w:w="1377"/>
        <w:gridCol w:w="1439"/>
        <w:gridCol w:w="1308"/>
        <w:gridCol w:w="1374"/>
        <w:gridCol w:w="1598"/>
      </w:tblGrid>
      <w:tr>
        <w:tblPrEx>
          <w:tblCellMar>
            <w:top w:w="0" w:type="dxa"/>
            <w:left w:w="0" w:type="dxa"/>
            <w:bottom w:w="0" w:type="dxa"/>
            <w:right w:w="0" w:type="dxa"/>
          </w:tblCellMar>
        </w:tblPrEx>
        <w:trPr>
          <w:trHeight w:val="285" w:hRule="atLeast"/>
        </w:trPr>
        <w:tc>
          <w:tcPr>
            <w:tcW w:w="964" w:type="pct"/>
            <w:gridSpan w:val="3"/>
            <w:tcBorders>
              <w:top w:val="single" w:color="auto" w:sz="4" w:space="0"/>
              <w:left w:val="single" w:color="auto" w:sz="4" w:space="0"/>
              <w:bottom w:val="single" w:color="auto" w:sz="4" w:space="0"/>
              <w:right w:val="nil"/>
            </w:tcBorders>
            <w:vAlign w:val="center"/>
          </w:tcPr>
          <w:p>
            <w:pPr>
              <w:autoSpaceDE w:val="0"/>
              <w:autoSpaceDN w:val="0"/>
              <w:rPr>
                <w:rFonts w:ascii="Arial" w:hAnsi="Arial" w:eastAsia="黑体" w:cs="Arial"/>
                <w:color w:val="000000"/>
                <w:sz w:val="16"/>
                <w:szCs w:val="16"/>
              </w:rPr>
            </w:pPr>
            <w:r>
              <w:rPr>
                <w:rFonts w:hint="eastAsia" w:ascii="Arial" w:hAnsi="Arial" w:eastAsia="黑体" w:cs="Arial"/>
                <w:color w:val="000000"/>
                <w:sz w:val="16"/>
                <w:szCs w:val="16"/>
              </w:rPr>
              <w:t>募集资金金额：</w:t>
            </w:r>
            <w:r>
              <w:rPr>
                <w:rFonts w:ascii="Arial" w:hAnsi="Arial" w:eastAsia="黑体" w:cs="Arial"/>
                <w:color w:val="000000"/>
                <w:sz w:val="16"/>
                <w:szCs w:val="16"/>
              </w:rPr>
              <w:t>1,738,604,615.19</w:t>
            </w:r>
          </w:p>
        </w:tc>
        <w:tc>
          <w:tcPr>
            <w:tcW w:w="1496" w:type="pct"/>
            <w:gridSpan w:val="3"/>
            <w:tcBorders>
              <w:top w:val="single" w:color="auto" w:sz="4" w:space="0"/>
              <w:left w:val="nil"/>
              <w:bottom w:val="single" w:color="auto" w:sz="4" w:space="0"/>
              <w:right w:val="single" w:color="auto" w:sz="4" w:space="0"/>
            </w:tcBorders>
            <w:vAlign w:val="center"/>
          </w:tcPr>
          <w:p>
            <w:pPr>
              <w:autoSpaceDE w:val="0"/>
              <w:autoSpaceDN w:val="0"/>
              <w:ind w:firstLine="2408" w:firstLineChars="1505"/>
              <w:rPr>
                <w:rFonts w:ascii="Arial" w:hAnsi="Arial" w:eastAsia="黑体" w:cs="Arial"/>
                <w:color w:val="000000"/>
                <w:sz w:val="16"/>
                <w:szCs w:val="16"/>
              </w:rPr>
            </w:pPr>
          </w:p>
        </w:tc>
        <w:tc>
          <w:tcPr>
            <w:tcW w:w="2540" w:type="pct"/>
            <w:gridSpan w:val="5"/>
            <w:tcBorders>
              <w:top w:val="single" w:color="auto" w:sz="4" w:space="0"/>
              <w:left w:val="nil"/>
              <w:bottom w:val="single" w:color="auto" w:sz="4" w:space="0"/>
              <w:right w:val="single" w:color="000000" w:sz="4" w:space="0"/>
            </w:tcBorders>
            <w:vAlign w:val="center"/>
          </w:tcPr>
          <w:p>
            <w:pPr>
              <w:autoSpaceDE w:val="0"/>
              <w:autoSpaceDN w:val="0"/>
              <w:rPr>
                <w:rFonts w:ascii="Arial" w:hAnsi="Arial" w:eastAsia="黑体" w:cs="Arial"/>
                <w:color w:val="000000"/>
                <w:sz w:val="16"/>
                <w:szCs w:val="16"/>
              </w:rPr>
            </w:pPr>
            <w:r>
              <w:rPr>
                <w:rFonts w:hint="eastAsia" w:ascii="Arial" w:hAnsi="Arial" w:eastAsia="黑体" w:cs="Arial"/>
                <w:color w:val="000000"/>
                <w:sz w:val="16"/>
                <w:szCs w:val="16"/>
              </w:rPr>
              <w:t>已累计使用募集资金金额：</w:t>
            </w:r>
            <w:r>
              <w:rPr>
                <w:rFonts w:ascii="Arial" w:hAnsi="Arial" w:eastAsia="黑体" w:cs="Arial"/>
                <w:color w:val="000000"/>
                <w:sz w:val="16"/>
                <w:szCs w:val="16"/>
              </w:rPr>
              <w:t xml:space="preserve"> 1,738,604,615.19.19</w:t>
            </w:r>
          </w:p>
        </w:tc>
      </w:tr>
      <w:tr>
        <w:tblPrEx>
          <w:tblCellMar>
            <w:top w:w="0" w:type="dxa"/>
            <w:left w:w="0" w:type="dxa"/>
            <w:bottom w:w="0" w:type="dxa"/>
            <w:right w:w="0" w:type="dxa"/>
          </w:tblCellMar>
        </w:tblPrEx>
        <w:trPr>
          <w:trHeight w:val="300" w:hRule="atLeast"/>
        </w:trPr>
        <w:tc>
          <w:tcPr>
            <w:tcW w:w="1472" w:type="pct"/>
            <w:gridSpan w:val="4"/>
            <w:tcBorders>
              <w:top w:val="nil"/>
              <w:left w:val="single" w:color="auto" w:sz="4" w:space="0"/>
              <w:bottom w:val="nil"/>
              <w:right w:val="nil"/>
            </w:tcBorders>
            <w:vAlign w:val="bottom"/>
          </w:tcPr>
          <w:p>
            <w:pPr>
              <w:autoSpaceDE w:val="0"/>
              <w:autoSpaceDN w:val="0"/>
              <w:rPr>
                <w:rFonts w:ascii="Arial" w:hAnsi="Arial" w:eastAsia="黑体" w:cs="Arial"/>
                <w:color w:val="000000"/>
                <w:sz w:val="16"/>
                <w:szCs w:val="16"/>
              </w:rPr>
            </w:pPr>
            <w:r>
              <w:rPr>
                <w:rFonts w:hint="eastAsia" w:ascii="Arial" w:hAnsi="Arial" w:eastAsia="黑体" w:cs="Arial"/>
                <w:color w:val="000000"/>
                <w:sz w:val="16"/>
                <w:szCs w:val="16"/>
              </w:rPr>
              <w:t>变更用途的募集资金金额：</w:t>
            </w:r>
          </w:p>
        </w:tc>
        <w:tc>
          <w:tcPr>
            <w:tcW w:w="988" w:type="pct"/>
            <w:gridSpan w:val="2"/>
            <w:tcBorders>
              <w:top w:val="nil"/>
              <w:left w:val="nil"/>
              <w:bottom w:val="nil"/>
              <w:right w:val="single" w:color="auto" w:sz="4" w:space="0"/>
            </w:tcBorders>
            <w:vAlign w:val="bottom"/>
          </w:tcPr>
          <w:p>
            <w:pPr>
              <w:autoSpaceDE w:val="0"/>
              <w:autoSpaceDN w:val="0"/>
              <w:rPr>
                <w:rFonts w:ascii="Arial" w:hAnsi="Arial" w:eastAsia="黑体" w:cs="Arial"/>
                <w:color w:val="000000"/>
                <w:sz w:val="16"/>
                <w:szCs w:val="16"/>
              </w:rPr>
            </w:pPr>
            <w:r>
              <w:rPr>
                <w:rFonts w:hint="eastAsia" w:ascii="Arial" w:hAnsi="Arial" w:eastAsia="黑体" w:cs="Arial"/>
                <w:color w:val="000000"/>
                <w:sz w:val="16"/>
                <w:szCs w:val="16"/>
              </w:rPr>
              <w:t>无</w:t>
            </w:r>
          </w:p>
        </w:tc>
        <w:tc>
          <w:tcPr>
            <w:tcW w:w="1476" w:type="pct"/>
            <w:gridSpan w:val="3"/>
            <w:tcBorders>
              <w:top w:val="nil"/>
              <w:left w:val="single" w:color="auto" w:sz="4" w:space="0"/>
              <w:bottom w:val="nil"/>
              <w:right w:val="nil"/>
            </w:tcBorders>
            <w:vAlign w:val="bottom"/>
          </w:tcPr>
          <w:p>
            <w:pPr>
              <w:autoSpaceDE w:val="0"/>
              <w:autoSpaceDN w:val="0"/>
              <w:rPr>
                <w:rFonts w:ascii="Arial" w:hAnsi="Arial" w:eastAsia="黑体" w:cs="Arial"/>
                <w:color w:val="000000"/>
                <w:sz w:val="16"/>
                <w:szCs w:val="16"/>
              </w:rPr>
            </w:pPr>
            <w:r>
              <w:rPr>
                <w:rFonts w:hint="eastAsia" w:ascii="Arial" w:hAnsi="Arial" w:eastAsia="黑体" w:cs="Arial"/>
                <w:color w:val="000000"/>
                <w:sz w:val="16"/>
                <w:szCs w:val="16"/>
              </w:rPr>
              <w:t>各年度使用募集资金金额：</w:t>
            </w:r>
          </w:p>
        </w:tc>
        <w:tc>
          <w:tcPr>
            <w:tcW w:w="1064" w:type="pct"/>
            <w:gridSpan w:val="2"/>
            <w:tcBorders>
              <w:top w:val="nil"/>
              <w:left w:val="nil"/>
              <w:bottom w:val="nil"/>
              <w:right w:val="single" w:color="auto" w:sz="4" w:space="0"/>
            </w:tcBorders>
            <w:vAlign w:val="bottom"/>
          </w:tcPr>
          <w:p>
            <w:pPr>
              <w:autoSpaceDE w:val="0"/>
              <w:autoSpaceDN w:val="0"/>
              <w:jc w:val="right"/>
              <w:rPr>
                <w:rFonts w:ascii="Arial" w:hAnsi="Arial" w:eastAsia="黑体" w:cs="Arial"/>
                <w:color w:val="000000"/>
                <w:sz w:val="16"/>
                <w:szCs w:val="16"/>
              </w:rPr>
            </w:pPr>
          </w:p>
        </w:tc>
      </w:tr>
      <w:tr>
        <w:tblPrEx>
          <w:tblCellMar>
            <w:top w:w="0" w:type="dxa"/>
            <w:left w:w="0" w:type="dxa"/>
            <w:bottom w:w="0" w:type="dxa"/>
            <w:right w:w="0" w:type="dxa"/>
          </w:tblCellMar>
        </w:tblPrEx>
        <w:trPr>
          <w:trHeight w:val="300" w:hRule="atLeast"/>
        </w:trPr>
        <w:tc>
          <w:tcPr>
            <w:tcW w:w="1472" w:type="pct"/>
            <w:gridSpan w:val="4"/>
            <w:tcBorders>
              <w:top w:val="nil"/>
              <w:left w:val="single" w:color="auto" w:sz="4" w:space="0"/>
              <w:bottom w:val="nil"/>
              <w:right w:val="nil"/>
            </w:tcBorders>
            <w:vAlign w:val="bottom"/>
          </w:tcPr>
          <w:p>
            <w:pPr>
              <w:autoSpaceDE w:val="0"/>
              <w:autoSpaceDN w:val="0"/>
              <w:rPr>
                <w:rFonts w:ascii="Arial" w:hAnsi="Arial" w:eastAsia="黑体" w:cs="Arial"/>
                <w:color w:val="000000"/>
                <w:sz w:val="16"/>
                <w:szCs w:val="16"/>
              </w:rPr>
            </w:pPr>
            <w:r>
              <w:rPr>
                <w:rFonts w:hint="eastAsia" w:ascii="Arial" w:hAnsi="Arial" w:eastAsia="黑体" w:cs="Arial"/>
                <w:color w:val="000000"/>
                <w:sz w:val="16"/>
                <w:szCs w:val="16"/>
              </w:rPr>
              <w:t>变更用途的募集资金额比例：</w:t>
            </w:r>
          </w:p>
        </w:tc>
        <w:tc>
          <w:tcPr>
            <w:tcW w:w="988" w:type="pct"/>
            <w:gridSpan w:val="2"/>
            <w:tcBorders>
              <w:top w:val="nil"/>
              <w:left w:val="nil"/>
              <w:bottom w:val="nil"/>
              <w:right w:val="single" w:color="auto" w:sz="4" w:space="0"/>
            </w:tcBorders>
            <w:vAlign w:val="bottom"/>
          </w:tcPr>
          <w:p>
            <w:pPr>
              <w:autoSpaceDE w:val="0"/>
              <w:autoSpaceDN w:val="0"/>
              <w:rPr>
                <w:rFonts w:ascii="Arial" w:hAnsi="Arial" w:eastAsia="黑体" w:cs="Arial"/>
                <w:color w:val="000000"/>
                <w:sz w:val="16"/>
                <w:szCs w:val="16"/>
              </w:rPr>
            </w:pPr>
            <w:r>
              <w:rPr>
                <w:rFonts w:hint="eastAsia" w:ascii="Arial" w:hAnsi="Arial" w:eastAsia="黑体" w:cs="Arial"/>
                <w:color w:val="000000"/>
                <w:sz w:val="16"/>
                <w:szCs w:val="16"/>
              </w:rPr>
              <w:t>无</w:t>
            </w:r>
          </w:p>
        </w:tc>
        <w:tc>
          <w:tcPr>
            <w:tcW w:w="1476" w:type="pct"/>
            <w:gridSpan w:val="3"/>
            <w:tcBorders>
              <w:top w:val="nil"/>
              <w:left w:val="single" w:color="auto" w:sz="4" w:space="0"/>
              <w:bottom w:val="nil"/>
              <w:right w:val="nil"/>
            </w:tcBorders>
            <w:vAlign w:val="bottom"/>
          </w:tcPr>
          <w:p>
            <w:pPr>
              <w:autoSpaceDE w:val="0"/>
              <w:autoSpaceDN w:val="0"/>
              <w:rPr>
                <w:rFonts w:ascii="Arial" w:hAnsi="Arial" w:eastAsia="黑体" w:cs="Arial"/>
                <w:color w:val="000000"/>
                <w:sz w:val="16"/>
                <w:szCs w:val="16"/>
              </w:rPr>
            </w:pPr>
            <w:r>
              <w:rPr>
                <w:rFonts w:ascii="Arial" w:hAnsi="Arial" w:eastAsia="黑体" w:cs="Arial"/>
                <w:color w:val="000000"/>
                <w:sz w:val="16"/>
                <w:szCs w:val="16"/>
              </w:rPr>
              <w:t>2020</w:t>
            </w:r>
            <w:r>
              <w:rPr>
                <w:rFonts w:hint="eastAsia" w:ascii="Arial" w:hAnsi="Arial" w:eastAsia="黑体" w:cs="Arial"/>
                <w:color w:val="000000"/>
                <w:sz w:val="16"/>
                <w:szCs w:val="16"/>
              </w:rPr>
              <w:t>年：</w:t>
            </w:r>
            <w:r>
              <w:rPr>
                <w:rFonts w:ascii="Arial" w:hAnsi="Arial" w:eastAsia="黑体" w:cs="Arial"/>
                <w:color w:val="000000"/>
                <w:sz w:val="16"/>
                <w:szCs w:val="16"/>
              </w:rPr>
              <w:t>1,738,604,615.19</w:t>
            </w:r>
          </w:p>
          <w:p>
            <w:pPr>
              <w:autoSpaceDE w:val="0"/>
              <w:autoSpaceDN w:val="0"/>
              <w:rPr>
                <w:rFonts w:ascii="Arial" w:hAnsi="Arial" w:eastAsia="黑体" w:cs="Arial"/>
                <w:color w:val="000000"/>
                <w:sz w:val="16"/>
                <w:szCs w:val="16"/>
              </w:rPr>
            </w:pPr>
            <w:r>
              <w:rPr>
                <w:rFonts w:ascii="Arial" w:hAnsi="Arial" w:eastAsia="黑体" w:cs="Arial"/>
                <w:color w:val="000000"/>
                <w:sz w:val="16"/>
                <w:szCs w:val="16"/>
              </w:rPr>
              <w:t>2021</w:t>
            </w:r>
            <w:r>
              <w:rPr>
                <w:rFonts w:hint="eastAsia" w:ascii="Arial" w:hAnsi="Arial" w:eastAsia="黑体" w:cs="Arial"/>
                <w:color w:val="000000"/>
                <w:sz w:val="16"/>
                <w:szCs w:val="16"/>
              </w:rPr>
              <w:t>年：</w:t>
            </w:r>
            <w:r>
              <w:rPr>
                <w:rFonts w:ascii="Arial" w:hAnsi="Arial" w:eastAsia="黑体" w:cs="Arial"/>
                <w:color w:val="000000"/>
                <w:sz w:val="16"/>
                <w:szCs w:val="16"/>
              </w:rPr>
              <w:t>-</w:t>
            </w:r>
          </w:p>
          <w:p>
            <w:pPr>
              <w:autoSpaceDE w:val="0"/>
              <w:autoSpaceDN w:val="0"/>
              <w:rPr>
                <w:rFonts w:ascii="Arial" w:hAnsi="Arial" w:eastAsia="黑体" w:cs="Arial"/>
                <w:color w:val="000000"/>
                <w:sz w:val="16"/>
                <w:szCs w:val="16"/>
              </w:rPr>
            </w:pPr>
            <w:r>
              <w:rPr>
                <w:rFonts w:hint="eastAsia" w:ascii="Arial" w:hAnsi="Arial" w:eastAsia="黑体" w:cs="Arial"/>
                <w:color w:val="000000"/>
                <w:sz w:val="16"/>
                <w:szCs w:val="16"/>
              </w:rPr>
              <w:t>20</w:t>
            </w:r>
            <w:r>
              <w:rPr>
                <w:rFonts w:ascii="Arial" w:hAnsi="Arial" w:eastAsia="黑体" w:cs="Arial"/>
                <w:color w:val="000000"/>
                <w:sz w:val="16"/>
                <w:szCs w:val="16"/>
              </w:rPr>
              <w:t>22</w:t>
            </w:r>
            <w:r>
              <w:rPr>
                <w:rFonts w:hint="eastAsia" w:ascii="Arial" w:hAnsi="Arial" w:eastAsia="黑体" w:cs="Arial"/>
                <w:color w:val="000000"/>
                <w:sz w:val="16"/>
                <w:szCs w:val="16"/>
              </w:rPr>
              <w:t>年（截至202</w:t>
            </w:r>
            <w:r>
              <w:rPr>
                <w:rFonts w:ascii="Arial" w:hAnsi="Arial" w:eastAsia="黑体" w:cs="Arial"/>
                <w:color w:val="000000"/>
                <w:sz w:val="16"/>
                <w:szCs w:val="16"/>
              </w:rPr>
              <w:t>2</w:t>
            </w:r>
            <w:r>
              <w:rPr>
                <w:rFonts w:hint="eastAsia" w:ascii="Arial" w:hAnsi="Arial" w:eastAsia="黑体" w:cs="Arial"/>
                <w:color w:val="000000"/>
                <w:sz w:val="16"/>
                <w:szCs w:val="16"/>
              </w:rPr>
              <w:t>年</w:t>
            </w:r>
            <w:r>
              <w:rPr>
                <w:rFonts w:ascii="Arial" w:hAnsi="Arial" w:eastAsia="黑体" w:cs="Arial"/>
                <w:color w:val="000000"/>
                <w:sz w:val="16"/>
                <w:szCs w:val="16"/>
              </w:rPr>
              <w:t>3</w:t>
            </w:r>
            <w:r>
              <w:rPr>
                <w:rFonts w:hint="eastAsia" w:ascii="Arial" w:hAnsi="Arial" w:eastAsia="黑体" w:cs="Arial"/>
                <w:color w:val="000000"/>
                <w:sz w:val="16"/>
                <w:szCs w:val="16"/>
              </w:rPr>
              <w:t>月3</w:t>
            </w:r>
            <w:r>
              <w:rPr>
                <w:rFonts w:ascii="Arial" w:hAnsi="Arial" w:eastAsia="黑体" w:cs="Arial"/>
                <w:color w:val="000000"/>
                <w:sz w:val="16"/>
                <w:szCs w:val="16"/>
              </w:rPr>
              <w:t>1</w:t>
            </w:r>
            <w:r>
              <w:rPr>
                <w:rFonts w:hint="eastAsia" w:ascii="Arial" w:hAnsi="Arial" w:eastAsia="黑体" w:cs="Arial"/>
                <w:color w:val="000000"/>
                <w:sz w:val="16"/>
                <w:szCs w:val="16"/>
              </w:rPr>
              <w:t>日止</w:t>
            </w:r>
            <w:r>
              <w:rPr>
                <w:rFonts w:ascii="Arial" w:hAnsi="Arial" w:eastAsia="黑体" w:cs="Arial"/>
                <w:color w:val="000000"/>
                <w:sz w:val="16"/>
                <w:szCs w:val="16"/>
              </w:rPr>
              <w:t>3</w:t>
            </w:r>
            <w:r>
              <w:rPr>
                <w:rFonts w:hint="eastAsia" w:ascii="Arial" w:hAnsi="Arial" w:eastAsia="黑体" w:cs="Arial"/>
                <w:color w:val="000000"/>
                <w:sz w:val="16"/>
                <w:szCs w:val="16"/>
              </w:rPr>
              <w:t>个月期间）：-</w:t>
            </w:r>
          </w:p>
        </w:tc>
        <w:tc>
          <w:tcPr>
            <w:tcW w:w="1064" w:type="pct"/>
            <w:gridSpan w:val="2"/>
            <w:tcBorders>
              <w:top w:val="nil"/>
              <w:left w:val="nil"/>
              <w:bottom w:val="nil"/>
              <w:right w:val="single" w:color="auto" w:sz="4" w:space="0"/>
            </w:tcBorders>
            <w:vAlign w:val="bottom"/>
          </w:tcPr>
          <w:p>
            <w:pPr>
              <w:autoSpaceDE w:val="0"/>
              <w:autoSpaceDN w:val="0"/>
              <w:jc w:val="right"/>
              <w:rPr>
                <w:rFonts w:ascii="Arial" w:hAnsi="Arial" w:eastAsia="黑体" w:cs="Arial"/>
                <w:color w:val="000000"/>
                <w:sz w:val="16"/>
                <w:szCs w:val="16"/>
              </w:rPr>
            </w:pPr>
          </w:p>
        </w:tc>
      </w:tr>
      <w:tr>
        <w:tblPrEx>
          <w:tblCellMar>
            <w:top w:w="0" w:type="dxa"/>
            <w:left w:w="0" w:type="dxa"/>
            <w:bottom w:w="0" w:type="dxa"/>
            <w:right w:w="0" w:type="dxa"/>
          </w:tblCellMar>
        </w:tblPrEx>
        <w:trPr>
          <w:cantSplit/>
          <w:trHeight w:val="315" w:hRule="atLeast"/>
        </w:trPr>
        <w:tc>
          <w:tcPr>
            <w:tcW w:w="964" w:type="pct"/>
            <w:gridSpan w:val="3"/>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Arial" w:hAnsi="Arial" w:eastAsia="黑体" w:cs="Arial"/>
                <w:color w:val="000000"/>
                <w:sz w:val="16"/>
                <w:szCs w:val="16"/>
              </w:rPr>
            </w:pPr>
            <w:r>
              <w:rPr>
                <w:rFonts w:hint="eastAsia" w:ascii="Arial" w:hAnsi="Arial" w:eastAsia="黑体" w:cs="Arial"/>
                <w:color w:val="000000"/>
                <w:sz w:val="16"/>
                <w:szCs w:val="16"/>
              </w:rPr>
              <w:t>投资项目</w:t>
            </w:r>
          </w:p>
        </w:tc>
        <w:tc>
          <w:tcPr>
            <w:tcW w:w="1496" w:type="pct"/>
            <w:gridSpan w:val="3"/>
            <w:tcBorders>
              <w:top w:val="single" w:color="auto" w:sz="4" w:space="0"/>
              <w:left w:val="nil"/>
              <w:bottom w:val="single" w:color="auto" w:sz="4" w:space="0"/>
              <w:right w:val="single" w:color="auto" w:sz="4" w:space="0"/>
            </w:tcBorders>
            <w:vAlign w:val="center"/>
          </w:tcPr>
          <w:p>
            <w:pPr>
              <w:autoSpaceDE w:val="0"/>
              <w:autoSpaceDN w:val="0"/>
              <w:jc w:val="center"/>
              <w:rPr>
                <w:rFonts w:ascii="Arial" w:hAnsi="Arial" w:eastAsia="黑体" w:cs="Arial"/>
                <w:color w:val="000000"/>
                <w:sz w:val="16"/>
                <w:szCs w:val="16"/>
              </w:rPr>
            </w:pPr>
            <w:r>
              <w:rPr>
                <w:rFonts w:hint="eastAsia" w:ascii="Arial" w:hAnsi="Arial" w:eastAsia="黑体" w:cs="Arial"/>
                <w:color w:val="000000"/>
                <w:sz w:val="16"/>
                <w:szCs w:val="16"/>
              </w:rPr>
              <w:t>募集资金投资金额</w:t>
            </w:r>
          </w:p>
        </w:tc>
        <w:tc>
          <w:tcPr>
            <w:tcW w:w="1968" w:type="pct"/>
            <w:gridSpan w:val="4"/>
            <w:tcBorders>
              <w:top w:val="single" w:color="auto" w:sz="4" w:space="0"/>
              <w:left w:val="nil"/>
              <w:bottom w:val="nil"/>
              <w:right w:val="single" w:color="auto" w:sz="4" w:space="0"/>
            </w:tcBorders>
            <w:vAlign w:val="center"/>
          </w:tcPr>
          <w:p>
            <w:pPr>
              <w:autoSpaceDE w:val="0"/>
              <w:autoSpaceDN w:val="0"/>
              <w:jc w:val="center"/>
              <w:rPr>
                <w:rFonts w:ascii="Arial" w:hAnsi="Arial" w:eastAsia="黑体" w:cs="Arial"/>
                <w:color w:val="000000"/>
                <w:sz w:val="16"/>
                <w:szCs w:val="16"/>
              </w:rPr>
            </w:pPr>
            <w:r>
              <w:rPr>
                <w:rFonts w:hint="eastAsia" w:ascii="Arial" w:hAnsi="Arial" w:eastAsia="黑体" w:cs="Arial"/>
                <w:color w:val="000000"/>
                <w:sz w:val="16"/>
                <w:szCs w:val="16"/>
              </w:rPr>
              <w:t>截止日募集资金累计投资额</w:t>
            </w:r>
          </w:p>
        </w:tc>
        <w:tc>
          <w:tcPr>
            <w:tcW w:w="572" w:type="pct"/>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Arial" w:hAnsi="Arial" w:eastAsia="黑体" w:cs="Arial"/>
                <w:color w:val="000000"/>
                <w:sz w:val="16"/>
                <w:szCs w:val="16"/>
              </w:rPr>
            </w:pPr>
            <w:r>
              <w:rPr>
                <w:rFonts w:hint="eastAsia" w:ascii="Arial" w:hAnsi="Arial" w:eastAsia="黑体" w:cs="Arial"/>
                <w:color w:val="000000"/>
                <w:sz w:val="16"/>
                <w:szCs w:val="16"/>
              </w:rPr>
              <w:t>项目达到</w:t>
            </w:r>
            <w:r>
              <w:rPr>
                <w:rFonts w:ascii="Arial" w:hAnsi="Arial" w:eastAsia="黑体" w:cs="Arial"/>
                <w:color w:val="000000"/>
                <w:sz w:val="16"/>
                <w:szCs w:val="16"/>
              </w:rPr>
              <w:t xml:space="preserve"> </w:t>
            </w:r>
            <w:r>
              <w:rPr>
                <w:rFonts w:hint="eastAsia" w:ascii="Arial" w:hAnsi="Arial" w:eastAsia="黑体" w:cs="Arial"/>
                <w:color w:val="000000"/>
                <w:sz w:val="16"/>
                <w:szCs w:val="16"/>
              </w:rPr>
              <w:t>预定可使用状态日期</w:t>
            </w:r>
            <w:r>
              <w:rPr>
                <w:rFonts w:ascii="Arial" w:hAnsi="Arial" w:eastAsia="黑体" w:cs="Arial"/>
                <w:color w:val="000000"/>
                <w:sz w:val="16"/>
                <w:szCs w:val="16"/>
              </w:rPr>
              <w:t>(</w:t>
            </w:r>
            <w:r>
              <w:rPr>
                <w:rFonts w:hint="eastAsia" w:ascii="Arial" w:hAnsi="Arial" w:eastAsia="黑体" w:cs="Arial"/>
                <w:color w:val="000000"/>
                <w:sz w:val="16"/>
                <w:szCs w:val="16"/>
              </w:rPr>
              <w:t>或截止日项目完工程度</w:t>
            </w:r>
            <w:r>
              <w:rPr>
                <w:rFonts w:ascii="Arial" w:hAnsi="Arial" w:eastAsia="黑体" w:cs="Arial"/>
                <w:color w:val="000000"/>
                <w:sz w:val="16"/>
                <w:szCs w:val="16"/>
              </w:rPr>
              <w:t>)</w:t>
            </w:r>
          </w:p>
        </w:tc>
      </w:tr>
      <w:tr>
        <w:tblPrEx>
          <w:tblCellMar>
            <w:top w:w="0" w:type="dxa"/>
            <w:left w:w="0" w:type="dxa"/>
            <w:bottom w:w="0" w:type="dxa"/>
            <w:right w:w="0" w:type="dxa"/>
          </w:tblCellMar>
        </w:tblPrEx>
        <w:trPr>
          <w:cantSplit/>
          <w:trHeight w:val="349" w:hRule="atLeast"/>
        </w:trPr>
        <w:tc>
          <w:tcPr>
            <w:tcW w:w="246" w:type="pct"/>
            <w:vMerge w:val="restart"/>
            <w:tcBorders>
              <w:top w:val="nil"/>
              <w:left w:val="single" w:color="auto" w:sz="4" w:space="0"/>
              <w:bottom w:val="single" w:color="auto" w:sz="4" w:space="0"/>
              <w:right w:val="single" w:color="auto" w:sz="4" w:space="0"/>
            </w:tcBorders>
          </w:tcPr>
          <w:p>
            <w:pPr>
              <w:autoSpaceDE w:val="0"/>
              <w:autoSpaceDN w:val="0"/>
              <w:jc w:val="center"/>
              <w:rPr>
                <w:rFonts w:ascii="Arial" w:hAnsi="Arial" w:eastAsia="黑体" w:cs="Arial"/>
                <w:color w:val="000000"/>
                <w:sz w:val="16"/>
                <w:szCs w:val="16"/>
              </w:rPr>
            </w:pPr>
            <w:r>
              <w:rPr>
                <w:rFonts w:hint="eastAsia" w:ascii="Arial" w:hAnsi="Arial" w:eastAsia="黑体" w:cs="Arial"/>
                <w:color w:val="000000"/>
                <w:sz w:val="16"/>
                <w:szCs w:val="16"/>
              </w:rPr>
              <w:t>序号</w:t>
            </w:r>
          </w:p>
        </w:tc>
        <w:tc>
          <w:tcPr>
            <w:tcW w:w="362" w:type="pct"/>
            <w:vMerge w:val="restart"/>
            <w:tcBorders>
              <w:top w:val="nil"/>
              <w:left w:val="single" w:color="auto" w:sz="4" w:space="0"/>
              <w:bottom w:val="nil"/>
              <w:right w:val="single" w:color="auto" w:sz="4" w:space="0"/>
            </w:tcBorders>
          </w:tcPr>
          <w:p>
            <w:pPr>
              <w:autoSpaceDE w:val="0"/>
              <w:autoSpaceDN w:val="0"/>
              <w:jc w:val="center"/>
              <w:rPr>
                <w:rFonts w:ascii="Arial" w:hAnsi="Arial" w:eastAsia="黑体" w:cs="Arial"/>
                <w:color w:val="000000"/>
                <w:sz w:val="16"/>
                <w:szCs w:val="16"/>
              </w:rPr>
            </w:pPr>
            <w:r>
              <w:rPr>
                <w:rFonts w:hint="eastAsia" w:ascii="Arial" w:hAnsi="Arial" w:eastAsia="黑体" w:cs="Arial"/>
                <w:color w:val="000000"/>
                <w:sz w:val="16"/>
                <w:szCs w:val="16"/>
              </w:rPr>
              <w:t>承诺投资项目</w:t>
            </w:r>
          </w:p>
        </w:tc>
        <w:tc>
          <w:tcPr>
            <w:tcW w:w="356" w:type="pct"/>
            <w:vMerge w:val="restart"/>
            <w:tcBorders>
              <w:top w:val="nil"/>
              <w:left w:val="single" w:color="auto" w:sz="4" w:space="0"/>
              <w:bottom w:val="nil"/>
              <w:right w:val="single" w:color="auto" w:sz="4" w:space="0"/>
            </w:tcBorders>
          </w:tcPr>
          <w:p>
            <w:pPr>
              <w:autoSpaceDE w:val="0"/>
              <w:autoSpaceDN w:val="0"/>
              <w:jc w:val="center"/>
              <w:rPr>
                <w:rFonts w:ascii="Arial" w:hAnsi="Arial" w:eastAsia="黑体" w:cs="Arial"/>
                <w:color w:val="000000"/>
                <w:sz w:val="16"/>
                <w:szCs w:val="16"/>
              </w:rPr>
            </w:pPr>
            <w:r>
              <w:rPr>
                <w:rFonts w:hint="eastAsia" w:ascii="Arial" w:hAnsi="Arial" w:eastAsia="黑体" w:cs="Arial"/>
                <w:color w:val="000000"/>
                <w:sz w:val="16"/>
                <w:szCs w:val="16"/>
              </w:rPr>
              <w:t>实际投资项目</w:t>
            </w:r>
          </w:p>
        </w:tc>
        <w:tc>
          <w:tcPr>
            <w:tcW w:w="508" w:type="pct"/>
            <w:vMerge w:val="restart"/>
            <w:tcBorders>
              <w:top w:val="nil"/>
              <w:left w:val="single" w:color="auto" w:sz="4" w:space="0"/>
              <w:bottom w:val="nil"/>
              <w:right w:val="single" w:color="auto" w:sz="4" w:space="0"/>
            </w:tcBorders>
          </w:tcPr>
          <w:p>
            <w:pPr>
              <w:autoSpaceDE w:val="0"/>
              <w:autoSpaceDN w:val="0"/>
              <w:jc w:val="center"/>
              <w:rPr>
                <w:rFonts w:ascii="Arial" w:hAnsi="Arial" w:eastAsia="黑体" w:cs="Arial"/>
                <w:color w:val="000000"/>
                <w:sz w:val="16"/>
                <w:szCs w:val="16"/>
              </w:rPr>
            </w:pPr>
            <w:r>
              <w:rPr>
                <w:rFonts w:hint="eastAsia" w:ascii="Arial" w:hAnsi="Arial" w:eastAsia="黑体" w:cs="Arial"/>
                <w:color w:val="000000"/>
                <w:sz w:val="16"/>
                <w:szCs w:val="16"/>
              </w:rPr>
              <w:t>募集前承诺投资</w:t>
            </w:r>
          </w:p>
          <w:p>
            <w:pPr>
              <w:autoSpaceDE w:val="0"/>
              <w:autoSpaceDN w:val="0"/>
              <w:jc w:val="center"/>
              <w:rPr>
                <w:rFonts w:ascii="Arial" w:hAnsi="Arial" w:eastAsia="黑体" w:cs="Arial"/>
                <w:color w:val="000000"/>
                <w:sz w:val="16"/>
                <w:szCs w:val="16"/>
              </w:rPr>
            </w:pPr>
            <w:r>
              <w:rPr>
                <w:rFonts w:hint="eastAsia" w:ascii="Arial" w:hAnsi="Arial" w:eastAsia="黑体" w:cs="Arial"/>
                <w:color w:val="000000"/>
                <w:sz w:val="16"/>
                <w:szCs w:val="16"/>
              </w:rPr>
              <w:t>金额</w:t>
            </w:r>
          </w:p>
        </w:tc>
        <w:tc>
          <w:tcPr>
            <w:tcW w:w="508" w:type="pct"/>
            <w:vMerge w:val="restart"/>
            <w:tcBorders>
              <w:top w:val="nil"/>
              <w:left w:val="single" w:color="auto" w:sz="4" w:space="0"/>
              <w:bottom w:val="nil"/>
              <w:right w:val="single" w:color="auto" w:sz="4" w:space="0"/>
            </w:tcBorders>
          </w:tcPr>
          <w:p>
            <w:pPr>
              <w:autoSpaceDE w:val="0"/>
              <w:autoSpaceDN w:val="0"/>
              <w:jc w:val="center"/>
              <w:rPr>
                <w:rFonts w:ascii="Arial" w:hAnsi="Arial" w:eastAsia="黑体" w:cs="Arial"/>
                <w:color w:val="000000"/>
                <w:sz w:val="16"/>
                <w:szCs w:val="16"/>
              </w:rPr>
            </w:pPr>
            <w:r>
              <w:rPr>
                <w:rFonts w:hint="eastAsia" w:ascii="Arial" w:hAnsi="Arial" w:eastAsia="黑体" w:cs="Arial"/>
                <w:color w:val="000000"/>
                <w:sz w:val="16"/>
                <w:szCs w:val="16"/>
              </w:rPr>
              <w:t>募集后承诺投资</w:t>
            </w:r>
          </w:p>
          <w:p>
            <w:pPr>
              <w:autoSpaceDE w:val="0"/>
              <w:autoSpaceDN w:val="0"/>
              <w:jc w:val="center"/>
              <w:rPr>
                <w:rFonts w:ascii="Arial" w:hAnsi="Arial" w:eastAsia="黑体" w:cs="Arial"/>
                <w:color w:val="000000"/>
                <w:sz w:val="16"/>
                <w:szCs w:val="16"/>
              </w:rPr>
            </w:pPr>
            <w:r>
              <w:rPr>
                <w:rFonts w:hint="eastAsia" w:ascii="Arial" w:hAnsi="Arial" w:eastAsia="黑体" w:cs="Arial"/>
                <w:color w:val="000000"/>
                <w:sz w:val="16"/>
                <w:szCs w:val="16"/>
              </w:rPr>
              <w:t>金额</w:t>
            </w:r>
          </w:p>
        </w:tc>
        <w:tc>
          <w:tcPr>
            <w:tcW w:w="480" w:type="pct"/>
            <w:vMerge w:val="restart"/>
            <w:tcBorders>
              <w:top w:val="nil"/>
              <w:left w:val="single" w:color="auto" w:sz="4" w:space="0"/>
              <w:bottom w:val="nil"/>
              <w:right w:val="single" w:color="auto" w:sz="4" w:space="0"/>
            </w:tcBorders>
          </w:tcPr>
          <w:p>
            <w:pPr>
              <w:autoSpaceDE w:val="0"/>
              <w:autoSpaceDN w:val="0"/>
              <w:jc w:val="center"/>
              <w:rPr>
                <w:rFonts w:ascii="Arial" w:hAnsi="Arial" w:eastAsia="黑体" w:cs="Arial"/>
                <w:color w:val="000000"/>
                <w:sz w:val="16"/>
                <w:szCs w:val="16"/>
              </w:rPr>
            </w:pPr>
            <w:r>
              <w:rPr>
                <w:rFonts w:hint="eastAsia" w:ascii="Arial" w:hAnsi="Arial" w:eastAsia="黑体" w:cs="Arial"/>
                <w:color w:val="000000"/>
                <w:sz w:val="16"/>
                <w:szCs w:val="16"/>
              </w:rPr>
              <w:t>实际投资金额</w:t>
            </w:r>
          </w:p>
        </w:tc>
        <w:tc>
          <w:tcPr>
            <w:tcW w:w="493" w:type="pct"/>
            <w:vMerge w:val="restart"/>
            <w:tcBorders>
              <w:top w:val="single" w:color="auto" w:sz="4" w:space="0"/>
              <w:left w:val="single" w:color="auto" w:sz="4" w:space="0"/>
              <w:bottom w:val="nil"/>
              <w:right w:val="single" w:color="auto" w:sz="4" w:space="0"/>
            </w:tcBorders>
          </w:tcPr>
          <w:p>
            <w:pPr>
              <w:autoSpaceDE w:val="0"/>
              <w:autoSpaceDN w:val="0"/>
              <w:jc w:val="center"/>
              <w:rPr>
                <w:rFonts w:ascii="Arial" w:hAnsi="Arial" w:eastAsia="黑体" w:cs="Arial"/>
                <w:color w:val="000000"/>
                <w:sz w:val="16"/>
                <w:szCs w:val="16"/>
              </w:rPr>
            </w:pPr>
            <w:r>
              <w:rPr>
                <w:rFonts w:hint="eastAsia" w:ascii="Arial" w:hAnsi="Arial" w:eastAsia="黑体" w:cs="Arial"/>
                <w:color w:val="000000"/>
                <w:sz w:val="16"/>
                <w:szCs w:val="16"/>
              </w:rPr>
              <w:t>募集前承诺投资</w:t>
            </w:r>
          </w:p>
          <w:p>
            <w:pPr>
              <w:autoSpaceDE w:val="0"/>
              <w:autoSpaceDN w:val="0"/>
              <w:jc w:val="center"/>
              <w:rPr>
                <w:rFonts w:ascii="Arial" w:hAnsi="Arial" w:eastAsia="黑体" w:cs="Arial"/>
                <w:color w:val="000000"/>
                <w:sz w:val="16"/>
                <w:szCs w:val="16"/>
              </w:rPr>
            </w:pPr>
            <w:r>
              <w:rPr>
                <w:rFonts w:hint="eastAsia" w:ascii="Arial" w:hAnsi="Arial" w:eastAsia="黑体" w:cs="Arial"/>
                <w:color w:val="000000"/>
                <w:sz w:val="16"/>
                <w:szCs w:val="16"/>
              </w:rPr>
              <w:t>金额</w:t>
            </w:r>
          </w:p>
        </w:tc>
        <w:tc>
          <w:tcPr>
            <w:tcW w:w="515" w:type="pct"/>
            <w:vMerge w:val="restart"/>
            <w:tcBorders>
              <w:top w:val="single" w:color="auto" w:sz="4" w:space="0"/>
              <w:left w:val="single" w:color="auto" w:sz="4" w:space="0"/>
              <w:bottom w:val="nil"/>
              <w:right w:val="single" w:color="auto" w:sz="4" w:space="0"/>
            </w:tcBorders>
          </w:tcPr>
          <w:p>
            <w:pPr>
              <w:autoSpaceDE w:val="0"/>
              <w:autoSpaceDN w:val="0"/>
              <w:jc w:val="center"/>
              <w:rPr>
                <w:rFonts w:ascii="Arial" w:hAnsi="Arial" w:eastAsia="黑体" w:cs="Arial"/>
                <w:color w:val="000000"/>
                <w:sz w:val="16"/>
                <w:szCs w:val="16"/>
              </w:rPr>
            </w:pPr>
            <w:r>
              <w:rPr>
                <w:rFonts w:hint="eastAsia" w:ascii="Arial" w:hAnsi="Arial" w:eastAsia="黑体" w:cs="Arial"/>
                <w:color w:val="000000"/>
                <w:sz w:val="16"/>
                <w:szCs w:val="16"/>
              </w:rPr>
              <w:t>募集后承诺投资</w:t>
            </w:r>
          </w:p>
          <w:p>
            <w:pPr>
              <w:autoSpaceDE w:val="0"/>
              <w:autoSpaceDN w:val="0"/>
              <w:jc w:val="center"/>
              <w:rPr>
                <w:rFonts w:ascii="Arial" w:hAnsi="Arial" w:eastAsia="黑体" w:cs="Arial"/>
                <w:color w:val="000000"/>
                <w:sz w:val="16"/>
                <w:szCs w:val="16"/>
              </w:rPr>
            </w:pPr>
            <w:r>
              <w:rPr>
                <w:rFonts w:hint="eastAsia" w:ascii="Arial" w:hAnsi="Arial" w:eastAsia="黑体" w:cs="Arial"/>
                <w:color w:val="000000"/>
                <w:sz w:val="16"/>
                <w:szCs w:val="16"/>
              </w:rPr>
              <w:t>金额</w:t>
            </w:r>
          </w:p>
        </w:tc>
        <w:tc>
          <w:tcPr>
            <w:tcW w:w="468" w:type="pct"/>
            <w:vMerge w:val="restart"/>
            <w:tcBorders>
              <w:top w:val="single" w:color="auto" w:sz="4" w:space="0"/>
              <w:left w:val="single" w:color="auto" w:sz="4" w:space="0"/>
              <w:bottom w:val="nil"/>
              <w:right w:val="single" w:color="auto" w:sz="4" w:space="0"/>
            </w:tcBorders>
          </w:tcPr>
          <w:p>
            <w:pPr>
              <w:autoSpaceDE w:val="0"/>
              <w:autoSpaceDN w:val="0"/>
              <w:jc w:val="center"/>
              <w:rPr>
                <w:rFonts w:ascii="Arial" w:hAnsi="Arial" w:eastAsia="黑体" w:cs="Arial"/>
                <w:color w:val="000000"/>
                <w:sz w:val="16"/>
                <w:szCs w:val="16"/>
              </w:rPr>
            </w:pPr>
            <w:r>
              <w:rPr>
                <w:rFonts w:hint="eastAsia" w:ascii="Arial" w:hAnsi="Arial" w:eastAsia="黑体" w:cs="Arial"/>
                <w:color w:val="000000"/>
                <w:sz w:val="16"/>
                <w:szCs w:val="16"/>
              </w:rPr>
              <w:t>实际投资金额</w:t>
            </w:r>
          </w:p>
        </w:tc>
        <w:tc>
          <w:tcPr>
            <w:tcW w:w="492" w:type="pct"/>
            <w:vMerge w:val="restart"/>
            <w:tcBorders>
              <w:top w:val="single" w:color="auto" w:sz="4" w:space="0"/>
              <w:left w:val="single" w:color="auto" w:sz="4" w:space="0"/>
              <w:bottom w:val="nil"/>
              <w:right w:val="single" w:color="auto" w:sz="4" w:space="0"/>
            </w:tcBorders>
          </w:tcPr>
          <w:p>
            <w:pPr>
              <w:autoSpaceDE w:val="0"/>
              <w:autoSpaceDN w:val="0"/>
              <w:jc w:val="center"/>
              <w:rPr>
                <w:rFonts w:ascii="Arial" w:hAnsi="Arial" w:eastAsia="黑体" w:cs="Arial"/>
                <w:color w:val="000000"/>
                <w:sz w:val="16"/>
                <w:szCs w:val="16"/>
              </w:rPr>
            </w:pPr>
            <w:r>
              <w:rPr>
                <w:rFonts w:hint="eastAsia" w:ascii="Arial" w:hAnsi="Arial" w:eastAsia="黑体" w:cs="Arial"/>
                <w:color w:val="000000"/>
                <w:sz w:val="16"/>
                <w:szCs w:val="16"/>
              </w:rPr>
              <w:t>实际投资金额与募集后承诺投资金额的差额</w:t>
            </w:r>
          </w:p>
        </w:tc>
        <w:tc>
          <w:tcPr>
            <w:tcW w:w="572" w:type="pct"/>
            <w:vMerge w:val="continue"/>
            <w:tcBorders>
              <w:top w:val="nil"/>
              <w:left w:val="single" w:color="auto" w:sz="4" w:space="0"/>
              <w:bottom w:val="single" w:color="auto" w:sz="4" w:space="0"/>
              <w:right w:val="single" w:color="auto" w:sz="4" w:space="0"/>
            </w:tcBorders>
            <w:vAlign w:val="center"/>
          </w:tcPr>
          <w:p>
            <w:pPr>
              <w:autoSpaceDE w:val="0"/>
              <w:autoSpaceDN w:val="0"/>
              <w:rPr>
                <w:rFonts w:ascii="Arial" w:hAnsi="Arial" w:eastAsia="黑体" w:cs="Arial"/>
                <w:color w:val="000000"/>
                <w:sz w:val="16"/>
                <w:szCs w:val="16"/>
              </w:rPr>
            </w:pPr>
          </w:p>
        </w:tc>
      </w:tr>
      <w:tr>
        <w:tblPrEx>
          <w:tblCellMar>
            <w:top w:w="0" w:type="dxa"/>
            <w:left w:w="0" w:type="dxa"/>
            <w:bottom w:w="0" w:type="dxa"/>
            <w:right w:w="0" w:type="dxa"/>
          </w:tblCellMar>
        </w:tblPrEx>
        <w:trPr>
          <w:cantSplit/>
          <w:trHeight w:val="253" w:hRule="atLeast"/>
        </w:trPr>
        <w:tc>
          <w:tcPr>
            <w:tcW w:w="246" w:type="pct"/>
            <w:vMerge w:val="continue"/>
            <w:tcBorders>
              <w:top w:val="nil"/>
              <w:left w:val="single" w:color="auto" w:sz="4" w:space="0"/>
              <w:bottom w:val="single" w:color="auto" w:sz="4" w:space="0"/>
              <w:right w:val="single" w:color="auto" w:sz="4" w:space="0"/>
            </w:tcBorders>
            <w:vAlign w:val="center"/>
          </w:tcPr>
          <w:p>
            <w:pPr>
              <w:autoSpaceDE w:val="0"/>
              <w:autoSpaceDN w:val="0"/>
              <w:rPr>
                <w:rFonts w:ascii="Arial" w:hAnsi="Arial" w:eastAsia="黑体" w:cs="Arial"/>
                <w:color w:val="000000"/>
                <w:sz w:val="16"/>
                <w:szCs w:val="16"/>
              </w:rPr>
            </w:pPr>
          </w:p>
        </w:tc>
        <w:tc>
          <w:tcPr>
            <w:tcW w:w="362" w:type="pct"/>
            <w:vMerge w:val="continue"/>
            <w:tcBorders>
              <w:top w:val="nil"/>
              <w:left w:val="single" w:color="auto" w:sz="4" w:space="0"/>
              <w:bottom w:val="nil"/>
              <w:right w:val="single" w:color="auto" w:sz="4" w:space="0"/>
            </w:tcBorders>
            <w:vAlign w:val="center"/>
          </w:tcPr>
          <w:p>
            <w:pPr>
              <w:autoSpaceDE w:val="0"/>
              <w:autoSpaceDN w:val="0"/>
              <w:rPr>
                <w:rFonts w:ascii="Arial" w:hAnsi="Arial" w:eastAsia="黑体" w:cs="Arial"/>
                <w:color w:val="000000"/>
                <w:sz w:val="16"/>
                <w:szCs w:val="16"/>
              </w:rPr>
            </w:pPr>
          </w:p>
        </w:tc>
        <w:tc>
          <w:tcPr>
            <w:tcW w:w="356" w:type="pct"/>
            <w:vMerge w:val="continue"/>
            <w:tcBorders>
              <w:top w:val="nil"/>
              <w:left w:val="single" w:color="auto" w:sz="4" w:space="0"/>
              <w:bottom w:val="nil"/>
              <w:right w:val="single" w:color="auto" w:sz="4" w:space="0"/>
            </w:tcBorders>
            <w:vAlign w:val="center"/>
          </w:tcPr>
          <w:p>
            <w:pPr>
              <w:autoSpaceDE w:val="0"/>
              <w:autoSpaceDN w:val="0"/>
              <w:rPr>
                <w:rFonts w:ascii="Arial" w:hAnsi="Arial" w:eastAsia="黑体" w:cs="Arial"/>
                <w:color w:val="000000"/>
                <w:sz w:val="16"/>
                <w:szCs w:val="16"/>
              </w:rPr>
            </w:pPr>
          </w:p>
        </w:tc>
        <w:tc>
          <w:tcPr>
            <w:tcW w:w="508" w:type="pct"/>
            <w:vMerge w:val="continue"/>
            <w:tcBorders>
              <w:top w:val="nil"/>
              <w:left w:val="single" w:color="auto" w:sz="4" w:space="0"/>
              <w:bottom w:val="nil"/>
              <w:right w:val="single" w:color="auto" w:sz="4" w:space="0"/>
            </w:tcBorders>
            <w:vAlign w:val="center"/>
          </w:tcPr>
          <w:p>
            <w:pPr>
              <w:autoSpaceDE w:val="0"/>
              <w:autoSpaceDN w:val="0"/>
              <w:rPr>
                <w:rFonts w:ascii="Arial" w:hAnsi="Arial" w:eastAsia="黑体" w:cs="Arial"/>
                <w:color w:val="000000"/>
                <w:sz w:val="16"/>
                <w:szCs w:val="16"/>
              </w:rPr>
            </w:pPr>
          </w:p>
        </w:tc>
        <w:tc>
          <w:tcPr>
            <w:tcW w:w="508" w:type="pct"/>
            <w:vMerge w:val="continue"/>
            <w:tcBorders>
              <w:top w:val="nil"/>
              <w:left w:val="single" w:color="auto" w:sz="4" w:space="0"/>
              <w:bottom w:val="nil"/>
              <w:right w:val="single" w:color="auto" w:sz="4" w:space="0"/>
            </w:tcBorders>
            <w:vAlign w:val="center"/>
          </w:tcPr>
          <w:p>
            <w:pPr>
              <w:autoSpaceDE w:val="0"/>
              <w:autoSpaceDN w:val="0"/>
              <w:rPr>
                <w:rFonts w:ascii="Arial" w:hAnsi="Arial" w:eastAsia="黑体" w:cs="Arial"/>
                <w:color w:val="000000"/>
                <w:sz w:val="16"/>
                <w:szCs w:val="16"/>
              </w:rPr>
            </w:pPr>
          </w:p>
        </w:tc>
        <w:tc>
          <w:tcPr>
            <w:tcW w:w="480" w:type="pct"/>
            <w:vMerge w:val="continue"/>
            <w:tcBorders>
              <w:top w:val="nil"/>
              <w:left w:val="single" w:color="auto" w:sz="4" w:space="0"/>
              <w:bottom w:val="nil"/>
              <w:right w:val="single" w:color="auto" w:sz="4" w:space="0"/>
            </w:tcBorders>
            <w:vAlign w:val="center"/>
          </w:tcPr>
          <w:p>
            <w:pPr>
              <w:autoSpaceDE w:val="0"/>
              <w:autoSpaceDN w:val="0"/>
              <w:rPr>
                <w:rFonts w:ascii="Arial" w:hAnsi="Arial" w:eastAsia="黑体" w:cs="Arial"/>
                <w:color w:val="000000"/>
                <w:sz w:val="16"/>
                <w:szCs w:val="16"/>
              </w:rPr>
            </w:pPr>
          </w:p>
        </w:tc>
        <w:tc>
          <w:tcPr>
            <w:tcW w:w="493" w:type="pct"/>
            <w:vMerge w:val="continue"/>
            <w:tcBorders>
              <w:top w:val="single" w:color="auto" w:sz="4" w:space="0"/>
              <w:left w:val="single" w:color="auto" w:sz="4" w:space="0"/>
              <w:bottom w:val="nil"/>
              <w:right w:val="single" w:color="auto" w:sz="4" w:space="0"/>
            </w:tcBorders>
            <w:vAlign w:val="center"/>
          </w:tcPr>
          <w:p>
            <w:pPr>
              <w:autoSpaceDE w:val="0"/>
              <w:autoSpaceDN w:val="0"/>
              <w:rPr>
                <w:rFonts w:ascii="Arial" w:hAnsi="Arial" w:eastAsia="黑体" w:cs="Arial"/>
                <w:color w:val="000000"/>
                <w:sz w:val="16"/>
                <w:szCs w:val="16"/>
              </w:rPr>
            </w:pPr>
          </w:p>
        </w:tc>
        <w:tc>
          <w:tcPr>
            <w:tcW w:w="515" w:type="pct"/>
            <w:vMerge w:val="continue"/>
            <w:tcBorders>
              <w:top w:val="single" w:color="auto" w:sz="4" w:space="0"/>
              <w:left w:val="single" w:color="auto" w:sz="4" w:space="0"/>
              <w:bottom w:val="nil"/>
              <w:right w:val="single" w:color="auto" w:sz="4" w:space="0"/>
            </w:tcBorders>
            <w:vAlign w:val="center"/>
          </w:tcPr>
          <w:p>
            <w:pPr>
              <w:autoSpaceDE w:val="0"/>
              <w:autoSpaceDN w:val="0"/>
              <w:rPr>
                <w:rFonts w:ascii="Arial" w:hAnsi="Arial" w:eastAsia="黑体" w:cs="Arial"/>
                <w:color w:val="000000"/>
                <w:sz w:val="16"/>
                <w:szCs w:val="16"/>
              </w:rPr>
            </w:pPr>
          </w:p>
        </w:tc>
        <w:tc>
          <w:tcPr>
            <w:tcW w:w="468" w:type="pct"/>
            <w:vMerge w:val="continue"/>
            <w:tcBorders>
              <w:top w:val="single" w:color="auto" w:sz="4" w:space="0"/>
              <w:left w:val="single" w:color="auto" w:sz="4" w:space="0"/>
              <w:bottom w:val="nil"/>
              <w:right w:val="single" w:color="auto" w:sz="4" w:space="0"/>
            </w:tcBorders>
            <w:vAlign w:val="center"/>
          </w:tcPr>
          <w:p>
            <w:pPr>
              <w:autoSpaceDE w:val="0"/>
              <w:autoSpaceDN w:val="0"/>
              <w:rPr>
                <w:rFonts w:ascii="Arial" w:hAnsi="Arial" w:eastAsia="黑体" w:cs="Arial"/>
                <w:color w:val="000000"/>
                <w:sz w:val="16"/>
                <w:szCs w:val="16"/>
              </w:rPr>
            </w:pPr>
          </w:p>
        </w:tc>
        <w:tc>
          <w:tcPr>
            <w:tcW w:w="492" w:type="pct"/>
            <w:vMerge w:val="continue"/>
            <w:tcBorders>
              <w:top w:val="single" w:color="auto" w:sz="4" w:space="0"/>
              <w:left w:val="single" w:color="auto" w:sz="4" w:space="0"/>
              <w:bottom w:val="nil"/>
              <w:right w:val="single" w:color="auto" w:sz="4" w:space="0"/>
            </w:tcBorders>
            <w:vAlign w:val="center"/>
          </w:tcPr>
          <w:p>
            <w:pPr>
              <w:autoSpaceDE w:val="0"/>
              <w:autoSpaceDN w:val="0"/>
              <w:rPr>
                <w:rFonts w:ascii="Arial" w:hAnsi="Arial" w:eastAsia="黑体" w:cs="Arial"/>
                <w:color w:val="000000"/>
                <w:sz w:val="16"/>
                <w:szCs w:val="16"/>
              </w:rPr>
            </w:pPr>
          </w:p>
        </w:tc>
        <w:tc>
          <w:tcPr>
            <w:tcW w:w="572" w:type="pct"/>
            <w:vMerge w:val="continue"/>
            <w:tcBorders>
              <w:top w:val="nil"/>
              <w:left w:val="single" w:color="auto" w:sz="4" w:space="0"/>
              <w:bottom w:val="single" w:color="auto" w:sz="4" w:space="0"/>
              <w:right w:val="single" w:color="auto" w:sz="4" w:space="0"/>
            </w:tcBorders>
            <w:vAlign w:val="center"/>
          </w:tcPr>
          <w:p>
            <w:pPr>
              <w:autoSpaceDE w:val="0"/>
              <w:autoSpaceDN w:val="0"/>
              <w:rPr>
                <w:rFonts w:ascii="Arial" w:hAnsi="Arial" w:eastAsia="黑体" w:cs="Arial"/>
                <w:color w:val="000000"/>
                <w:sz w:val="16"/>
                <w:szCs w:val="16"/>
              </w:rPr>
            </w:pPr>
          </w:p>
        </w:tc>
      </w:tr>
      <w:tr>
        <w:tblPrEx>
          <w:tblCellMar>
            <w:top w:w="0" w:type="dxa"/>
            <w:left w:w="0" w:type="dxa"/>
            <w:bottom w:w="0" w:type="dxa"/>
            <w:right w:w="0" w:type="dxa"/>
          </w:tblCellMar>
        </w:tblPrEx>
        <w:trPr>
          <w:trHeight w:val="285" w:hRule="atLeast"/>
        </w:trPr>
        <w:tc>
          <w:tcPr>
            <w:tcW w:w="246" w:type="pct"/>
            <w:tcBorders>
              <w:top w:val="nil"/>
              <w:left w:val="single" w:color="auto" w:sz="4" w:space="0"/>
              <w:bottom w:val="single" w:color="auto" w:sz="4" w:space="0"/>
              <w:right w:val="single" w:color="auto" w:sz="4" w:space="0"/>
            </w:tcBorders>
            <w:vAlign w:val="center"/>
          </w:tcPr>
          <w:p>
            <w:pPr>
              <w:autoSpaceDE w:val="0"/>
              <w:autoSpaceDN w:val="0"/>
              <w:jc w:val="center"/>
              <w:rPr>
                <w:rFonts w:ascii="Arial" w:hAnsi="Arial" w:eastAsia="黑体" w:cs="Arial"/>
                <w:color w:val="000000"/>
                <w:sz w:val="16"/>
                <w:szCs w:val="16"/>
              </w:rPr>
            </w:pPr>
            <w:r>
              <w:rPr>
                <w:rFonts w:ascii="Arial" w:hAnsi="Arial" w:eastAsia="黑体" w:cs="Arial"/>
                <w:color w:val="000000"/>
                <w:sz w:val="16"/>
                <w:szCs w:val="16"/>
              </w:rPr>
              <w:t>1</w:t>
            </w:r>
          </w:p>
        </w:tc>
        <w:tc>
          <w:tcPr>
            <w:tcW w:w="362" w:type="pct"/>
            <w:tcBorders>
              <w:top w:val="single" w:color="auto" w:sz="4" w:space="0"/>
              <w:left w:val="nil"/>
              <w:bottom w:val="single" w:color="auto" w:sz="4" w:space="0"/>
              <w:right w:val="single" w:color="auto" w:sz="4" w:space="0"/>
            </w:tcBorders>
          </w:tcPr>
          <w:p>
            <w:pPr>
              <w:autoSpaceDE w:val="0"/>
              <w:autoSpaceDN w:val="0"/>
              <w:rPr>
                <w:rFonts w:ascii="Arial" w:hAnsi="Arial" w:eastAsia="黑体" w:cs="Arial"/>
                <w:color w:val="000000"/>
                <w:sz w:val="16"/>
                <w:szCs w:val="16"/>
              </w:rPr>
            </w:pPr>
            <w:r>
              <w:rPr>
                <w:rFonts w:hint="eastAsia" w:ascii="Arial" w:hAnsi="Arial" w:eastAsia="黑体" w:cs="Arial"/>
                <w:color w:val="000000"/>
                <w:sz w:val="16"/>
                <w:szCs w:val="16"/>
              </w:rPr>
              <w:t>补充核心</w:t>
            </w:r>
          </w:p>
          <w:p>
            <w:pPr>
              <w:autoSpaceDE w:val="0"/>
              <w:autoSpaceDN w:val="0"/>
              <w:rPr>
                <w:rFonts w:ascii="Arial" w:hAnsi="Arial" w:eastAsia="黑体" w:cs="Arial"/>
                <w:color w:val="000000"/>
                <w:sz w:val="16"/>
                <w:szCs w:val="16"/>
              </w:rPr>
            </w:pPr>
            <w:r>
              <w:rPr>
                <w:rFonts w:hint="eastAsia" w:ascii="Arial" w:hAnsi="Arial" w:eastAsia="黑体" w:cs="Arial"/>
                <w:color w:val="000000"/>
                <w:sz w:val="16"/>
                <w:szCs w:val="16"/>
              </w:rPr>
              <w:t>一级资本</w:t>
            </w:r>
          </w:p>
        </w:tc>
        <w:tc>
          <w:tcPr>
            <w:tcW w:w="356" w:type="pct"/>
            <w:tcBorders>
              <w:top w:val="single" w:color="auto" w:sz="4" w:space="0"/>
              <w:left w:val="nil"/>
              <w:bottom w:val="single" w:color="auto" w:sz="4" w:space="0"/>
              <w:right w:val="single" w:color="auto" w:sz="4" w:space="0"/>
            </w:tcBorders>
          </w:tcPr>
          <w:p>
            <w:pPr>
              <w:autoSpaceDE w:val="0"/>
              <w:autoSpaceDN w:val="0"/>
              <w:rPr>
                <w:rFonts w:ascii="Arial" w:hAnsi="Arial" w:eastAsia="黑体" w:cs="Arial"/>
                <w:color w:val="000000"/>
                <w:sz w:val="16"/>
                <w:szCs w:val="16"/>
              </w:rPr>
            </w:pPr>
            <w:r>
              <w:rPr>
                <w:rFonts w:hint="eastAsia" w:ascii="Arial" w:hAnsi="Arial" w:eastAsia="黑体" w:cs="Arial"/>
                <w:color w:val="000000"/>
                <w:sz w:val="16"/>
                <w:szCs w:val="16"/>
              </w:rPr>
              <w:t>补充核心</w:t>
            </w:r>
          </w:p>
          <w:p>
            <w:pPr>
              <w:autoSpaceDE w:val="0"/>
              <w:autoSpaceDN w:val="0"/>
              <w:rPr>
                <w:rFonts w:ascii="Arial" w:hAnsi="Arial" w:eastAsia="黑体" w:cs="Arial"/>
                <w:color w:val="000000"/>
                <w:sz w:val="16"/>
                <w:szCs w:val="16"/>
              </w:rPr>
            </w:pPr>
            <w:r>
              <w:rPr>
                <w:rFonts w:hint="eastAsia" w:ascii="Arial" w:hAnsi="Arial" w:eastAsia="黑体" w:cs="Arial"/>
                <w:color w:val="000000"/>
                <w:sz w:val="16"/>
                <w:szCs w:val="16"/>
              </w:rPr>
              <w:t>一级资本</w:t>
            </w:r>
          </w:p>
        </w:tc>
        <w:tc>
          <w:tcPr>
            <w:tcW w:w="508" w:type="pct"/>
            <w:tcBorders>
              <w:top w:val="single" w:color="auto" w:sz="4" w:space="0"/>
              <w:left w:val="nil"/>
              <w:bottom w:val="single" w:color="auto" w:sz="4" w:space="0"/>
              <w:right w:val="single" w:color="auto" w:sz="4" w:space="0"/>
            </w:tcBorders>
            <w:vAlign w:val="center"/>
          </w:tcPr>
          <w:p>
            <w:pPr>
              <w:autoSpaceDE w:val="0"/>
              <w:autoSpaceDN w:val="0"/>
              <w:jc w:val="right"/>
              <w:rPr>
                <w:rFonts w:ascii="Arial" w:hAnsi="Arial" w:eastAsia="黑体" w:cs="Arial"/>
                <w:color w:val="000000"/>
                <w:sz w:val="16"/>
                <w:szCs w:val="16"/>
              </w:rPr>
            </w:pPr>
            <w:r>
              <w:rPr>
                <w:rFonts w:ascii="Arial" w:hAnsi="Arial" w:eastAsia="黑体" w:cs="Arial"/>
                <w:color w:val="000000"/>
                <w:sz w:val="16"/>
                <w:szCs w:val="16"/>
              </w:rPr>
              <w:t>1,738,604,615.19</w:t>
            </w:r>
          </w:p>
        </w:tc>
        <w:tc>
          <w:tcPr>
            <w:tcW w:w="508" w:type="pct"/>
            <w:tcBorders>
              <w:top w:val="single" w:color="auto" w:sz="4" w:space="0"/>
              <w:left w:val="nil"/>
              <w:bottom w:val="single" w:color="auto" w:sz="4" w:space="0"/>
              <w:right w:val="single" w:color="auto" w:sz="4" w:space="0"/>
            </w:tcBorders>
            <w:vAlign w:val="center"/>
          </w:tcPr>
          <w:p>
            <w:pPr>
              <w:autoSpaceDE w:val="0"/>
              <w:autoSpaceDN w:val="0"/>
              <w:jc w:val="right"/>
              <w:rPr>
                <w:rFonts w:ascii="Arial" w:hAnsi="Arial" w:eastAsia="黑体" w:cs="Arial"/>
                <w:color w:val="000000"/>
                <w:sz w:val="16"/>
                <w:szCs w:val="16"/>
              </w:rPr>
            </w:pPr>
            <w:r>
              <w:rPr>
                <w:rFonts w:ascii="Arial" w:hAnsi="Arial" w:eastAsia="黑体" w:cs="Arial"/>
                <w:color w:val="000000"/>
                <w:sz w:val="16"/>
                <w:szCs w:val="16"/>
              </w:rPr>
              <w:t>1,738,604,615.19</w:t>
            </w:r>
          </w:p>
        </w:tc>
        <w:tc>
          <w:tcPr>
            <w:tcW w:w="480" w:type="pct"/>
            <w:tcBorders>
              <w:top w:val="single" w:color="auto" w:sz="4" w:space="0"/>
              <w:left w:val="nil"/>
              <w:bottom w:val="single" w:color="auto" w:sz="4" w:space="0"/>
              <w:right w:val="single" w:color="auto" w:sz="4" w:space="0"/>
            </w:tcBorders>
            <w:vAlign w:val="center"/>
          </w:tcPr>
          <w:p>
            <w:pPr>
              <w:autoSpaceDE w:val="0"/>
              <w:autoSpaceDN w:val="0"/>
              <w:jc w:val="right"/>
              <w:rPr>
                <w:rFonts w:ascii="Arial" w:hAnsi="Arial" w:eastAsia="黑体" w:cs="Arial"/>
                <w:color w:val="000000"/>
                <w:sz w:val="16"/>
                <w:szCs w:val="16"/>
              </w:rPr>
            </w:pPr>
            <w:r>
              <w:rPr>
                <w:rFonts w:ascii="Arial" w:hAnsi="Arial" w:eastAsia="黑体" w:cs="Arial"/>
                <w:color w:val="000000"/>
                <w:sz w:val="16"/>
                <w:szCs w:val="16"/>
              </w:rPr>
              <w:t>1,738,604,615.19</w:t>
            </w:r>
          </w:p>
        </w:tc>
        <w:tc>
          <w:tcPr>
            <w:tcW w:w="493" w:type="pct"/>
            <w:tcBorders>
              <w:top w:val="single" w:color="auto" w:sz="4" w:space="0"/>
              <w:left w:val="nil"/>
              <w:bottom w:val="single" w:color="auto" w:sz="4" w:space="0"/>
              <w:right w:val="single" w:color="auto" w:sz="4" w:space="0"/>
            </w:tcBorders>
            <w:vAlign w:val="center"/>
          </w:tcPr>
          <w:p>
            <w:pPr>
              <w:autoSpaceDE w:val="0"/>
              <w:autoSpaceDN w:val="0"/>
              <w:jc w:val="right"/>
              <w:rPr>
                <w:rFonts w:ascii="Arial" w:hAnsi="Arial" w:eastAsia="黑体" w:cs="Arial"/>
                <w:color w:val="000000"/>
                <w:sz w:val="16"/>
                <w:szCs w:val="16"/>
              </w:rPr>
            </w:pPr>
            <w:r>
              <w:rPr>
                <w:rFonts w:ascii="Arial" w:hAnsi="Arial" w:eastAsia="黑体" w:cs="Arial"/>
                <w:color w:val="000000"/>
                <w:sz w:val="16"/>
                <w:szCs w:val="16"/>
              </w:rPr>
              <w:t>1,738,604,615.19</w:t>
            </w:r>
          </w:p>
        </w:tc>
        <w:tc>
          <w:tcPr>
            <w:tcW w:w="515" w:type="pct"/>
            <w:tcBorders>
              <w:top w:val="single" w:color="auto" w:sz="4" w:space="0"/>
              <w:left w:val="nil"/>
              <w:bottom w:val="single" w:color="auto" w:sz="4" w:space="0"/>
              <w:right w:val="single" w:color="auto" w:sz="4" w:space="0"/>
            </w:tcBorders>
            <w:vAlign w:val="center"/>
          </w:tcPr>
          <w:p>
            <w:pPr>
              <w:autoSpaceDE w:val="0"/>
              <w:autoSpaceDN w:val="0"/>
              <w:jc w:val="right"/>
              <w:rPr>
                <w:rFonts w:ascii="Arial" w:hAnsi="Arial" w:eastAsia="黑体" w:cs="Arial"/>
                <w:color w:val="000000"/>
                <w:sz w:val="16"/>
                <w:szCs w:val="16"/>
              </w:rPr>
            </w:pPr>
            <w:r>
              <w:rPr>
                <w:rFonts w:ascii="Arial" w:hAnsi="Arial" w:eastAsia="黑体" w:cs="Arial"/>
                <w:color w:val="000000"/>
                <w:sz w:val="16"/>
                <w:szCs w:val="16"/>
              </w:rPr>
              <w:t>1,738,604,615.19</w:t>
            </w:r>
          </w:p>
        </w:tc>
        <w:tc>
          <w:tcPr>
            <w:tcW w:w="468" w:type="pct"/>
            <w:tcBorders>
              <w:top w:val="single" w:color="auto" w:sz="4" w:space="0"/>
              <w:left w:val="nil"/>
              <w:bottom w:val="single" w:color="auto" w:sz="4" w:space="0"/>
              <w:right w:val="single" w:color="auto" w:sz="4" w:space="0"/>
            </w:tcBorders>
            <w:vAlign w:val="center"/>
          </w:tcPr>
          <w:p>
            <w:pPr>
              <w:autoSpaceDE w:val="0"/>
              <w:autoSpaceDN w:val="0"/>
              <w:jc w:val="right"/>
              <w:rPr>
                <w:rFonts w:ascii="Arial" w:hAnsi="Arial" w:eastAsia="黑体" w:cs="Arial"/>
                <w:color w:val="000000"/>
                <w:sz w:val="16"/>
                <w:szCs w:val="16"/>
              </w:rPr>
            </w:pPr>
            <w:r>
              <w:rPr>
                <w:rFonts w:ascii="Arial" w:hAnsi="Arial" w:eastAsia="黑体" w:cs="Arial"/>
                <w:color w:val="000000"/>
                <w:sz w:val="16"/>
                <w:szCs w:val="16"/>
              </w:rPr>
              <w:t>1,738,604,615.19</w:t>
            </w:r>
          </w:p>
        </w:tc>
        <w:tc>
          <w:tcPr>
            <w:tcW w:w="492" w:type="pct"/>
            <w:tcBorders>
              <w:top w:val="single" w:color="auto" w:sz="4" w:space="0"/>
              <w:left w:val="nil"/>
              <w:bottom w:val="single" w:color="auto" w:sz="4" w:space="0"/>
              <w:right w:val="single" w:color="auto" w:sz="4" w:space="0"/>
            </w:tcBorders>
            <w:vAlign w:val="center"/>
          </w:tcPr>
          <w:p>
            <w:pPr>
              <w:autoSpaceDE w:val="0"/>
              <w:autoSpaceDN w:val="0"/>
              <w:ind w:firstLine="1120" w:firstLineChars="700"/>
              <w:jc w:val="right"/>
              <w:rPr>
                <w:rFonts w:ascii="Arial" w:hAnsi="Arial" w:eastAsia="黑体" w:cs="Arial"/>
                <w:color w:val="000000"/>
                <w:sz w:val="16"/>
                <w:szCs w:val="16"/>
              </w:rPr>
            </w:pPr>
            <w:r>
              <w:rPr>
                <w:rFonts w:ascii="Arial" w:hAnsi="Arial" w:eastAsia="黑体" w:cs="Arial"/>
                <w:color w:val="000000"/>
                <w:sz w:val="16"/>
                <w:szCs w:val="16"/>
              </w:rPr>
              <w:t>-</w:t>
            </w:r>
          </w:p>
        </w:tc>
        <w:tc>
          <w:tcPr>
            <w:tcW w:w="572" w:type="pct"/>
            <w:tcBorders>
              <w:top w:val="single" w:color="auto" w:sz="4" w:space="0"/>
              <w:left w:val="nil"/>
              <w:bottom w:val="single" w:color="auto" w:sz="4" w:space="0"/>
              <w:right w:val="single" w:color="auto" w:sz="4" w:space="0"/>
            </w:tcBorders>
            <w:vAlign w:val="center"/>
          </w:tcPr>
          <w:p>
            <w:pPr>
              <w:autoSpaceDE w:val="0"/>
              <w:autoSpaceDN w:val="0"/>
              <w:jc w:val="right"/>
              <w:rPr>
                <w:rFonts w:ascii="Arial" w:hAnsi="Arial" w:eastAsia="黑体" w:cs="Arial"/>
                <w:color w:val="000000"/>
                <w:sz w:val="16"/>
                <w:szCs w:val="16"/>
              </w:rPr>
            </w:pPr>
            <w:r>
              <w:rPr>
                <w:rFonts w:ascii="Arial" w:hAnsi="Arial" w:eastAsia="黑体" w:cs="Arial"/>
                <w:color w:val="000000"/>
                <w:sz w:val="16"/>
                <w:szCs w:val="16"/>
              </w:rPr>
              <w:t>100%</w:t>
            </w:r>
          </w:p>
        </w:tc>
      </w:tr>
    </w:tbl>
    <w:p>
      <w:pPr>
        <w:tabs>
          <w:tab w:val="center" w:pos="6804"/>
        </w:tabs>
        <w:autoSpaceDE w:val="0"/>
        <w:autoSpaceDN w:val="0"/>
        <w:rPr>
          <w:rFonts w:ascii="Arial" w:hAnsi="Arial" w:eastAsia="黑体" w:cs="Arial"/>
          <w:sz w:val="16"/>
          <w:szCs w:val="16"/>
        </w:rPr>
      </w:pPr>
    </w:p>
    <w:p>
      <w:pPr>
        <w:tabs>
          <w:tab w:val="center" w:pos="6804"/>
        </w:tabs>
        <w:autoSpaceDE w:val="0"/>
        <w:autoSpaceDN w:val="0"/>
        <w:rPr>
          <w:rFonts w:ascii="Arial" w:hAnsi="Arial" w:eastAsia="黑体" w:cs="Arial"/>
          <w:sz w:val="16"/>
          <w:szCs w:val="16"/>
        </w:rPr>
      </w:pPr>
      <w:r>
        <w:rPr>
          <w:rFonts w:ascii="Arial" w:hAnsi="Arial" w:eastAsia="黑体" w:cs="Arial"/>
          <w:sz w:val="16"/>
          <w:szCs w:val="16"/>
        </w:rPr>
        <w:t>*</w:t>
      </w:r>
      <w:r>
        <w:rPr>
          <w:rFonts w:hint="eastAsia" w:ascii="Arial" w:hAnsi="Arial" w:eastAsia="黑体" w:cs="Arial"/>
          <w:sz w:val="16"/>
          <w:szCs w:val="16"/>
        </w:rPr>
        <w:t>募集资金金额系本次首次公开发行普通股募集资金总额扣除发生的券商承销佣金及其他发行费用后的募集资金净额。</w:t>
      </w:r>
    </w:p>
    <w:p>
      <w:pPr>
        <w:tabs>
          <w:tab w:val="center" w:pos="6804"/>
        </w:tabs>
        <w:autoSpaceDE w:val="0"/>
        <w:autoSpaceDN w:val="0"/>
        <w:rPr>
          <w:rFonts w:ascii="Arial" w:hAnsi="Arial" w:eastAsia="黑体" w:cs="Arial"/>
          <w:szCs w:val="21"/>
        </w:rPr>
      </w:pPr>
    </w:p>
    <w:p>
      <w:pPr>
        <w:rPr>
          <w:rFonts w:hint="eastAsia" w:hAnsi="宋体" w:eastAsia="宋体" w:cs="宋体"/>
          <w:sz w:val="24"/>
          <w:szCs w:val="24"/>
        </w:rPr>
      </w:pPr>
      <w:r>
        <w:rPr>
          <w:rFonts w:hint="eastAsia" w:hAnsi="宋体" w:eastAsia="宋体" w:cs="宋体"/>
          <w:sz w:val="24"/>
          <w:szCs w:val="24"/>
        </w:rPr>
        <w:br w:type="page"/>
      </w:r>
    </w:p>
    <w:p>
      <w:pPr>
        <w:pStyle w:val="19"/>
        <w:sectPr>
          <w:footerReference r:id="rId6" w:type="default"/>
          <w:pgSz w:w="16838" w:h="11906" w:orient="landscape"/>
          <w:pgMar w:top="1797" w:right="1440" w:bottom="1468" w:left="1440" w:header="851" w:footer="992" w:gutter="0"/>
          <w:cols w:space="0" w:num="1"/>
          <w:rtlGutter w:val="0"/>
          <w:docGrid w:type="lines" w:linePitch="320" w:charSpace="0"/>
        </w:sectPr>
      </w:pPr>
    </w:p>
    <w:p>
      <w:pPr>
        <w:pStyle w:val="19"/>
      </w:pPr>
    </w:p>
    <w:p>
      <w:pPr>
        <w:spacing w:line="360" w:lineRule="auto"/>
        <w:jc w:val="center"/>
        <w:rPr>
          <w:rFonts w:ascii="宋体" w:hAnsi="宋体" w:eastAsia="宋体" w:cs="宋体"/>
          <w:b/>
          <w:bCs/>
          <w:sz w:val="28"/>
          <w:szCs w:val="36"/>
        </w:rPr>
      </w:pPr>
      <w:r>
        <w:rPr>
          <w:rFonts w:hint="eastAsia" w:ascii="宋体" w:hAnsi="宋体" w:eastAsia="宋体" w:cs="宋体"/>
          <w:b/>
          <w:bCs/>
          <w:color w:val="000000"/>
          <w:sz w:val="30"/>
          <w:szCs w:val="30"/>
        </w:rPr>
        <mc:AlternateContent>
          <mc:Choice Requires="wps">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494915" cy="676275"/>
                <wp:effectExtent l="5080" t="4445" r="14605" b="5080"/>
                <wp:wrapNone/>
                <wp:docPr id="22" name="文本框 3"/>
                <wp:cNvGraphicFramePr/>
                <a:graphic xmlns:a="http://schemas.openxmlformats.org/drawingml/2006/main">
                  <a:graphicData uri="http://schemas.microsoft.com/office/word/2010/wordprocessingShape">
                    <wps:wsp>
                      <wps:cNvSpPr txBox="1"/>
                      <wps:spPr>
                        <a:xfrm>
                          <a:off x="0" y="0"/>
                          <a:ext cx="2494915" cy="676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rPr>
                              <w:t>议案</w:t>
                            </w:r>
                            <w:r>
                              <w:rPr>
                                <w:rFonts w:hint="eastAsia" w:ascii="宋体" w:hAnsi="宋体" w:eastAsia="宋体" w:cs="宋体"/>
                                <w:lang w:val="en-US" w:eastAsia="zh-CN"/>
                              </w:rPr>
                              <w:t>14</w:t>
                            </w:r>
                          </w:p>
                        </w:txbxContent>
                      </wps:txbx>
                      <wps:bodyPr wrap="square" upright="1"/>
                    </wps:wsp>
                  </a:graphicData>
                </a:graphic>
              </wp:anchor>
            </w:drawing>
          </mc:Choice>
          <mc:Fallback>
            <w:pict>
              <v:shape id="文本框 3" o:spid="_x0000_s1026" o:spt="202" type="#_x0000_t202" style="position:absolute;left:0pt;margin-left:0pt;margin-top:0pt;height:53.25pt;width:196.45pt;z-index:251680768;mso-width-relative:page;mso-height-relative:page;" fillcolor="#FFFFFF" filled="t" stroked="t" coordsize="21600,21600" o:gfxdata="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qIVwW1gAAAAUBAAAPAAAAAAAAAAEAIAAAACIAAABkcnMvZG93bnJldi54&#10;bWxQSwECFAAUAAAACACHTuJAKFyUN/wBAAD3AwAADgAAAAAAAAABACAAAAAlAQAAZHJzL2Uyb0Rv&#10;Yy54bWxQSwUGAAAAAAYABgBZAQAAkwU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rPr>
                        <w:t>议案</w:t>
                      </w:r>
                      <w:r>
                        <w:rPr>
                          <w:rFonts w:hint="eastAsia" w:ascii="宋体" w:hAnsi="宋体" w:eastAsia="宋体" w:cs="宋体"/>
                          <w:lang w:val="en-US" w:eastAsia="zh-CN"/>
                        </w:rPr>
                        <w:t>14</w:t>
                      </w:r>
                    </w:p>
                  </w:txbxContent>
                </v:textbox>
              </v:shape>
            </w:pict>
          </mc:Fallback>
        </mc:AlternateContent>
      </w:r>
    </w:p>
    <w:p>
      <w:pPr>
        <w:spacing w:line="360" w:lineRule="auto"/>
        <w:jc w:val="center"/>
        <w:rPr>
          <w:rFonts w:ascii="宋体" w:hAnsi="宋体" w:eastAsia="宋体" w:cs="宋体"/>
          <w:b/>
          <w:bCs/>
          <w:sz w:val="28"/>
          <w:szCs w:val="36"/>
        </w:rPr>
      </w:pPr>
    </w:p>
    <w:p>
      <w:pPr>
        <w:spacing w:line="360" w:lineRule="auto"/>
        <w:jc w:val="center"/>
        <w:outlineLvl w:val="0"/>
        <w:rPr>
          <w:rFonts w:ascii="宋体" w:hAnsi="宋体" w:eastAsia="宋体" w:cs="宋体"/>
          <w:bCs/>
          <w:color w:val="000000"/>
          <w:kern w:val="36"/>
          <w:sz w:val="24"/>
        </w:rPr>
      </w:pPr>
      <w:r>
        <w:rPr>
          <w:rFonts w:hint="eastAsia" w:ascii="宋体" w:hAnsi="宋体" w:eastAsia="宋体" w:cs="宋体"/>
          <w:b/>
          <w:bCs/>
          <w:sz w:val="28"/>
          <w:szCs w:val="36"/>
        </w:rPr>
        <w:t>厦门银行股份有限公司关于申请发行债券的议案</w:t>
      </w:r>
    </w:p>
    <w:p>
      <w:pPr>
        <w:snapToGrid w:val="0"/>
        <w:spacing w:line="360" w:lineRule="auto"/>
        <w:rPr>
          <w:rFonts w:hint="eastAsia" w:ascii="宋体" w:hAnsi="宋体" w:eastAsia="宋体" w:cs="宋体"/>
          <w:bCs/>
          <w:color w:val="000000"/>
          <w:kern w:val="36"/>
          <w:sz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sz w:val="24"/>
        </w:rPr>
      </w:pPr>
      <w:r>
        <w:rPr>
          <w:rFonts w:hint="eastAsia" w:ascii="宋体" w:hAnsi="宋体" w:eastAsia="宋体" w:cs="宋体"/>
          <w:bCs/>
          <w:color w:val="000000"/>
          <w:kern w:val="36"/>
          <w:sz w:val="24"/>
        </w:rPr>
        <w:t>尊敬的各位</w:t>
      </w:r>
      <w:r>
        <w:rPr>
          <w:rFonts w:hint="eastAsia" w:ascii="宋体" w:hAnsi="宋体" w:eastAsia="宋体" w:cs="宋体"/>
          <w:sz w:val="24"/>
        </w:rPr>
        <w:t>股东</w:t>
      </w:r>
      <w:r>
        <w:rPr>
          <w:rFonts w:hint="eastAsia" w:ascii="宋体" w:hAnsi="宋体" w:eastAsia="宋体" w:cs="宋体"/>
          <w:bCs/>
          <w:color w:val="000000"/>
          <w:kern w:val="36"/>
          <w:sz w:val="24"/>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为拓宽本行资本补充渠道，满足不断提高的资本监管要求，</w:t>
      </w:r>
      <w:r>
        <w:rPr>
          <w:rFonts w:hint="eastAsia" w:ascii="宋体" w:hAnsi="宋体" w:eastAsia="宋体" w:cs="宋体"/>
          <w:color w:val="000000"/>
          <w:kern w:val="0"/>
          <w:sz w:val="24"/>
          <w:szCs w:val="24"/>
          <w:lang w:val="en-US" w:eastAsia="zh-CN"/>
        </w:rPr>
        <w:t>持续</w:t>
      </w:r>
      <w:r>
        <w:rPr>
          <w:rFonts w:hint="eastAsia" w:ascii="宋体" w:hAnsi="宋体" w:eastAsia="宋体" w:cs="宋体"/>
          <w:color w:val="000000"/>
          <w:kern w:val="0"/>
          <w:sz w:val="24"/>
          <w:szCs w:val="24"/>
        </w:rPr>
        <w:t>优化中长期资产负债结构</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支持本行各项业务稳健发展并为支持实体经济提供必要保障，本行拟</w:t>
      </w:r>
      <w:r>
        <w:rPr>
          <w:rFonts w:hint="eastAsia" w:ascii="宋体" w:hAnsi="宋体" w:eastAsia="宋体" w:cs="宋体"/>
          <w:color w:val="000000"/>
          <w:kern w:val="0"/>
          <w:sz w:val="24"/>
          <w:szCs w:val="24"/>
          <w:lang w:val="en-US" w:eastAsia="zh-CN"/>
        </w:rPr>
        <w:t>在未来两年申请</w:t>
      </w:r>
      <w:r>
        <w:rPr>
          <w:rFonts w:hint="eastAsia" w:ascii="宋体" w:hAnsi="宋体" w:eastAsia="宋体" w:cs="宋体"/>
          <w:color w:val="000000"/>
          <w:kern w:val="0"/>
          <w:sz w:val="24"/>
          <w:szCs w:val="24"/>
        </w:rPr>
        <w:t>发行</w:t>
      </w:r>
      <w:r>
        <w:rPr>
          <w:rFonts w:hint="eastAsia" w:ascii="宋体" w:hAnsi="宋体" w:eastAsia="宋体" w:cs="宋体"/>
          <w:color w:val="000000"/>
          <w:kern w:val="0"/>
          <w:sz w:val="24"/>
          <w:szCs w:val="24"/>
          <w:lang w:val="en-US" w:eastAsia="zh-CN"/>
        </w:rPr>
        <w:t>总额不超过260亿元（含）的相关</w:t>
      </w:r>
      <w:r>
        <w:rPr>
          <w:rFonts w:hint="eastAsia" w:ascii="宋体" w:hAnsi="宋体" w:eastAsia="宋体" w:cs="宋体"/>
          <w:color w:val="000000"/>
          <w:kern w:val="0"/>
          <w:sz w:val="24"/>
          <w:szCs w:val="24"/>
        </w:rPr>
        <w:t>债券，包括</w:t>
      </w:r>
      <w:r>
        <w:rPr>
          <w:rFonts w:hint="eastAsia" w:ascii="宋体" w:hAnsi="宋体" w:eastAsia="宋体" w:cs="宋体"/>
          <w:color w:val="000000"/>
          <w:kern w:val="0"/>
          <w:sz w:val="24"/>
          <w:szCs w:val="24"/>
          <w:lang w:val="en-US" w:eastAsia="zh-CN"/>
        </w:rPr>
        <w:t>不超过180亿元（含，下同）的非资本补充债券、不超过80亿元（含，下同）资本补充债券</w:t>
      </w:r>
      <w:r>
        <w:rPr>
          <w:rFonts w:hint="eastAsia" w:ascii="宋体" w:hAnsi="宋体" w:eastAsia="宋体" w:cs="宋体"/>
          <w:color w:val="000000"/>
          <w:kern w:val="0"/>
          <w:sz w:val="24"/>
          <w:szCs w:val="24"/>
        </w:rPr>
        <w:t>，具体如下：</w:t>
      </w:r>
    </w:p>
    <w:p>
      <w:pPr>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bCs w:val="0"/>
          <w:color w:val="000000"/>
          <w:kern w:val="0"/>
          <w:sz w:val="24"/>
          <w:szCs w:val="24"/>
          <w:lang w:val="en-US" w:eastAsia="zh-CN"/>
        </w:rPr>
      </w:pPr>
      <w:r>
        <w:rPr>
          <w:rFonts w:hint="eastAsia" w:ascii="宋体" w:hAnsi="宋体" w:eastAsia="宋体" w:cs="宋体"/>
          <w:b/>
          <w:bCs w:val="0"/>
          <w:color w:val="000000"/>
          <w:kern w:val="0"/>
          <w:sz w:val="24"/>
          <w:szCs w:val="24"/>
          <w:lang w:val="en-US" w:eastAsia="zh-CN"/>
        </w:rPr>
        <w:t>非资本补充债券</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bCs w:val="0"/>
          <w:color w:val="000000"/>
          <w:kern w:val="0"/>
          <w:sz w:val="24"/>
          <w:szCs w:val="24"/>
          <w:lang w:val="en-US" w:eastAsia="zh-CN"/>
        </w:rPr>
      </w:pPr>
      <w:r>
        <w:rPr>
          <w:rFonts w:hint="eastAsia" w:ascii="宋体" w:hAnsi="宋体" w:eastAsia="宋体" w:cs="宋体"/>
          <w:b/>
          <w:bCs w:val="0"/>
          <w:color w:val="000000"/>
          <w:kern w:val="0"/>
          <w:sz w:val="24"/>
          <w:szCs w:val="24"/>
          <w:lang w:val="en-US" w:eastAsia="zh-CN"/>
        </w:rPr>
        <w:t>（一）必要性</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有利于本行支持</w:t>
      </w:r>
      <w:r>
        <w:rPr>
          <w:rFonts w:hint="eastAsia" w:ascii="宋体" w:hAnsi="宋体" w:eastAsia="宋体" w:cs="宋体"/>
          <w:color w:val="000000"/>
          <w:kern w:val="0"/>
          <w:sz w:val="24"/>
          <w:szCs w:val="24"/>
          <w:lang w:val="en-US" w:eastAsia="zh-CN"/>
        </w:rPr>
        <w:t>实体经济</w:t>
      </w:r>
      <w:r>
        <w:rPr>
          <w:rFonts w:hint="eastAsia" w:ascii="宋体" w:hAnsi="宋体" w:eastAsia="宋体" w:cs="宋体"/>
          <w:color w:val="000000"/>
          <w:kern w:val="0"/>
          <w:sz w:val="24"/>
          <w:szCs w:val="24"/>
        </w:rPr>
        <w:t>的发展</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通过金融债的发行</w:t>
      </w:r>
      <w:r>
        <w:rPr>
          <w:rFonts w:hint="eastAsia" w:ascii="宋体" w:hAnsi="宋体" w:eastAsia="宋体" w:cs="宋体"/>
          <w:color w:val="000000"/>
          <w:kern w:val="0"/>
          <w:sz w:val="24"/>
          <w:szCs w:val="24"/>
        </w:rPr>
        <w:t>将增强本行服务实体经济的资金实力，支持本行进一步加大对小型微型企业</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双创企业和绿色金融</w:t>
      </w:r>
      <w:r>
        <w:rPr>
          <w:rFonts w:hint="eastAsia" w:ascii="宋体" w:hAnsi="宋体" w:eastAsia="宋体" w:cs="宋体"/>
          <w:color w:val="000000"/>
          <w:kern w:val="0"/>
          <w:sz w:val="24"/>
          <w:szCs w:val="24"/>
        </w:rPr>
        <w:t>的金融服务力度，</w:t>
      </w:r>
      <w:r>
        <w:rPr>
          <w:rFonts w:hint="eastAsia" w:ascii="宋体" w:hAnsi="宋体" w:eastAsia="宋体" w:cs="宋体"/>
          <w:color w:val="000000"/>
          <w:kern w:val="0"/>
          <w:sz w:val="24"/>
          <w:szCs w:val="24"/>
          <w:lang w:val="en-US" w:eastAsia="zh-CN"/>
        </w:rPr>
        <w:t>构建服务实体经济</w:t>
      </w:r>
      <w:r>
        <w:rPr>
          <w:rFonts w:hint="eastAsia" w:ascii="宋体" w:hAnsi="宋体" w:eastAsia="宋体" w:cs="宋体"/>
          <w:color w:val="000000"/>
          <w:kern w:val="0"/>
          <w:sz w:val="24"/>
          <w:szCs w:val="24"/>
        </w:rPr>
        <w:t>的长效机制</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切实落实国家政策导向，树立本行良好的市场形象。</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有利于改善本行资产负债结构</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随着融资市场化和证券化程度不断提高，金融债券已成为改善商业银行负债结构的重要手段，本行有必要运用主动负债手段，以优化资产和负债的期限匹配。</w:t>
      </w:r>
      <w:r>
        <w:rPr>
          <w:rFonts w:hint="eastAsia" w:ascii="宋体" w:hAnsi="宋体" w:eastAsia="宋体" w:cs="宋体"/>
          <w:color w:val="000000"/>
          <w:kern w:val="0"/>
          <w:sz w:val="24"/>
          <w:szCs w:val="24"/>
          <w:lang w:val="en-US" w:eastAsia="zh-CN"/>
        </w:rPr>
        <w:t>金融债券的发行</w:t>
      </w:r>
      <w:r>
        <w:rPr>
          <w:rFonts w:hint="eastAsia" w:ascii="宋体" w:hAnsi="宋体" w:eastAsia="宋体" w:cs="宋体"/>
          <w:color w:val="000000"/>
          <w:kern w:val="0"/>
          <w:sz w:val="24"/>
          <w:szCs w:val="24"/>
        </w:rPr>
        <w:t>，将有效提升本行资产负债的期限匹配度，进一步降低潜在的利率及流动性风险，有利于稳定并改善本行资产负债的期限配置结构，增强经营的主动性和灵活性，提高流动性调控能力。</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有利于稳定中长期资金来源</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0"/>
        <w:rPr>
          <w:rFonts w:hint="eastAsia" w:ascii="宋体" w:hAnsi="宋体" w:eastAsia="宋体" w:cs="宋体"/>
          <w:b/>
          <w:color w:val="000000"/>
          <w:kern w:val="0"/>
          <w:sz w:val="24"/>
          <w:szCs w:val="24"/>
        </w:rPr>
      </w:pPr>
      <w:r>
        <w:rPr>
          <w:rFonts w:hint="eastAsia" w:ascii="宋体" w:hAnsi="宋体" w:eastAsia="宋体" w:cs="宋体"/>
          <w:color w:val="000000"/>
          <w:kern w:val="0"/>
          <w:sz w:val="24"/>
          <w:szCs w:val="24"/>
          <w:lang w:val="en-US" w:eastAsia="zh-CN"/>
        </w:rPr>
        <w:t>顺应资本市场融资的发展趋势，</w:t>
      </w:r>
      <w:r>
        <w:rPr>
          <w:rFonts w:hint="eastAsia" w:ascii="宋体" w:hAnsi="宋体" w:eastAsia="宋体" w:cs="宋体"/>
          <w:color w:val="000000"/>
          <w:kern w:val="0"/>
          <w:sz w:val="24"/>
          <w:szCs w:val="24"/>
        </w:rPr>
        <w:t>本行借助金融债券，可进一步拓宽本行资金渠道，形成多元化融资结构，</w:t>
      </w:r>
      <w:r>
        <w:rPr>
          <w:rFonts w:hint="eastAsia" w:ascii="宋体" w:hAnsi="宋体" w:eastAsia="宋体" w:cs="宋体"/>
          <w:color w:val="000000"/>
          <w:kern w:val="0"/>
          <w:sz w:val="24"/>
          <w:szCs w:val="24"/>
          <w:lang w:val="en-US" w:eastAsia="zh-CN"/>
        </w:rPr>
        <w:t>逐步建立并完善长期、稳定的市场化主动负债融资渠道。发行金融债券</w:t>
      </w:r>
      <w:r>
        <w:rPr>
          <w:rFonts w:hint="eastAsia" w:ascii="宋体" w:hAnsi="宋体" w:eastAsia="宋体" w:cs="宋体"/>
          <w:color w:val="000000"/>
          <w:kern w:val="0"/>
          <w:sz w:val="24"/>
          <w:szCs w:val="24"/>
        </w:rPr>
        <w:t>将在一定程度上稳定中长期资金来源，提高本行负债管理的主动权，为中长期小微企业贷款业务</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绿色金融项目等</w:t>
      </w:r>
      <w:r>
        <w:rPr>
          <w:rFonts w:hint="eastAsia" w:ascii="宋体" w:hAnsi="宋体" w:eastAsia="宋体" w:cs="宋体"/>
          <w:color w:val="000000"/>
          <w:kern w:val="0"/>
          <w:sz w:val="24"/>
          <w:szCs w:val="24"/>
        </w:rPr>
        <w:t>提供稳定资金，切实加强对</w:t>
      </w:r>
      <w:r>
        <w:rPr>
          <w:rFonts w:hint="eastAsia" w:ascii="宋体" w:hAnsi="宋体" w:eastAsia="宋体" w:cs="宋体"/>
          <w:color w:val="000000"/>
          <w:kern w:val="0"/>
          <w:sz w:val="24"/>
          <w:szCs w:val="24"/>
          <w:lang w:val="en-US" w:eastAsia="zh-CN"/>
        </w:rPr>
        <w:t>实体经济</w:t>
      </w:r>
      <w:r>
        <w:rPr>
          <w:rFonts w:hint="eastAsia" w:ascii="宋体" w:hAnsi="宋体" w:eastAsia="宋体" w:cs="宋体"/>
          <w:color w:val="000000"/>
          <w:kern w:val="0"/>
          <w:sz w:val="24"/>
          <w:szCs w:val="24"/>
        </w:rPr>
        <w:t>的信贷支持，改善其经营环境和融资环境，推动</w:t>
      </w:r>
      <w:r>
        <w:rPr>
          <w:rFonts w:hint="eastAsia" w:ascii="宋体" w:hAnsi="宋体" w:eastAsia="宋体" w:cs="宋体"/>
          <w:color w:val="000000"/>
          <w:kern w:val="0"/>
          <w:sz w:val="24"/>
          <w:szCs w:val="24"/>
          <w:lang w:val="en-US" w:eastAsia="zh-CN"/>
        </w:rPr>
        <w:t>实体经济</w:t>
      </w:r>
      <w:r>
        <w:rPr>
          <w:rFonts w:hint="eastAsia" w:ascii="宋体" w:hAnsi="宋体" w:eastAsia="宋体" w:cs="宋体"/>
          <w:color w:val="000000"/>
          <w:kern w:val="0"/>
          <w:sz w:val="24"/>
          <w:szCs w:val="24"/>
        </w:rPr>
        <w:t>有序发展。</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0"/>
        <w:rPr>
          <w:rFonts w:hint="eastAsia" w:ascii="宋体" w:hAnsi="宋体" w:eastAsia="宋体" w:cs="宋体"/>
          <w:b/>
          <w:color w:val="000000"/>
          <w:kern w:val="0"/>
          <w:sz w:val="24"/>
          <w:szCs w:val="24"/>
        </w:rPr>
      </w:pPr>
      <w:r>
        <w:rPr>
          <w:rFonts w:hint="eastAsia" w:ascii="宋体" w:hAnsi="宋体" w:eastAsia="宋体" w:cs="宋体"/>
          <w:b/>
          <w:color w:val="000000"/>
          <w:kern w:val="0"/>
          <w:sz w:val="24"/>
          <w:szCs w:val="24"/>
          <w:lang w:eastAsia="zh-CN"/>
        </w:rPr>
        <w:t>（</w:t>
      </w:r>
      <w:r>
        <w:rPr>
          <w:rFonts w:hint="eastAsia" w:ascii="宋体" w:hAnsi="宋体" w:eastAsia="宋体" w:cs="宋体"/>
          <w:b/>
          <w:color w:val="000000"/>
          <w:kern w:val="0"/>
          <w:sz w:val="24"/>
          <w:szCs w:val="24"/>
          <w:lang w:val="en-US" w:eastAsia="zh-CN"/>
        </w:rPr>
        <w:t>二</w:t>
      </w:r>
      <w:r>
        <w:rPr>
          <w:rFonts w:hint="eastAsia" w:ascii="宋体" w:hAnsi="宋体" w:eastAsia="宋体" w:cs="宋体"/>
          <w:b/>
          <w:color w:val="000000"/>
          <w:kern w:val="0"/>
          <w:sz w:val="24"/>
          <w:szCs w:val="24"/>
          <w:lang w:eastAsia="zh-CN"/>
        </w:rPr>
        <w:t>）</w:t>
      </w:r>
      <w:r>
        <w:rPr>
          <w:rFonts w:hint="eastAsia" w:ascii="宋体" w:hAnsi="宋体" w:eastAsia="宋体" w:cs="宋体"/>
          <w:b/>
          <w:color w:val="000000"/>
          <w:kern w:val="0"/>
          <w:sz w:val="24"/>
          <w:szCs w:val="24"/>
        </w:rPr>
        <w:t>发行方案</w:t>
      </w:r>
    </w:p>
    <w:p>
      <w:pPr>
        <w:pStyle w:val="2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1.</w:t>
      </w:r>
      <w:r>
        <w:rPr>
          <w:rFonts w:hint="eastAsia" w:ascii="宋体" w:hAnsi="宋体" w:eastAsia="宋体" w:cs="宋体"/>
          <w:bCs/>
          <w:sz w:val="24"/>
          <w:szCs w:val="24"/>
        </w:rPr>
        <w:t>发行规模：本次计划发行合计不超过</w:t>
      </w:r>
      <w:r>
        <w:rPr>
          <w:rFonts w:hint="eastAsia" w:ascii="宋体" w:hAnsi="宋体" w:eastAsia="宋体" w:cs="宋体"/>
          <w:bCs/>
          <w:sz w:val="24"/>
          <w:szCs w:val="24"/>
          <w:lang w:val="en-US" w:eastAsia="zh-CN"/>
        </w:rPr>
        <w:t>180</w:t>
      </w:r>
      <w:r>
        <w:rPr>
          <w:rFonts w:hint="eastAsia" w:ascii="宋体" w:hAnsi="宋体" w:eastAsia="宋体" w:cs="宋体"/>
          <w:bCs/>
          <w:sz w:val="24"/>
          <w:szCs w:val="24"/>
        </w:rPr>
        <w:t>亿元</w:t>
      </w:r>
      <w:r>
        <w:rPr>
          <w:rFonts w:hint="eastAsia" w:ascii="宋体" w:hAnsi="宋体" w:eastAsia="宋体" w:cs="宋体"/>
          <w:bCs/>
          <w:sz w:val="24"/>
          <w:szCs w:val="24"/>
          <w:lang w:eastAsia="zh-CN"/>
        </w:rPr>
        <w:t>（</w:t>
      </w:r>
      <w:r>
        <w:rPr>
          <w:rFonts w:hint="eastAsia" w:ascii="宋体" w:hAnsi="宋体" w:eastAsia="宋体" w:cs="宋体"/>
          <w:bCs/>
          <w:sz w:val="24"/>
          <w:szCs w:val="24"/>
          <w:lang w:val="en-US" w:eastAsia="zh-CN"/>
        </w:rPr>
        <w:t>含正在向监管部门申请的60亿元小微金融债</w:t>
      </w:r>
      <w:r>
        <w:rPr>
          <w:rStyle w:val="18"/>
          <w:rFonts w:hint="eastAsia" w:ascii="宋体" w:hAnsi="宋体" w:eastAsia="宋体" w:cs="宋体"/>
          <w:bCs/>
          <w:sz w:val="24"/>
          <w:szCs w:val="24"/>
          <w:lang w:val="en-US" w:eastAsia="zh-CN"/>
        </w:rPr>
        <w:footnoteReference w:id="5"/>
      </w:r>
      <w:r>
        <w:rPr>
          <w:rFonts w:hint="eastAsia" w:ascii="宋体" w:hAnsi="宋体" w:eastAsia="宋体" w:cs="宋体"/>
          <w:bCs/>
          <w:sz w:val="24"/>
          <w:szCs w:val="24"/>
          <w:lang w:val="en-US" w:eastAsia="zh-CN"/>
        </w:rPr>
        <w:t>）</w:t>
      </w:r>
      <w:r>
        <w:rPr>
          <w:rFonts w:hint="eastAsia" w:ascii="宋体" w:hAnsi="宋体" w:eastAsia="宋体" w:cs="宋体"/>
          <w:bCs/>
          <w:sz w:val="24"/>
          <w:szCs w:val="24"/>
        </w:rPr>
        <w:t>，根据本行资金需求以及市场情况可分次提出申请及分期发行。</w:t>
      </w:r>
    </w:p>
    <w:p>
      <w:pPr>
        <w:pStyle w:val="2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2.</w:t>
      </w:r>
      <w:r>
        <w:rPr>
          <w:rFonts w:hint="eastAsia" w:ascii="宋体" w:hAnsi="宋体" w:eastAsia="宋体" w:cs="宋体"/>
          <w:bCs/>
          <w:sz w:val="24"/>
          <w:szCs w:val="24"/>
        </w:rPr>
        <w:t>发行品种：债券品种包括但不限于普通金融债、小微金融债、创新创业金融债、绿色金融债等用于非补充资本的金融债券。</w:t>
      </w:r>
    </w:p>
    <w:p>
      <w:pPr>
        <w:pStyle w:val="2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3.</w:t>
      </w:r>
      <w:r>
        <w:rPr>
          <w:rFonts w:hint="eastAsia" w:ascii="宋体" w:hAnsi="宋体" w:eastAsia="宋体" w:cs="宋体"/>
          <w:bCs/>
          <w:sz w:val="24"/>
          <w:szCs w:val="24"/>
        </w:rPr>
        <w:t>债券期限：单只债券期限不超过5年（含）。</w:t>
      </w:r>
    </w:p>
    <w:p>
      <w:pPr>
        <w:pStyle w:val="2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4.</w:t>
      </w:r>
      <w:r>
        <w:rPr>
          <w:rFonts w:hint="eastAsia" w:ascii="宋体" w:hAnsi="宋体" w:eastAsia="宋体" w:cs="宋体"/>
          <w:bCs/>
          <w:sz w:val="24"/>
          <w:szCs w:val="24"/>
        </w:rPr>
        <w:t>发行利率：根据发行时的市场状况，参照市场利率，结合发行方式确定。具体利率根据发行时的具体情况确定。</w:t>
      </w:r>
    </w:p>
    <w:p>
      <w:pPr>
        <w:pStyle w:val="2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5.</w:t>
      </w:r>
      <w:r>
        <w:rPr>
          <w:rFonts w:hint="eastAsia" w:ascii="宋体" w:hAnsi="宋体" w:eastAsia="宋体" w:cs="宋体"/>
          <w:bCs/>
          <w:sz w:val="24"/>
          <w:szCs w:val="24"/>
        </w:rPr>
        <w:t>募集资金用途：募集资金将依据适用法律法规和监管部门的批准使用。普通金融债券募集资金依据适用法律法规和监管部门的批准用于优化本行资产负债结构，补充运营资金；小微金融债用于小型微型企业贷款，为小微企业提供金融服务；创新创业金融债券用于创新创业领域贷款，支持创新创业金融业务发展；绿色金融债用于绿色产业项目；监管政策规定的其他金融债券品种，依据规定使用募集资金。</w:t>
      </w:r>
      <w:r>
        <w:rPr>
          <w:rFonts w:hint="eastAsia" w:ascii="宋体" w:hAnsi="宋体" w:eastAsia="宋体" w:cs="宋体"/>
          <w:color w:val="000000"/>
          <w:kern w:val="0"/>
          <w:sz w:val="24"/>
          <w:szCs w:val="24"/>
        </w:rPr>
        <w:t>如监管政策对资金募集用途进行调整则以发行时有效的政策法规为准。</w:t>
      </w:r>
    </w:p>
    <w:p>
      <w:pPr>
        <w:pStyle w:val="2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80" w:firstLineChars="200"/>
        <w:textAlignment w:val="auto"/>
        <w:rPr>
          <w:rFonts w:hint="eastAsia" w:ascii="宋体" w:hAnsi="宋体" w:eastAsia="宋体" w:cs="宋体"/>
          <w:bCs/>
          <w:sz w:val="24"/>
          <w:szCs w:val="24"/>
        </w:rPr>
      </w:pPr>
      <w:r>
        <w:rPr>
          <w:rFonts w:hint="eastAsia" w:ascii="宋体" w:hAnsi="宋体" w:eastAsia="宋体" w:cs="宋体"/>
          <w:color w:val="000000"/>
          <w:kern w:val="0"/>
          <w:sz w:val="24"/>
          <w:szCs w:val="24"/>
          <w:lang w:val="en-US" w:eastAsia="zh-CN"/>
        </w:rPr>
        <w:t>6.</w:t>
      </w:r>
      <w:r>
        <w:rPr>
          <w:rFonts w:hint="eastAsia" w:ascii="宋体" w:hAnsi="宋体" w:eastAsia="宋体" w:cs="宋体"/>
          <w:color w:val="000000"/>
          <w:kern w:val="0"/>
          <w:sz w:val="24"/>
          <w:szCs w:val="24"/>
        </w:rPr>
        <w:t>有关决议有效期：本行根据上述发行方案向监管部门申请发行金融债券的有效期自股东大会批准之日起</w:t>
      </w:r>
      <w:r>
        <w:rPr>
          <w:rFonts w:hint="eastAsia" w:ascii="宋体" w:hAnsi="宋体" w:eastAsia="宋体" w:cs="宋体"/>
          <w:color w:val="000000"/>
          <w:kern w:val="0"/>
          <w:sz w:val="24"/>
          <w:szCs w:val="24"/>
          <w:lang w:val="en-US" w:eastAsia="zh-CN"/>
        </w:rPr>
        <w:t>24</w:t>
      </w:r>
      <w:r>
        <w:rPr>
          <w:rFonts w:hint="eastAsia" w:ascii="宋体" w:hAnsi="宋体" w:eastAsia="宋体" w:cs="宋体"/>
          <w:color w:val="000000"/>
          <w:kern w:val="0"/>
          <w:sz w:val="24"/>
          <w:szCs w:val="24"/>
        </w:rPr>
        <w:t>个月内有效，金融债券发行工作可于监管部门批准的期限内进行。</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color w:val="000000"/>
          <w:kern w:val="0"/>
          <w:sz w:val="24"/>
          <w:szCs w:val="24"/>
        </w:rPr>
      </w:pPr>
      <w:r>
        <w:rPr>
          <w:rFonts w:hint="eastAsia" w:ascii="宋体" w:hAnsi="宋体" w:eastAsia="宋体" w:cs="宋体"/>
          <w:b/>
          <w:color w:val="000000"/>
          <w:kern w:val="0"/>
          <w:sz w:val="24"/>
          <w:szCs w:val="24"/>
          <w:lang w:eastAsia="zh-CN"/>
        </w:rPr>
        <w:t>（</w:t>
      </w:r>
      <w:r>
        <w:rPr>
          <w:rFonts w:hint="eastAsia" w:ascii="宋体" w:hAnsi="宋体" w:eastAsia="宋体" w:cs="宋体"/>
          <w:b/>
          <w:color w:val="000000"/>
          <w:kern w:val="0"/>
          <w:sz w:val="24"/>
          <w:szCs w:val="24"/>
          <w:lang w:val="en-US" w:eastAsia="zh-CN"/>
        </w:rPr>
        <w:t>三）</w:t>
      </w:r>
      <w:r>
        <w:rPr>
          <w:rFonts w:hint="eastAsia" w:ascii="宋体" w:hAnsi="宋体" w:eastAsia="宋体" w:cs="宋体"/>
          <w:b/>
          <w:color w:val="000000"/>
          <w:kern w:val="0"/>
          <w:sz w:val="24"/>
          <w:szCs w:val="24"/>
        </w:rPr>
        <w:t>授权事项</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鉴于金融债券发行存在发行时间和市场环境不确定等因素，为保证本次金融债券发行及后续有关事宜的顺利进行，提高决策效率、把握市场时机，特提请股东大会授权董事会、董事会授权本行经营管理层：</w:t>
      </w:r>
    </w:p>
    <w:p>
      <w:pPr>
        <w:pStyle w:val="2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在股东大会批准的方案范围内，办理上述金融债券发行业务的相关具体事宜，包括但不限于聘请中介机构；办理债券申报、发行、交易流通及上市；在中国人民银行、</w:t>
      </w:r>
      <w:r>
        <w:rPr>
          <w:rFonts w:hint="eastAsia" w:ascii="宋体" w:hAnsi="宋体" w:eastAsia="宋体" w:cs="宋体"/>
          <w:color w:val="000000"/>
          <w:kern w:val="0"/>
          <w:sz w:val="24"/>
          <w:szCs w:val="24"/>
          <w:lang w:val="en-US" w:eastAsia="zh-CN"/>
        </w:rPr>
        <w:t>中国银保监会</w:t>
      </w:r>
      <w:r>
        <w:rPr>
          <w:rFonts w:hint="eastAsia" w:ascii="宋体" w:hAnsi="宋体" w:eastAsia="宋体" w:cs="宋体"/>
          <w:color w:val="000000"/>
          <w:kern w:val="0"/>
          <w:sz w:val="24"/>
          <w:szCs w:val="24"/>
        </w:rPr>
        <w:t>允许的范围内，根据监管部门的要求或债券发行时的具体情况，在股东大会确定的发行方案范围内对发行条款作适当的调整（包括但不限于债券发行品种、发行金额、发行时点、发行期限、发行利率、发行方式、募集资金用途等），及与本次金融债券发行相关的其他事宜；</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上述授权期限自股东大会决议通过之日起</w:t>
      </w:r>
      <w:r>
        <w:rPr>
          <w:rFonts w:hint="eastAsia" w:ascii="宋体" w:hAnsi="宋体" w:eastAsia="宋体" w:cs="宋体"/>
          <w:color w:val="000000"/>
          <w:kern w:val="0"/>
          <w:sz w:val="24"/>
          <w:szCs w:val="24"/>
          <w:lang w:val="en-US" w:eastAsia="zh-CN"/>
        </w:rPr>
        <w:t>24</w:t>
      </w:r>
      <w:r>
        <w:rPr>
          <w:rFonts w:hint="eastAsia" w:ascii="宋体" w:hAnsi="宋体" w:eastAsia="宋体" w:cs="宋体"/>
          <w:color w:val="000000"/>
          <w:kern w:val="0"/>
          <w:sz w:val="24"/>
          <w:szCs w:val="24"/>
        </w:rPr>
        <w:t>个月内有效。</w:t>
      </w:r>
    </w:p>
    <w:p>
      <w:pPr>
        <w:pStyle w:val="2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在债券存续期按监管要求处理与债券发行相关的信息披露、付息及赎回事宜等。</w:t>
      </w:r>
    </w:p>
    <w:p>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000000"/>
          <w:kern w:val="0"/>
          <w:sz w:val="24"/>
          <w:szCs w:val="24"/>
        </w:rPr>
      </w:pPr>
    </w:p>
    <w:p>
      <w:pPr>
        <w:keepNext w:val="0"/>
        <w:keepLines w:val="0"/>
        <w:pageBreakBefore w:val="0"/>
        <w:widowControl w:val="0"/>
        <w:numPr>
          <w:ilvl w:val="0"/>
          <w:numId w:val="19"/>
        </w:numPr>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bCs w:val="0"/>
          <w:color w:val="000000"/>
          <w:kern w:val="0"/>
          <w:sz w:val="24"/>
          <w:szCs w:val="24"/>
          <w:lang w:val="en-US" w:eastAsia="zh-CN"/>
        </w:rPr>
      </w:pPr>
      <w:r>
        <w:rPr>
          <w:rFonts w:hint="eastAsia" w:ascii="宋体" w:hAnsi="宋体" w:eastAsia="宋体" w:cs="宋体"/>
          <w:b/>
          <w:bCs w:val="0"/>
          <w:color w:val="000000"/>
          <w:kern w:val="0"/>
          <w:sz w:val="24"/>
          <w:szCs w:val="24"/>
          <w:lang w:val="en-US" w:eastAsia="zh-CN"/>
        </w:rPr>
        <w:t>资本补充债券</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color w:val="000000"/>
          <w:kern w:val="0"/>
          <w:sz w:val="24"/>
          <w:szCs w:val="24"/>
        </w:rPr>
      </w:pPr>
      <w:r>
        <w:rPr>
          <w:rFonts w:hint="eastAsia" w:ascii="宋体" w:hAnsi="宋体" w:eastAsia="宋体" w:cs="宋体"/>
          <w:b/>
          <w:color w:val="000000"/>
          <w:kern w:val="0"/>
          <w:sz w:val="24"/>
          <w:szCs w:val="24"/>
          <w:lang w:val="en-US" w:eastAsia="zh-CN"/>
        </w:rPr>
        <w:t>（一）</w:t>
      </w:r>
      <w:r>
        <w:rPr>
          <w:rFonts w:hint="eastAsia" w:ascii="宋体" w:hAnsi="宋体" w:eastAsia="宋体" w:cs="宋体"/>
          <w:b/>
          <w:color w:val="000000"/>
          <w:kern w:val="0"/>
          <w:sz w:val="24"/>
          <w:szCs w:val="24"/>
        </w:rPr>
        <w:t>必要性</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1.补充资本</w:t>
      </w:r>
      <w:r>
        <w:rPr>
          <w:rFonts w:hint="eastAsia" w:ascii="宋体" w:hAnsi="宋体" w:eastAsia="宋体" w:cs="宋体"/>
          <w:color w:val="000000"/>
          <w:kern w:val="0"/>
          <w:sz w:val="24"/>
          <w:szCs w:val="24"/>
        </w:rPr>
        <w:t>达到监管需求，满足自身发展需要</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Cs/>
          <w:sz w:val="24"/>
          <w:szCs w:val="24"/>
        </w:rPr>
      </w:pPr>
      <w:r>
        <w:rPr>
          <w:rFonts w:hint="eastAsia" w:ascii="宋体" w:hAnsi="宋体" w:eastAsia="宋体" w:cs="宋体"/>
          <w:color w:val="000000"/>
          <w:kern w:val="0"/>
          <w:sz w:val="24"/>
          <w:szCs w:val="24"/>
        </w:rPr>
        <w:t>201</w:t>
      </w: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年</w:t>
      </w:r>
      <w:r>
        <w:rPr>
          <w:rFonts w:hint="eastAsia" w:ascii="宋体" w:hAnsi="宋体" w:eastAsia="宋体" w:cs="宋体"/>
          <w:color w:val="000000"/>
          <w:kern w:val="0"/>
          <w:sz w:val="24"/>
          <w:szCs w:val="24"/>
          <w:lang w:val="en-US" w:eastAsia="zh-CN"/>
        </w:rPr>
        <w:t>1月1日，</w:t>
      </w:r>
      <w:r>
        <w:rPr>
          <w:rFonts w:hint="eastAsia" w:ascii="宋体" w:hAnsi="宋体" w:eastAsia="宋体" w:cs="宋体"/>
          <w:color w:val="000000"/>
          <w:kern w:val="0"/>
          <w:sz w:val="24"/>
          <w:szCs w:val="24"/>
        </w:rPr>
        <w:t>《商业银行资本管理办法（试行）》</w:t>
      </w:r>
      <w:r>
        <w:rPr>
          <w:rFonts w:hint="eastAsia" w:ascii="宋体" w:hAnsi="宋体" w:eastAsia="宋体" w:cs="宋体"/>
          <w:color w:val="000000"/>
          <w:kern w:val="0"/>
          <w:sz w:val="24"/>
          <w:szCs w:val="24"/>
          <w:lang w:val="en-US" w:eastAsia="zh-CN"/>
        </w:rPr>
        <w:t>正式施行</w:t>
      </w:r>
      <w:r>
        <w:rPr>
          <w:rFonts w:hint="eastAsia" w:ascii="宋体" w:hAnsi="宋体" w:eastAsia="宋体" w:cs="宋体"/>
          <w:color w:val="000000"/>
          <w:kern w:val="0"/>
          <w:sz w:val="24"/>
          <w:szCs w:val="24"/>
        </w:rPr>
        <w:t>，要求商业银行核心一级资本充足率不低于7.5%，一级资本充足率不低于8.5%</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资本充足率不低于10.5%</w:t>
      </w:r>
      <w:r>
        <w:rPr>
          <w:rFonts w:hint="eastAsia" w:ascii="宋体" w:hAnsi="宋体" w:eastAsia="宋体" w:cs="宋体"/>
          <w:color w:val="000000"/>
          <w:kern w:val="0"/>
          <w:sz w:val="24"/>
          <w:szCs w:val="24"/>
        </w:rPr>
        <w:t>。</w:t>
      </w:r>
      <w:r>
        <w:rPr>
          <w:rFonts w:hint="eastAsia" w:ascii="宋体" w:hAnsi="宋体" w:eastAsia="宋体" w:cs="宋体"/>
          <w:bCs/>
          <w:sz w:val="24"/>
          <w:szCs w:val="24"/>
        </w:rPr>
        <w:t>为确保本行始终保持适应的资本水平，有效支撑本行各类业务发展，</w:t>
      </w:r>
      <w:r>
        <w:rPr>
          <w:rFonts w:hint="eastAsia" w:ascii="宋体" w:hAnsi="宋体" w:eastAsia="宋体" w:cs="宋体"/>
          <w:bCs/>
          <w:sz w:val="24"/>
          <w:szCs w:val="24"/>
          <w:lang w:val="en-US" w:eastAsia="zh-CN"/>
        </w:rPr>
        <w:t>本行拟发行资本补充债券补充资本，为业务发展提供充足的资本支持</w:t>
      </w:r>
      <w:r>
        <w:rPr>
          <w:rFonts w:hint="eastAsia" w:ascii="宋体" w:hAnsi="宋体" w:eastAsia="宋体" w:cs="宋体"/>
          <w:bCs/>
          <w:sz w:val="24"/>
          <w:szCs w:val="24"/>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color w:val="000000"/>
          <w:kern w:val="0"/>
          <w:sz w:val="24"/>
          <w:szCs w:val="24"/>
        </w:rPr>
      </w:pPr>
      <w:r>
        <w:rPr>
          <w:rFonts w:hint="eastAsia" w:ascii="宋体" w:hAnsi="宋体" w:eastAsia="宋体" w:cs="宋体"/>
          <w:bCs/>
          <w:sz w:val="24"/>
          <w:szCs w:val="24"/>
          <w:lang w:val="en-US" w:eastAsia="zh-CN"/>
        </w:rPr>
        <w:t>2.优化资本构成，构建市场化融资渠道</w:t>
      </w:r>
      <w:r>
        <w:rPr>
          <w:rFonts w:hint="eastAsia" w:ascii="宋体" w:hAnsi="宋体" w:eastAsia="宋体" w:cs="宋体"/>
          <w:b/>
          <w:color w:val="000000"/>
          <w:kern w:val="0"/>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color w:val="000000"/>
          <w:kern w:val="0"/>
          <w:sz w:val="24"/>
          <w:szCs w:val="24"/>
          <w:lang w:val="en-US" w:eastAsia="zh-CN"/>
        </w:rPr>
      </w:pPr>
      <w:r>
        <w:rPr>
          <w:rFonts w:hint="eastAsia" w:ascii="宋体" w:hAnsi="宋体" w:eastAsia="宋体" w:cs="宋体"/>
          <w:b w:val="0"/>
          <w:bCs/>
          <w:color w:val="000000"/>
          <w:kern w:val="0"/>
          <w:sz w:val="24"/>
          <w:szCs w:val="24"/>
          <w:lang w:val="en-US" w:eastAsia="zh-CN"/>
        </w:rPr>
        <w:t>合理的资本结构对于提高商业银行的盈利能力了具有重要意义，发行无固定资本资本债和二级资本债有利于本行优化资本结构，分别补充一级资本和二级资本，实现多渠道的资本补充，进一步顺应市场融资趋势，建立长期稳定的市场化融资机制，实现可持续发展。</w:t>
      </w:r>
    </w:p>
    <w:p>
      <w:pPr>
        <w:keepNext w:val="0"/>
        <w:keepLines w:val="0"/>
        <w:pageBreakBefore w:val="0"/>
        <w:widowControl w:val="0"/>
        <w:kinsoku/>
        <w:wordWrap/>
        <w:overflowPunct/>
        <w:topLinePunct w:val="0"/>
        <w:autoSpaceDE/>
        <w:autoSpaceDN/>
        <w:bidi w:val="0"/>
        <w:adjustRightInd/>
        <w:snapToGrid w:val="0"/>
        <w:spacing w:line="360" w:lineRule="auto"/>
        <w:ind w:left="142" w:firstLine="480" w:firstLineChars="200"/>
        <w:textAlignment w:val="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3.优化负债、所有者权益结构，降低资金成本</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bCs w:val="0"/>
          <w:color w:val="000000"/>
          <w:kern w:val="0"/>
          <w:sz w:val="24"/>
          <w:szCs w:val="24"/>
          <w:lang w:val="en-US" w:eastAsia="zh-CN"/>
        </w:rPr>
      </w:pPr>
      <w:r>
        <w:rPr>
          <w:rFonts w:hint="eastAsia" w:ascii="宋体" w:hAnsi="宋体" w:eastAsia="宋体" w:cs="宋体"/>
          <w:bCs/>
          <w:sz w:val="24"/>
          <w:szCs w:val="24"/>
          <w:lang w:val="en-US" w:eastAsia="zh-CN"/>
        </w:rPr>
        <w:t>发行</w:t>
      </w:r>
      <w:r>
        <w:rPr>
          <w:rFonts w:hint="eastAsia" w:ascii="宋体" w:hAnsi="宋体" w:eastAsia="宋体" w:cs="宋体"/>
          <w:color w:val="000000"/>
          <w:sz w:val="24"/>
          <w:szCs w:val="24"/>
        </w:rPr>
        <w:t>无固定期限资本债券和二级资本债券</w:t>
      </w:r>
      <w:r>
        <w:rPr>
          <w:rFonts w:hint="eastAsia" w:ascii="宋体" w:hAnsi="宋体" w:eastAsia="宋体" w:cs="宋体"/>
          <w:color w:val="000000"/>
          <w:sz w:val="24"/>
          <w:szCs w:val="24"/>
          <w:lang w:val="en-US" w:eastAsia="zh-CN"/>
        </w:rPr>
        <w:t>有助于本行募集长期稳定的资金，丰富本行资金来源，有利于优化本行资产负债的期限配置结构，提高流动性调控能力。同时，通过发行时点的选择，控制本行债券发行成本，做好存量资本债券的衔接，降低本行资金成本</w:t>
      </w:r>
      <w:r>
        <w:rPr>
          <w:rFonts w:hint="eastAsia" w:ascii="宋体" w:hAnsi="宋体" w:eastAsia="宋体" w:cs="宋体"/>
          <w:bCs/>
          <w:sz w:val="24"/>
          <w:szCs w:val="24"/>
        </w:rPr>
        <w:t>。</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color w:val="000000"/>
          <w:kern w:val="0"/>
          <w:sz w:val="24"/>
          <w:szCs w:val="24"/>
          <w:lang w:val="en-US" w:eastAsia="zh-CN"/>
        </w:rPr>
      </w:pPr>
      <w:r>
        <w:rPr>
          <w:rFonts w:hint="eastAsia" w:ascii="宋体" w:hAnsi="宋体" w:eastAsia="宋体" w:cs="宋体"/>
          <w:b/>
          <w:color w:val="000000"/>
          <w:kern w:val="0"/>
          <w:sz w:val="24"/>
          <w:szCs w:val="24"/>
          <w:lang w:val="en-US" w:eastAsia="zh-CN"/>
        </w:rPr>
        <w:t>（二）发行方案</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根据本行业务发展和战略发展的需求，本行拟发行合计不超过</w:t>
      </w:r>
      <w:r>
        <w:rPr>
          <w:rFonts w:hint="eastAsia" w:ascii="宋体" w:hAnsi="宋体" w:eastAsia="宋体" w:cs="宋体"/>
          <w:bCs/>
          <w:sz w:val="24"/>
          <w:szCs w:val="24"/>
          <w:lang w:val="en-US" w:eastAsia="zh-CN"/>
        </w:rPr>
        <w:t>80</w:t>
      </w:r>
      <w:r>
        <w:rPr>
          <w:rFonts w:hint="eastAsia" w:ascii="宋体" w:hAnsi="宋体" w:eastAsia="宋体" w:cs="宋体"/>
          <w:bCs/>
          <w:sz w:val="24"/>
          <w:szCs w:val="24"/>
        </w:rPr>
        <w:t>亿元资本补充债券，其中发行无固定期限资本债券不超过40亿</w:t>
      </w:r>
      <w:r>
        <w:rPr>
          <w:rFonts w:hint="eastAsia" w:ascii="宋体" w:hAnsi="宋体" w:eastAsia="宋体" w:cs="宋体"/>
          <w:bCs/>
          <w:sz w:val="24"/>
          <w:szCs w:val="24"/>
          <w:lang w:eastAsia="zh-CN"/>
        </w:rPr>
        <w:t>（</w:t>
      </w:r>
      <w:r>
        <w:rPr>
          <w:rFonts w:hint="eastAsia" w:ascii="宋体" w:hAnsi="宋体" w:eastAsia="宋体" w:cs="宋体"/>
          <w:bCs/>
          <w:sz w:val="24"/>
          <w:szCs w:val="24"/>
          <w:lang w:val="en-US" w:eastAsia="zh-CN"/>
        </w:rPr>
        <w:t>含）</w:t>
      </w:r>
      <w:r>
        <w:rPr>
          <w:rFonts w:hint="eastAsia" w:ascii="宋体" w:hAnsi="宋体" w:eastAsia="宋体" w:cs="宋体"/>
          <w:bCs/>
          <w:sz w:val="24"/>
          <w:szCs w:val="24"/>
        </w:rPr>
        <w:t>，具体发行方案如下：</w:t>
      </w:r>
    </w:p>
    <w:p>
      <w:pPr>
        <w:pStyle w:val="2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1.</w:t>
      </w:r>
      <w:r>
        <w:rPr>
          <w:rFonts w:hint="eastAsia" w:ascii="宋体" w:hAnsi="宋体" w:eastAsia="宋体" w:cs="宋体"/>
          <w:bCs/>
          <w:sz w:val="24"/>
          <w:szCs w:val="24"/>
        </w:rPr>
        <w:t>募集资金用途：本次资本补充债券发行所募集的资金将依据适用法律和监管部门的批准用于充实我行的资本基础，补充其他一级资本和二级资本，提升资本充足率。</w:t>
      </w:r>
    </w:p>
    <w:p>
      <w:pPr>
        <w:pStyle w:val="2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发行总额：发行总额不超过人民币</w:t>
      </w:r>
      <w:r>
        <w:rPr>
          <w:rFonts w:hint="eastAsia" w:ascii="宋体" w:hAnsi="宋体" w:eastAsia="宋体" w:cs="宋体"/>
          <w:color w:val="000000"/>
          <w:kern w:val="0"/>
          <w:sz w:val="24"/>
          <w:szCs w:val="24"/>
          <w:lang w:val="en-US" w:eastAsia="zh-CN"/>
        </w:rPr>
        <w:t>80</w:t>
      </w:r>
      <w:r>
        <w:rPr>
          <w:rFonts w:hint="eastAsia" w:ascii="宋体" w:hAnsi="宋体" w:eastAsia="宋体" w:cs="宋体"/>
          <w:color w:val="000000"/>
          <w:kern w:val="0"/>
          <w:sz w:val="24"/>
          <w:szCs w:val="24"/>
        </w:rPr>
        <w:t>亿资本补充债券，可分次发行，其中发行无固定期限资本债券不超过40亿。具体金额及发行方式根据监管要求以及发行时市场情况确定。</w:t>
      </w:r>
    </w:p>
    <w:p>
      <w:pPr>
        <w:pStyle w:val="2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债券期限：无固定期限资本债券期限为无固定期限；二级资本债券期限为不超过10年。</w:t>
      </w:r>
    </w:p>
    <w:p>
      <w:pPr>
        <w:pStyle w:val="2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4.</w:t>
      </w:r>
      <w:r>
        <w:rPr>
          <w:rFonts w:hint="eastAsia" w:ascii="宋体" w:hAnsi="宋体" w:eastAsia="宋体" w:cs="宋体"/>
          <w:color w:val="000000"/>
          <w:kern w:val="0"/>
          <w:sz w:val="24"/>
          <w:szCs w:val="24"/>
        </w:rPr>
        <w:t>债券利率：参照市场利率，结合发行方式确定，具体利率根据发行时的具体情况确定。</w:t>
      </w:r>
    </w:p>
    <w:p>
      <w:pPr>
        <w:pStyle w:val="2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5.</w:t>
      </w:r>
      <w:r>
        <w:rPr>
          <w:rFonts w:hint="eastAsia" w:ascii="宋体" w:hAnsi="宋体" w:eastAsia="宋体" w:cs="宋体"/>
          <w:color w:val="000000"/>
          <w:kern w:val="0"/>
          <w:sz w:val="24"/>
          <w:szCs w:val="24"/>
        </w:rPr>
        <w:t>损失吸收方式：当发行文件约定的触发事件发生时，采用减记方式吸收损失。</w:t>
      </w:r>
    </w:p>
    <w:p>
      <w:pPr>
        <w:pStyle w:val="2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6.</w:t>
      </w:r>
      <w:r>
        <w:rPr>
          <w:rFonts w:hint="eastAsia" w:ascii="宋体" w:hAnsi="宋体" w:eastAsia="宋体" w:cs="宋体"/>
          <w:color w:val="000000"/>
          <w:kern w:val="0"/>
          <w:sz w:val="24"/>
          <w:szCs w:val="24"/>
        </w:rPr>
        <w:t>决议有效期限：自股东大会批准之日起</w:t>
      </w:r>
      <w:r>
        <w:rPr>
          <w:rFonts w:hint="eastAsia" w:ascii="宋体" w:hAnsi="宋体" w:eastAsia="宋体" w:cs="宋体"/>
          <w:color w:val="000000"/>
          <w:kern w:val="0"/>
          <w:sz w:val="24"/>
          <w:szCs w:val="24"/>
          <w:lang w:val="en-US" w:eastAsia="zh-CN"/>
        </w:rPr>
        <w:t>24</w:t>
      </w:r>
      <w:r>
        <w:rPr>
          <w:rFonts w:hint="eastAsia" w:ascii="宋体" w:hAnsi="宋体" w:eastAsia="宋体" w:cs="宋体"/>
          <w:color w:val="000000"/>
          <w:kern w:val="0"/>
          <w:sz w:val="24"/>
          <w:szCs w:val="24"/>
        </w:rPr>
        <w:t>个月内。</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color w:val="000000"/>
          <w:kern w:val="0"/>
          <w:sz w:val="24"/>
          <w:szCs w:val="24"/>
        </w:rPr>
      </w:pPr>
      <w:r>
        <w:rPr>
          <w:rFonts w:hint="eastAsia" w:ascii="宋体" w:hAnsi="宋体" w:eastAsia="宋体" w:cs="宋体"/>
          <w:b/>
          <w:color w:val="000000"/>
          <w:kern w:val="0"/>
          <w:sz w:val="24"/>
          <w:szCs w:val="24"/>
          <w:lang w:eastAsia="zh-CN"/>
        </w:rPr>
        <w:t>（</w:t>
      </w:r>
      <w:r>
        <w:rPr>
          <w:rFonts w:hint="eastAsia" w:ascii="宋体" w:hAnsi="宋体" w:eastAsia="宋体" w:cs="宋体"/>
          <w:b/>
          <w:color w:val="000000"/>
          <w:kern w:val="0"/>
          <w:sz w:val="24"/>
          <w:szCs w:val="24"/>
          <w:lang w:val="en-US" w:eastAsia="zh-CN"/>
        </w:rPr>
        <w:t>三）</w:t>
      </w:r>
      <w:r>
        <w:rPr>
          <w:rFonts w:hint="eastAsia" w:ascii="宋体" w:hAnsi="宋体" w:eastAsia="宋体" w:cs="宋体"/>
          <w:b/>
          <w:color w:val="000000"/>
          <w:kern w:val="0"/>
          <w:sz w:val="24"/>
          <w:szCs w:val="24"/>
        </w:rPr>
        <w:t>授权事项</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鉴于资本补充债券发行存在发行时间和市场环境不确定等因素，为保证资本补充债券发行及后续有关事宜的顺利进行，提高决策效率、把握市场时机，特提请股东大会授权董事会、董事会授权本行经营管理层：</w:t>
      </w:r>
    </w:p>
    <w:p>
      <w:pPr>
        <w:pStyle w:val="2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办理上述资本补充债券发行业务的相关具体事宜，包括但不限于聘请中介机构；办理债券申报、发行、交易流通及上市； 根据相关监管机构颁布的规定和审批要求，以及上述条款和条件，决定减记型无固定期限资本债券和二级资本债发行的具体条款及办理所有相关事宜，包括但不限于发行时间、规模、利率、方式、减记条款等。</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上述授权期限自股东大会决议通过之日起</w:t>
      </w:r>
      <w:r>
        <w:rPr>
          <w:rFonts w:hint="eastAsia" w:ascii="宋体" w:hAnsi="宋体" w:eastAsia="宋体" w:cs="宋体"/>
          <w:color w:val="000000"/>
          <w:kern w:val="0"/>
          <w:sz w:val="24"/>
          <w:szCs w:val="24"/>
          <w:lang w:val="en-US" w:eastAsia="zh-CN"/>
        </w:rPr>
        <w:t>24</w:t>
      </w:r>
      <w:r>
        <w:rPr>
          <w:rFonts w:hint="eastAsia" w:ascii="宋体" w:hAnsi="宋体" w:eastAsia="宋体" w:cs="宋体"/>
          <w:color w:val="000000"/>
          <w:kern w:val="0"/>
          <w:sz w:val="24"/>
          <w:szCs w:val="24"/>
        </w:rPr>
        <w:t>个月内有效。</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lang w:val="en-US" w:eastAsia="zh-CN"/>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在债券存续期内，按照相关监管机构颁布的规定和审批要求，办理兑付、减记、赎回等相关事宜。</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lang w:val="en-US" w:eastAsia="zh-CN"/>
        </w:rPr>
      </w:pP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0"/>
        </w:rPr>
      </w:pPr>
      <w:r>
        <w:rPr>
          <w:rFonts w:hint="eastAsia" w:ascii="宋体" w:hAnsi="宋体" w:eastAsia="宋体" w:cs="宋体"/>
          <w:sz w:val="24"/>
        </w:rPr>
        <w:t>本议案已经第八届董事会第十</w:t>
      </w:r>
      <w:r>
        <w:rPr>
          <w:rFonts w:hint="eastAsia" w:ascii="宋体" w:hAnsi="宋体" w:eastAsia="宋体" w:cs="宋体"/>
          <w:sz w:val="24"/>
          <w:lang w:val="en-US" w:eastAsia="zh-CN"/>
        </w:rPr>
        <w:t>九</w:t>
      </w:r>
      <w:r>
        <w:rPr>
          <w:rFonts w:hint="eastAsia" w:ascii="宋体" w:hAnsi="宋体" w:eastAsia="宋体" w:cs="宋体"/>
          <w:sz w:val="24"/>
        </w:rPr>
        <w:t>次会议审议通过，请各位股东审议。</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0"/>
        </w:rPr>
      </w:pP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0"/>
        </w:rPr>
      </w:pPr>
    </w:p>
    <w:p>
      <w:pPr>
        <w:pStyle w:val="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厦门银行股份有限公司</w:t>
      </w:r>
    </w:p>
    <w:p>
      <w:pPr>
        <w:pStyle w:val="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2</w:t>
      </w:r>
      <w:r>
        <w:rPr>
          <w:rFonts w:hint="eastAsia" w:ascii="宋体" w:hAnsi="宋体" w:eastAsia="宋体" w:cs="宋体"/>
          <w:sz w:val="24"/>
          <w:szCs w:val="24"/>
        </w:rPr>
        <w:t>年</w:t>
      </w:r>
      <w:r>
        <w:rPr>
          <w:rFonts w:hint="eastAsia" w:ascii="宋体" w:hAnsi="宋体" w:eastAsia="宋体" w:cs="宋体"/>
          <w:sz w:val="24"/>
          <w:szCs w:val="24"/>
          <w:lang w:val="en-US" w:eastAsia="zh-CN"/>
        </w:rPr>
        <w:t>6</w:t>
      </w:r>
      <w:r>
        <w:rPr>
          <w:rFonts w:hint="eastAsia" w:ascii="宋体" w:hAnsi="宋体" w:eastAsia="宋体" w:cs="宋体"/>
          <w:sz w:val="24"/>
          <w:szCs w:val="24"/>
        </w:rPr>
        <w:t>月</w:t>
      </w:r>
      <w:r>
        <w:rPr>
          <w:rFonts w:hint="eastAsia" w:ascii="宋体" w:hAnsi="宋体" w:eastAsia="宋体" w:cs="宋体"/>
          <w:sz w:val="24"/>
          <w:szCs w:val="24"/>
          <w:lang w:val="en-US" w:eastAsia="zh-CN"/>
        </w:rPr>
        <w:t>2</w:t>
      </w:r>
      <w:r>
        <w:rPr>
          <w:rFonts w:hint="eastAsia" w:ascii="宋体" w:hAnsi="宋体" w:eastAsia="宋体" w:cs="宋体"/>
          <w:sz w:val="24"/>
          <w:szCs w:val="24"/>
        </w:rPr>
        <w:t>日</w:t>
      </w:r>
    </w:p>
    <w:p>
      <w:pPr>
        <w:rPr>
          <w:rFonts w:hint="eastAsia" w:hAnsi="宋体" w:eastAsia="宋体" w:cs="宋体"/>
          <w:sz w:val="24"/>
          <w:szCs w:val="24"/>
        </w:rPr>
      </w:pPr>
      <w:r>
        <w:rPr>
          <w:rFonts w:hint="eastAsia" w:hAnsi="宋体" w:eastAsia="宋体" w:cs="宋体"/>
          <w:sz w:val="24"/>
          <w:szCs w:val="24"/>
        </w:rPr>
        <w:br w:type="page"/>
      </w:r>
    </w:p>
    <w:p>
      <w:pPr>
        <w:pStyle w:val="19"/>
      </w:pPr>
    </w:p>
    <w:p>
      <w:pPr>
        <w:spacing w:line="360" w:lineRule="auto"/>
        <w:jc w:val="center"/>
        <w:rPr>
          <w:rFonts w:ascii="宋体" w:hAnsi="宋体" w:eastAsia="宋体" w:cs="宋体"/>
          <w:b/>
          <w:bCs/>
          <w:sz w:val="28"/>
          <w:szCs w:val="36"/>
        </w:rPr>
      </w:pPr>
      <w:r>
        <w:rPr>
          <w:rFonts w:hint="eastAsia" w:ascii="宋体" w:hAnsi="宋体" w:eastAsia="宋体" w:cs="宋体"/>
          <w:b/>
          <w:bCs/>
          <w:color w:val="000000"/>
          <w:sz w:val="30"/>
          <w:szCs w:val="30"/>
        </w:rPr>
        <mc:AlternateContent>
          <mc:Choice Requires="wps">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494915" cy="676275"/>
                <wp:effectExtent l="5080" t="4445" r="14605" b="5080"/>
                <wp:wrapNone/>
                <wp:docPr id="15" name="文本框 3"/>
                <wp:cNvGraphicFramePr/>
                <a:graphic xmlns:a="http://schemas.openxmlformats.org/drawingml/2006/main">
                  <a:graphicData uri="http://schemas.microsoft.com/office/word/2010/wordprocessingShape">
                    <wps:wsp>
                      <wps:cNvSpPr txBox="1"/>
                      <wps:spPr>
                        <a:xfrm>
                          <a:off x="0" y="0"/>
                          <a:ext cx="2494915" cy="676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rPr>
                              <w:t>议案</w:t>
                            </w:r>
                            <w:r>
                              <w:rPr>
                                <w:rFonts w:hint="eastAsia" w:ascii="宋体" w:hAnsi="宋体" w:eastAsia="宋体" w:cs="宋体"/>
                                <w:lang w:val="en-US" w:eastAsia="zh-CN"/>
                              </w:rPr>
                              <w:t>15</w:t>
                            </w:r>
                          </w:p>
                        </w:txbxContent>
                      </wps:txbx>
                      <wps:bodyPr wrap="square" upright="1"/>
                    </wps:wsp>
                  </a:graphicData>
                </a:graphic>
              </wp:anchor>
            </w:drawing>
          </mc:Choice>
          <mc:Fallback>
            <w:pict>
              <v:shape id="文本框 3" o:spid="_x0000_s1026" o:spt="202" type="#_x0000_t202" style="position:absolute;left:0pt;margin-left:0pt;margin-top:0pt;height:53.25pt;width:196.45pt;z-index:251673600;mso-width-relative:page;mso-height-relative:page;" fillcolor="#FFFFFF" filled="t" stroked="t" coordsize="21600,21600" o:gfxdata="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qiFcFtYAAAAFAQAADwAAAAAAAAABACAAAAAiAAAAZHJzL2Rvd25yZXYueG1s&#10;UEsBAhQAFAAAAAgAh07iQLS3rID6AQAA9wMAAA4AAAAAAAAAAQAgAAAAJQEAAGRycy9lMm9Eb2Mu&#10;eG1sUEsFBgAAAAAGAAYAWQEAAJEFA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rPr>
                        <w:t>议案</w:t>
                      </w:r>
                      <w:r>
                        <w:rPr>
                          <w:rFonts w:hint="eastAsia" w:ascii="宋体" w:hAnsi="宋体" w:eastAsia="宋体" w:cs="宋体"/>
                          <w:lang w:val="en-US" w:eastAsia="zh-CN"/>
                        </w:rPr>
                        <w:t>15</w:t>
                      </w:r>
                    </w:p>
                  </w:txbxContent>
                </v:textbox>
              </v:shape>
            </w:pict>
          </mc:Fallback>
        </mc:AlternateContent>
      </w:r>
    </w:p>
    <w:p>
      <w:pPr>
        <w:spacing w:line="360" w:lineRule="auto"/>
        <w:jc w:val="center"/>
        <w:rPr>
          <w:rFonts w:ascii="宋体" w:hAnsi="宋体" w:eastAsia="宋体" w:cs="宋体"/>
          <w:b/>
          <w:bCs/>
          <w:sz w:val="28"/>
          <w:szCs w:val="36"/>
        </w:rPr>
      </w:pPr>
    </w:p>
    <w:p>
      <w:pPr>
        <w:spacing w:line="360" w:lineRule="auto"/>
        <w:jc w:val="center"/>
        <w:outlineLvl w:val="0"/>
        <w:rPr>
          <w:rFonts w:ascii="宋体" w:hAnsi="宋体" w:eastAsia="宋体" w:cs="宋体"/>
          <w:bCs/>
          <w:color w:val="000000"/>
          <w:kern w:val="36"/>
          <w:sz w:val="24"/>
        </w:rPr>
      </w:pPr>
      <w:r>
        <w:rPr>
          <w:rFonts w:hint="eastAsia" w:ascii="宋体" w:hAnsi="宋体" w:eastAsia="宋体" w:cs="宋体"/>
          <w:b/>
          <w:bCs/>
          <w:sz w:val="28"/>
          <w:szCs w:val="36"/>
        </w:rPr>
        <w:t>关于制定《厦门银行股份有限公司董事薪酬管理办法》的议案</w:t>
      </w:r>
    </w:p>
    <w:p>
      <w:pPr>
        <w:snapToGrid w:val="0"/>
        <w:spacing w:line="360" w:lineRule="auto"/>
        <w:rPr>
          <w:rFonts w:hint="eastAsia" w:ascii="宋体" w:hAnsi="宋体" w:eastAsia="宋体" w:cs="宋体"/>
          <w:bCs/>
          <w:color w:val="000000"/>
          <w:kern w:val="36"/>
          <w:sz w:val="24"/>
        </w:rPr>
      </w:pPr>
    </w:p>
    <w:p>
      <w:pPr>
        <w:snapToGrid w:val="0"/>
        <w:spacing w:line="360" w:lineRule="auto"/>
        <w:rPr>
          <w:rFonts w:ascii="宋体" w:hAnsi="宋体" w:eastAsia="宋体" w:cs="宋体"/>
          <w:sz w:val="24"/>
        </w:rPr>
      </w:pPr>
      <w:r>
        <w:rPr>
          <w:rFonts w:hint="eastAsia" w:ascii="宋体" w:hAnsi="宋体" w:eastAsia="宋体" w:cs="宋体"/>
          <w:bCs/>
          <w:color w:val="000000"/>
          <w:kern w:val="36"/>
          <w:sz w:val="24"/>
        </w:rPr>
        <w:t>尊敬的各位</w:t>
      </w:r>
      <w:r>
        <w:rPr>
          <w:rFonts w:hint="eastAsia" w:ascii="宋体" w:hAnsi="宋体" w:eastAsia="宋体" w:cs="宋体"/>
          <w:sz w:val="24"/>
        </w:rPr>
        <w:t>股东</w:t>
      </w:r>
      <w:r>
        <w:rPr>
          <w:rFonts w:hint="eastAsia" w:ascii="宋体" w:hAnsi="宋体" w:eastAsia="宋体" w:cs="宋体"/>
          <w:bCs/>
          <w:color w:val="000000"/>
          <w:kern w:val="36"/>
          <w:sz w:val="24"/>
        </w:rPr>
        <w:t>：</w:t>
      </w:r>
    </w:p>
    <w:p>
      <w:pPr>
        <w:pStyle w:val="19"/>
        <w:snapToGrid w:val="0"/>
        <w:spacing w:line="360" w:lineRule="auto"/>
        <w:ind w:firstLine="480" w:firstLineChars="200"/>
        <w:rPr>
          <w:rFonts w:hint="eastAsia" w:ascii="宋体" w:hAnsi="宋体" w:eastAsia="宋体"/>
          <w:sz w:val="24"/>
          <w:lang w:val="en-US" w:eastAsia="zh-CN"/>
        </w:rPr>
      </w:pPr>
      <w:r>
        <w:rPr>
          <w:rFonts w:hint="eastAsia" w:ascii="宋体" w:hAnsi="宋体" w:eastAsia="宋体"/>
          <w:sz w:val="24"/>
          <w:lang w:val="en-US" w:eastAsia="zh-CN"/>
        </w:rPr>
        <w:t>为建立健全科学有效的公司治理机制，依据《中华人民共和国商业银行法》《中华人民共和国银行业监督管理法》《商业银行稳健薪酬监管指引》和《公司章程》等有关规定，本行拟制定《厦门银行股份有限公司董事薪酬管理办法》，具体内容详见附件。本办法自股东大会通过之日起实施。</w:t>
      </w:r>
    </w:p>
    <w:p>
      <w:pPr>
        <w:pStyle w:val="19"/>
        <w:snapToGrid w:val="0"/>
        <w:spacing w:line="360" w:lineRule="auto"/>
        <w:ind w:firstLine="480" w:firstLineChars="200"/>
        <w:rPr>
          <w:rFonts w:hint="default" w:ascii="宋体" w:hAnsi="宋体" w:eastAsia="宋体"/>
          <w:sz w:val="24"/>
          <w:lang w:val="en-US" w:eastAsia="zh-CN"/>
        </w:rPr>
      </w:pPr>
    </w:p>
    <w:p>
      <w:pPr>
        <w:pStyle w:val="19"/>
        <w:snapToGrid w:val="0"/>
        <w:spacing w:line="360" w:lineRule="auto"/>
        <w:ind w:firstLine="480" w:firstLineChars="200"/>
        <w:rPr>
          <w:rFonts w:ascii="宋体" w:hAnsi="宋体" w:eastAsia="宋体" w:cs="宋体"/>
          <w:sz w:val="24"/>
          <w:szCs w:val="20"/>
        </w:rPr>
      </w:pPr>
      <w:r>
        <w:rPr>
          <w:rFonts w:hint="eastAsia" w:ascii="宋体" w:hAnsi="宋体" w:eastAsia="宋体" w:cs="宋体"/>
          <w:sz w:val="24"/>
        </w:rPr>
        <w:t>本议案已经第八届董事会第十</w:t>
      </w:r>
      <w:r>
        <w:rPr>
          <w:rFonts w:hint="eastAsia" w:ascii="宋体" w:hAnsi="宋体" w:eastAsia="宋体" w:cs="宋体"/>
          <w:sz w:val="24"/>
          <w:lang w:val="en-US" w:eastAsia="zh-CN"/>
        </w:rPr>
        <w:t>六</w:t>
      </w:r>
      <w:r>
        <w:rPr>
          <w:rFonts w:hint="eastAsia" w:ascii="宋体" w:hAnsi="宋体" w:eastAsia="宋体" w:cs="宋体"/>
          <w:sz w:val="24"/>
        </w:rPr>
        <w:t>次会议审议通过，请各位股东审议。</w:t>
      </w:r>
    </w:p>
    <w:p>
      <w:pPr>
        <w:pStyle w:val="19"/>
        <w:snapToGrid w:val="0"/>
        <w:spacing w:line="360" w:lineRule="auto"/>
        <w:ind w:firstLine="480" w:firstLineChars="200"/>
        <w:rPr>
          <w:rFonts w:ascii="宋体" w:hAnsi="宋体" w:eastAsia="宋体" w:cs="宋体"/>
          <w:sz w:val="24"/>
          <w:szCs w:val="20"/>
        </w:rPr>
      </w:pPr>
    </w:p>
    <w:p>
      <w:pPr>
        <w:pStyle w:val="19"/>
        <w:snapToGrid w:val="0"/>
        <w:spacing w:line="360" w:lineRule="auto"/>
        <w:ind w:firstLine="480" w:firstLineChars="200"/>
        <w:rPr>
          <w:rFonts w:hint="eastAsia" w:ascii="宋体" w:hAnsi="宋体" w:eastAsia="宋体" w:cs="宋体"/>
          <w:sz w:val="24"/>
          <w:szCs w:val="20"/>
          <w:lang w:val="en-US" w:eastAsia="zh-CN"/>
        </w:rPr>
      </w:pPr>
      <w:r>
        <w:rPr>
          <w:rFonts w:hint="eastAsia" w:ascii="宋体" w:hAnsi="宋体" w:eastAsia="宋体" w:cs="宋体"/>
          <w:sz w:val="24"/>
          <w:szCs w:val="20"/>
          <w:lang w:val="en-US" w:eastAsia="zh-CN"/>
        </w:rPr>
        <w:t>附件：厦门银行股份有限公司董事薪酬管理办法</w:t>
      </w:r>
    </w:p>
    <w:p>
      <w:pPr>
        <w:pStyle w:val="7"/>
        <w:snapToGrid w:val="0"/>
        <w:spacing w:line="360" w:lineRule="auto"/>
        <w:ind w:firstLine="480" w:firstLineChars="200"/>
        <w:jc w:val="right"/>
        <w:rPr>
          <w:rFonts w:hAnsi="宋体" w:eastAsia="宋体" w:cs="宋体"/>
          <w:sz w:val="24"/>
          <w:szCs w:val="24"/>
        </w:rPr>
      </w:pPr>
      <w:r>
        <w:rPr>
          <w:rFonts w:hint="eastAsia" w:hAnsi="宋体" w:eastAsia="宋体" w:cs="宋体"/>
          <w:sz w:val="24"/>
          <w:szCs w:val="24"/>
        </w:rPr>
        <w:t>厦门银行股份有限公司</w:t>
      </w:r>
    </w:p>
    <w:p>
      <w:pPr>
        <w:pStyle w:val="7"/>
        <w:snapToGrid w:val="0"/>
        <w:spacing w:line="360" w:lineRule="auto"/>
        <w:ind w:firstLine="480" w:firstLineChars="200"/>
        <w:jc w:val="right"/>
        <w:rPr>
          <w:rFonts w:hint="eastAsia" w:hAnsi="宋体" w:eastAsia="宋体" w:cs="宋体"/>
          <w:sz w:val="24"/>
          <w:szCs w:val="24"/>
        </w:rPr>
      </w:pPr>
      <w:r>
        <w:rPr>
          <w:rFonts w:hint="eastAsia" w:hAnsi="宋体" w:eastAsia="宋体" w:cs="宋体"/>
          <w:sz w:val="24"/>
          <w:szCs w:val="24"/>
        </w:rPr>
        <w:t>202</w:t>
      </w:r>
      <w:r>
        <w:rPr>
          <w:rFonts w:hint="eastAsia" w:hAnsi="宋体" w:eastAsia="宋体" w:cs="宋体"/>
          <w:sz w:val="24"/>
          <w:szCs w:val="24"/>
          <w:lang w:val="en-US" w:eastAsia="zh-CN"/>
        </w:rPr>
        <w:t>2</w:t>
      </w:r>
      <w:r>
        <w:rPr>
          <w:rFonts w:hint="eastAsia" w:hAnsi="宋体" w:eastAsia="宋体" w:cs="宋体"/>
          <w:sz w:val="24"/>
          <w:szCs w:val="24"/>
        </w:rPr>
        <w:t>年</w:t>
      </w:r>
      <w:r>
        <w:rPr>
          <w:rFonts w:hint="eastAsia" w:hAnsi="宋体" w:eastAsia="宋体" w:cs="宋体"/>
          <w:sz w:val="24"/>
          <w:szCs w:val="24"/>
          <w:lang w:val="en-US" w:eastAsia="zh-CN"/>
        </w:rPr>
        <w:t>6</w:t>
      </w:r>
      <w:r>
        <w:rPr>
          <w:rFonts w:hint="eastAsia" w:hAnsi="宋体" w:eastAsia="宋体" w:cs="宋体"/>
          <w:sz w:val="24"/>
          <w:szCs w:val="24"/>
        </w:rPr>
        <w:t>月</w:t>
      </w:r>
      <w:r>
        <w:rPr>
          <w:rFonts w:hint="eastAsia" w:hAnsi="宋体" w:eastAsia="宋体" w:cs="宋体"/>
          <w:sz w:val="24"/>
          <w:szCs w:val="24"/>
          <w:lang w:val="en-US" w:eastAsia="zh-CN"/>
        </w:rPr>
        <w:t>2</w:t>
      </w:r>
      <w:r>
        <w:rPr>
          <w:rFonts w:hint="eastAsia" w:hAnsi="宋体" w:eastAsia="宋体" w:cs="宋体"/>
          <w:sz w:val="24"/>
          <w:szCs w:val="24"/>
        </w:rPr>
        <w:t>日</w:t>
      </w:r>
    </w:p>
    <w:p>
      <w:pPr>
        <w:rPr>
          <w:rFonts w:hint="eastAsia" w:hAnsi="宋体" w:eastAsia="宋体" w:cs="宋体"/>
          <w:sz w:val="24"/>
          <w:szCs w:val="24"/>
        </w:rPr>
      </w:pPr>
      <w:r>
        <w:rPr>
          <w:rFonts w:hint="eastAsia" w:hAnsi="宋体" w:eastAsia="宋体" w:cs="宋体"/>
          <w:sz w:val="24"/>
          <w:szCs w:val="24"/>
        </w:rPr>
        <w:br w:type="page"/>
      </w:r>
    </w:p>
    <w:p>
      <w:pPr>
        <w:widowControl/>
        <w:spacing w:line="520" w:lineRule="exact"/>
        <w:jc w:val="left"/>
        <w:rPr>
          <w:rFonts w:hint="eastAsia" w:ascii="宋体" w:hAnsi="宋体" w:eastAsiaTheme="minorEastAsia"/>
          <w:b/>
          <w:sz w:val="24"/>
          <w:szCs w:val="24"/>
          <w:lang w:val="en-US" w:eastAsia="zh-CN"/>
        </w:rPr>
      </w:pPr>
      <w:r>
        <w:rPr>
          <w:rFonts w:hint="eastAsia" w:ascii="宋体" w:hAnsi="宋体"/>
          <w:b/>
          <w:sz w:val="24"/>
          <w:szCs w:val="24"/>
          <w:lang w:val="en-US" w:eastAsia="zh-CN"/>
        </w:rPr>
        <w:t>附件：</w:t>
      </w:r>
    </w:p>
    <w:p>
      <w:pPr>
        <w:widowControl/>
        <w:spacing w:line="520" w:lineRule="exact"/>
        <w:jc w:val="center"/>
        <w:rPr>
          <w:rFonts w:hint="eastAsia" w:ascii="宋体" w:hAnsi="宋体"/>
          <w:b/>
          <w:sz w:val="32"/>
          <w:szCs w:val="32"/>
        </w:rPr>
      </w:pPr>
      <w:r>
        <w:rPr>
          <w:rFonts w:hint="eastAsia" w:ascii="宋体" w:hAnsi="宋体"/>
          <w:b/>
          <w:sz w:val="32"/>
          <w:szCs w:val="32"/>
        </w:rPr>
        <w:t>厦门银行股份有限公司董事薪酬管理办法</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第一章 总则</w:t>
      </w:r>
    </w:p>
    <w:p>
      <w:pPr>
        <w:keepNext w:val="0"/>
        <w:keepLines w:val="0"/>
        <w:pageBreakBefore w:val="0"/>
        <w:widowControl w:val="0"/>
        <w:numPr>
          <w:ilvl w:val="0"/>
          <w:numId w:val="20"/>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rPr>
      </w:pPr>
      <w:r>
        <w:rPr>
          <w:rFonts w:hint="eastAsia" w:ascii="宋体" w:hAnsi="宋体" w:eastAsia="宋体" w:cs="宋体"/>
          <w:sz w:val="24"/>
          <w:szCs w:val="24"/>
        </w:rPr>
        <w:t>厦门银行股份有限公司（以下简称“本行”）为建立健全科学有效的公司治理机制，规范本行董事薪酬的管理，建立有效的激励约束机制，按照《中华人民共和国商业银行法》《中华人民共和国银行业监督管理法》《商业银行稳健薪酬监管指引》和本行《章程》等有关规定，特制定本办法。</w:t>
      </w:r>
    </w:p>
    <w:p>
      <w:pPr>
        <w:keepNext w:val="0"/>
        <w:keepLines w:val="0"/>
        <w:pageBreakBefore w:val="0"/>
        <w:widowControl w:val="0"/>
        <w:numPr>
          <w:ilvl w:val="0"/>
          <w:numId w:val="20"/>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rPr>
      </w:pPr>
      <w:r>
        <w:rPr>
          <w:rFonts w:hint="eastAsia" w:ascii="宋体" w:hAnsi="宋体" w:eastAsia="宋体" w:cs="宋体"/>
          <w:sz w:val="24"/>
          <w:szCs w:val="24"/>
        </w:rPr>
        <w:t>本办法制定的基本原则</w:t>
      </w:r>
    </w:p>
    <w:p>
      <w:pPr>
        <w:keepNext w:val="0"/>
        <w:keepLines w:val="0"/>
        <w:pageBreakBefore w:val="0"/>
        <w:widowControl w:val="0"/>
        <w:tabs>
          <w:tab w:val="left" w:pos="1418"/>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1、依法合规原则。薪酬政策符合国家及有关部门颁布的法律法规、其他有关规范性文件及本行章程的规定，符合本行公司治理机制的要求；</w:t>
      </w:r>
    </w:p>
    <w:p>
      <w:pPr>
        <w:keepNext w:val="0"/>
        <w:keepLines w:val="0"/>
        <w:pageBreakBefore w:val="0"/>
        <w:widowControl w:val="0"/>
        <w:tabs>
          <w:tab w:val="left" w:pos="1418"/>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2、激励与约束相结合原则。激励和约束并举，使薪酬分配支持本行的发展战略和经营目标的实现，实现个人价值与银行价值、股东价值的统一；</w:t>
      </w:r>
    </w:p>
    <w:p>
      <w:pPr>
        <w:keepNext w:val="0"/>
        <w:keepLines w:val="0"/>
        <w:pageBreakBefore w:val="0"/>
        <w:widowControl w:val="0"/>
        <w:tabs>
          <w:tab w:val="left" w:pos="1418"/>
        </w:tabs>
        <w:kinsoku/>
        <w:wordWrap/>
        <w:overflowPunct/>
        <w:topLinePunct w:val="0"/>
        <w:autoSpaceDE/>
        <w:autoSpaceDN/>
        <w:bidi w:val="0"/>
        <w:adjustRightInd/>
        <w:snapToGrid w:val="0"/>
        <w:spacing w:line="360" w:lineRule="auto"/>
        <w:ind w:left="482"/>
        <w:textAlignment w:val="auto"/>
        <w:rPr>
          <w:rFonts w:hint="eastAsia" w:ascii="宋体" w:hAnsi="宋体" w:eastAsia="宋体" w:cs="宋体"/>
          <w:sz w:val="24"/>
          <w:szCs w:val="24"/>
        </w:rPr>
      </w:pPr>
      <w:r>
        <w:rPr>
          <w:rFonts w:hint="eastAsia" w:ascii="宋体" w:hAnsi="宋体" w:eastAsia="宋体" w:cs="宋体"/>
          <w:sz w:val="24"/>
          <w:szCs w:val="24"/>
        </w:rPr>
        <w:t>3、市场导向原则。实行以价值创造为导向、具有市场竞争力的薪酬策略。</w:t>
      </w:r>
    </w:p>
    <w:p>
      <w:pPr>
        <w:keepNext w:val="0"/>
        <w:keepLines w:val="0"/>
        <w:pageBreakBefore w:val="0"/>
        <w:widowControl w:val="0"/>
        <w:numPr>
          <w:ilvl w:val="0"/>
          <w:numId w:val="20"/>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rPr>
      </w:pPr>
      <w:r>
        <w:rPr>
          <w:rFonts w:hint="eastAsia" w:ascii="宋体" w:hAnsi="宋体" w:eastAsia="宋体" w:cs="宋体"/>
          <w:sz w:val="24"/>
          <w:szCs w:val="24"/>
        </w:rPr>
        <w:t>本办法的实施范围为本行董事。</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第二章 薪酬的构成和核定</w:t>
      </w:r>
    </w:p>
    <w:p>
      <w:pPr>
        <w:keepNext w:val="0"/>
        <w:keepLines w:val="0"/>
        <w:pageBreakBefore w:val="0"/>
        <w:widowControl w:val="0"/>
        <w:numPr>
          <w:ilvl w:val="0"/>
          <w:numId w:val="20"/>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本行董事薪酬分为年薪制及</w:t>
      </w:r>
      <w:r>
        <w:rPr>
          <w:rFonts w:hint="eastAsia" w:ascii="宋体" w:hAnsi="宋体" w:eastAsia="宋体" w:cs="宋体"/>
          <w:sz w:val="24"/>
          <w:szCs w:val="24"/>
          <w:highlight w:val="none"/>
          <w:lang w:val="en-US" w:eastAsia="zh-CN"/>
        </w:rPr>
        <w:t>固定薪酬加津贴</w:t>
      </w:r>
      <w:r>
        <w:rPr>
          <w:rFonts w:hint="eastAsia" w:ascii="宋体" w:hAnsi="宋体" w:eastAsia="宋体" w:cs="宋体"/>
          <w:sz w:val="24"/>
          <w:szCs w:val="24"/>
          <w:highlight w:val="none"/>
        </w:rPr>
        <w:t>制。</w:t>
      </w:r>
    </w:p>
    <w:p>
      <w:pPr>
        <w:keepNext w:val="0"/>
        <w:keepLines w:val="0"/>
        <w:pageBreakBefore w:val="0"/>
        <w:widowControl w:val="0"/>
        <w:numPr>
          <w:ilvl w:val="0"/>
          <w:numId w:val="20"/>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highlight w:val="none"/>
        </w:rPr>
      </w:pPr>
      <w:r>
        <w:rPr>
          <w:rFonts w:hint="eastAsia" w:ascii="宋体" w:hAnsi="宋体" w:eastAsia="宋体" w:cs="宋体"/>
          <w:sz w:val="24"/>
          <w:szCs w:val="24"/>
          <w:highlight w:val="none"/>
        </w:rPr>
        <w:t>在本行</w:t>
      </w:r>
      <w:r>
        <w:rPr>
          <w:rFonts w:hint="eastAsia" w:ascii="宋体" w:hAnsi="宋体" w:eastAsia="宋体" w:cs="宋体"/>
          <w:sz w:val="24"/>
          <w:szCs w:val="24"/>
          <w:highlight w:val="none"/>
          <w:lang w:val="en-US" w:eastAsia="zh-CN"/>
        </w:rPr>
        <w:t>担任其他职务</w:t>
      </w:r>
      <w:r>
        <w:rPr>
          <w:rFonts w:hint="eastAsia" w:ascii="宋体" w:hAnsi="宋体" w:eastAsia="宋体" w:cs="宋体"/>
          <w:sz w:val="24"/>
          <w:szCs w:val="24"/>
          <w:highlight w:val="none"/>
        </w:rPr>
        <w:t>的董事实行年薪制，按照本行现行有效的相关薪酬制度、办法或方案执行。</w:t>
      </w:r>
    </w:p>
    <w:p>
      <w:pPr>
        <w:keepNext w:val="0"/>
        <w:keepLines w:val="0"/>
        <w:pageBreakBefore w:val="0"/>
        <w:widowControl w:val="0"/>
        <w:numPr>
          <w:ilvl w:val="0"/>
          <w:numId w:val="20"/>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rPr>
      </w:pPr>
      <w:r>
        <w:rPr>
          <w:rFonts w:hint="eastAsia" w:ascii="宋体" w:hAnsi="宋体" w:eastAsia="宋体" w:cs="宋体"/>
          <w:sz w:val="24"/>
          <w:szCs w:val="24"/>
          <w:highlight w:val="none"/>
        </w:rPr>
        <w:t>独立董事实行</w:t>
      </w:r>
      <w:r>
        <w:rPr>
          <w:rFonts w:hint="eastAsia" w:ascii="宋体" w:hAnsi="宋体" w:eastAsia="宋体" w:cs="宋体"/>
          <w:sz w:val="24"/>
          <w:szCs w:val="24"/>
          <w:highlight w:val="none"/>
          <w:lang w:val="en-US" w:eastAsia="zh-CN"/>
        </w:rPr>
        <w:t>固定薪酬加津贴制</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固定薪酬定期发放</w:t>
      </w:r>
      <w:r>
        <w:rPr>
          <w:rFonts w:hint="eastAsia" w:ascii="宋体" w:hAnsi="宋体" w:eastAsia="宋体" w:cs="宋体"/>
          <w:sz w:val="24"/>
          <w:szCs w:val="24"/>
          <w:lang w:val="en-US" w:eastAsia="zh-CN"/>
        </w:rPr>
        <w:t>；</w:t>
      </w:r>
      <w:r>
        <w:rPr>
          <w:rFonts w:hint="eastAsia" w:ascii="宋体" w:hAnsi="宋体" w:eastAsia="宋体" w:cs="宋体"/>
          <w:sz w:val="24"/>
          <w:szCs w:val="24"/>
          <w:u w:val="none"/>
          <w:lang w:val="en-US"/>
        </w:rPr>
        <w:t>本行对于参加</w:t>
      </w:r>
      <w:r>
        <w:rPr>
          <w:rFonts w:hint="eastAsia" w:ascii="宋体" w:hAnsi="宋体" w:eastAsia="宋体" w:cs="宋体"/>
          <w:sz w:val="24"/>
          <w:szCs w:val="24"/>
          <w:u w:val="none"/>
          <w:lang w:val="en-US" w:eastAsia="zh-CN"/>
        </w:rPr>
        <w:t>董事会</w:t>
      </w:r>
      <w:r>
        <w:rPr>
          <w:rFonts w:hint="eastAsia" w:ascii="宋体" w:hAnsi="宋体" w:eastAsia="宋体" w:cs="宋体"/>
          <w:sz w:val="24"/>
          <w:szCs w:val="24"/>
          <w:u w:val="none"/>
          <w:lang w:val="en-US"/>
        </w:rPr>
        <w:t>现场会议的</w:t>
      </w:r>
      <w:r>
        <w:rPr>
          <w:rFonts w:hint="eastAsia" w:ascii="宋体" w:hAnsi="宋体" w:eastAsia="宋体" w:cs="宋体"/>
          <w:sz w:val="24"/>
          <w:szCs w:val="24"/>
          <w:u w:val="none"/>
          <w:lang w:val="en-US" w:eastAsia="zh-CN"/>
        </w:rPr>
        <w:t>独立董事</w:t>
      </w:r>
      <w:r>
        <w:rPr>
          <w:rFonts w:hint="eastAsia" w:ascii="宋体" w:hAnsi="宋体" w:eastAsia="宋体" w:cs="宋体"/>
          <w:sz w:val="24"/>
          <w:szCs w:val="24"/>
          <w:u w:val="none"/>
          <w:lang w:val="en-US"/>
        </w:rPr>
        <w:t>将</w:t>
      </w:r>
      <w:r>
        <w:rPr>
          <w:rFonts w:hint="eastAsia" w:ascii="宋体" w:hAnsi="宋体" w:eastAsia="宋体" w:cs="宋体"/>
          <w:sz w:val="24"/>
          <w:szCs w:val="24"/>
          <w:u w:val="none"/>
          <w:lang w:val="en-US" w:eastAsia="zh-CN"/>
        </w:rPr>
        <w:t>发放会议津贴</w:t>
      </w:r>
      <w:r>
        <w:rPr>
          <w:rFonts w:hint="eastAsia" w:ascii="宋体" w:hAnsi="宋体" w:eastAsia="宋体" w:cs="宋体"/>
          <w:sz w:val="24"/>
          <w:szCs w:val="24"/>
          <w:highlight w:val="none"/>
          <w:lang w:val="en-US" w:eastAsia="zh-CN"/>
        </w:rPr>
        <w:t>。</w:t>
      </w:r>
    </w:p>
    <w:p>
      <w:pPr>
        <w:keepNext w:val="0"/>
        <w:keepLines w:val="0"/>
        <w:pageBreakBefore w:val="0"/>
        <w:widowControl w:val="0"/>
        <w:numPr>
          <w:ilvl w:val="0"/>
          <w:numId w:val="20"/>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rPr>
      </w:pPr>
      <w:r>
        <w:rPr>
          <w:rFonts w:hint="eastAsia" w:ascii="宋体" w:hAnsi="宋体" w:eastAsia="宋体" w:cs="宋体"/>
          <w:sz w:val="24"/>
          <w:szCs w:val="24"/>
        </w:rPr>
        <w:t>未在本行</w:t>
      </w:r>
      <w:r>
        <w:rPr>
          <w:rFonts w:hint="eastAsia" w:ascii="宋体" w:hAnsi="宋体" w:eastAsia="宋体" w:cs="宋体"/>
          <w:sz w:val="24"/>
          <w:szCs w:val="24"/>
          <w:lang w:val="en-US" w:eastAsia="zh-CN"/>
        </w:rPr>
        <w:t>担任其他职务</w:t>
      </w:r>
      <w:r>
        <w:rPr>
          <w:rFonts w:hint="eastAsia" w:ascii="宋体" w:hAnsi="宋体" w:eastAsia="宋体" w:cs="宋体"/>
          <w:sz w:val="24"/>
          <w:szCs w:val="24"/>
        </w:rPr>
        <w:t>的股东董事不从本行领取</w:t>
      </w:r>
      <w:r>
        <w:rPr>
          <w:rFonts w:hint="eastAsia" w:ascii="宋体" w:hAnsi="宋体" w:eastAsia="宋体" w:cs="宋体"/>
          <w:sz w:val="24"/>
          <w:szCs w:val="24"/>
          <w:lang w:val="en-US" w:eastAsia="zh-CN"/>
        </w:rPr>
        <w:t>薪酬</w:t>
      </w:r>
      <w:r>
        <w:rPr>
          <w:rFonts w:hint="eastAsia" w:ascii="宋体" w:hAnsi="宋体" w:eastAsia="宋体" w:cs="宋体"/>
          <w:sz w:val="24"/>
          <w:szCs w:val="24"/>
        </w:rPr>
        <w:t>。</w:t>
      </w:r>
    </w:p>
    <w:p>
      <w:pPr>
        <w:keepNext w:val="0"/>
        <w:keepLines w:val="0"/>
        <w:pageBreakBefore w:val="0"/>
        <w:widowControl w:val="0"/>
        <w:numPr>
          <w:ilvl w:val="0"/>
          <w:numId w:val="20"/>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u w:val="none"/>
          <w:lang w:val="en-US"/>
        </w:rPr>
      </w:pPr>
      <w:r>
        <w:rPr>
          <w:rFonts w:hint="eastAsia" w:ascii="宋体" w:hAnsi="宋体" w:eastAsia="宋体" w:cs="宋体"/>
          <w:sz w:val="24"/>
          <w:szCs w:val="24"/>
        </w:rPr>
        <w:t>全体董事因参加相关会议、调研等本行工作所产生的所有费用，由本行承担</w:t>
      </w:r>
      <w:r>
        <w:rPr>
          <w:rFonts w:hint="eastAsia" w:ascii="宋体" w:hAnsi="宋体" w:eastAsia="宋体" w:cs="宋体"/>
          <w:sz w:val="24"/>
          <w:szCs w:val="24"/>
          <w:u w:val="none"/>
          <w:lang w:val="en-US"/>
        </w:rPr>
        <w:t>。</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第三章 薪酬管理</w:t>
      </w:r>
    </w:p>
    <w:p>
      <w:pPr>
        <w:keepNext w:val="0"/>
        <w:keepLines w:val="0"/>
        <w:pageBreakBefore w:val="0"/>
        <w:widowControl w:val="0"/>
        <w:numPr>
          <w:ilvl w:val="0"/>
          <w:numId w:val="20"/>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rPr>
      </w:pPr>
      <w:r>
        <w:rPr>
          <w:rFonts w:hint="eastAsia" w:ascii="宋体" w:hAnsi="宋体" w:eastAsia="宋体" w:cs="宋体"/>
          <w:sz w:val="24"/>
          <w:szCs w:val="24"/>
        </w:rPr>
        <w:t>董事会薪酬委员会根据其职责权限负责本办法的实施。</w:t>
      </w:r>
    </w:p>
    <w:p>
      <w:pPr>
        <w:keepNext w:val="0"/>
        <w:keepLines w:val="0"/>
        <w:pageBreakBefore w:val="0"/>
        <w:widowControl w:val="0"/>
        <w:numPr>
          <w:ilvl w:val="0"/>
          <w:numId w:val="20"/>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rPr>
      </w:pPr>
      <w:r>
        <w:rPr>
          <w:rFonts w:hint="eastAsia" w:ascii="宋体" w:hAnsi="宋体" w:eastAsia="宋体" w:cs="宋体"/>
          <w:sz w:val="24"/>
          <w:szCs w:val="24"/>
        </w:rPr>
        <w:t>监事会负责对本行董事薪酬执行情况的监督。</w:t>
      </w:r>
    </w:p>
    <w:p>
      <w:pPr>
        <w:keepNext w:val="0"/>
        <w:keepLines w:val="0"/>
        <w:pageBreakBefore w:val="0"/>
        <w:widowControl w:val="0"/>
        <w:numPr>
          <w:ilvl w:val="0"/>
          <w:numId w:val="20"/>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shd w:val="clear" w:color="auto" w:fill="FFFF00"/>
        </w:rPr>
      </w:pPr>
      <w:r>
        <w:rPr>
          <w:rFonts w:hint="eastAsia" w:ascii="宋体" w:hAnsi="宋体" w:eastAsia="宋体" w:cs="宋体"/>
          <w:sz w:val="24"/>
          <w:szCs w:val="24"/>
        </w:rPr>
        <w:t>独立董事在任职期间未能亲自出席年度内三分之二（含）以上董事会及董事会下设委员会现场会议或连续缺席两次（含）以上董事会及董事会下设委员会会议的，经董事会薪酬委员会审议通过，</w:t>
      </w:r>
      <w:r>
        <w:rPr>
          <w:rFonts w:hint="eastAsia" w:ascii="宋体" w:hAnsi="宋体" w:eastAsia="宋体" w:cs="宋体"/>
          <w:sz w:val="24"/>
          <w:szCs w:val="24"/>
          <w:shd w:val="clear" w:color="auto" w:fill="auto"/>
        </w:rPr>
        <w:t>原则上应停发其一个季度</w:t>
      </w:r>
      <w:r>
        <w:rPr>
          <w:rFonts w:hint="eastAsia" w:ascii="宋体" w:hAnsi="宋体" w:eastAsia="宋体" w:cs="宋体"/>
          <w:sz w:val="24"/>
          <w:szCs w:val="24"/>
          <w:shd w:val="clear" w:color="auto" w:fill="auto"/>
          <w:lang w:val="en-US" w:eastAsia="zh-CN"/>
        </w:rPr>
        <w:t>固定薪酬。</w:t>
      </w:r>
    </w:p>
    <w:p>
      <w:pPr>
        <w:keepNext w:val="0"/>
        <w:keepLines w:val="0"/>
        <w:pageBreakBefore w:val="0"/>
        <w:widowControl w:val="0"/>
        <w:numPr>
          <w:ilvl w:val="0"/>
          <w:numId w:val="20"/>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rPr>
      </w:pPr>
      <w:r>
        <w:rPr>
          <w:rFonts w:hint="eastAsia" w:ascii="宋体" w:hAnsi="宋体" w:eastAsia="宋体" w:cs="宋体"/>
          <w:sz w:val="24"/>
          <w:szCs w:val="24"/>
        </w:rPr>
        <w:t>董事因换届或于任期内辞职时，经董事会薪酬委员会考核后，薪酬按其任期时间发放。因依照相关法律法规及本行《章程》《独立董事工作制度》的规定被罢免时，尚未发放的薪酬不予发放。但法律法规或者生效法律文书另有规定的除外。</w:t>
      </w:r>
    </w:p>
    <w:p>
      <w:pPr>
        <w:keepNext w:val="0"/>
        <w:keepLines w:val="0"/>
        <w:pageBreakBefore w:val="0"/>
        <w:widowControl w:val="0"/>
        <w:numPr>
          <w:ilvl w:val="0"/>
          <w:numId w:val="20"/>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rPr>
      </w:pPr>
      <w:r>
        <w:rPr>
          <w:rFonts w:hint="eastAsia" w:ascii="宋体" w:hAnsi="宋体" w:eastAsia="宋体" w:cs="宋体"/>
          <w:sz w:val="24"/>
          <w:szCs w:val="24"/>
        </w:rPr>
        <w:t>董事薪酬收入需按国家规定缴纳个人所得税，并由本行代扣代缴。</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第四章 附则</w:t>
      </w:r>
    </w:p>
    <w:p>
      <w:pPr>
        <w:keepNext w:val="0"/>
        <w:keepLines w:val="0"/>
        <w:pageBreakBefore w:val="0"/>
        <w:widowControl w:val="0"/>
        <w:numPr>
          <w:ilvl w:val="0"/>
          <w:numId w:val="20"/>
        </w:numPr>
        <w:tabs>
          <w:tab w:val="left" w:pos="1418"/>
        </w:tabs>
        <w:kinsoku/>
        <w:wordWrap/>
        <w:overflowPunct/>
        <w:topLinePunct w:val="0"/>
        <w:autoSpaceDE/>
        <w:autoSpaceDN/>
        <w:bidi w:val="0"/>
        <w:adjustRightInd/>
        <w:snapToGrid w:val="0"/>
        <w:spacing w:line="360" w:lineRule="auto"/>
        <w:ind w:left="0" w:firstLine="482"/>
        <w:textAlignment w:val="auto"/>
        <w:rPr>
          <w:rFonts w:hint="eastAsia" w:hAnsi="宋体" w:eastAsia="宋体" w:cs="宋体"/>
          <w:sz w:val="24"/>
          <w:szCs w:val="24"/>
        </w:rPr>
      </w:pPr>
      <w:r>
        <w:rPr>
          <w:rFonts w:hint="eastAsia" w:ascii="宋体" w:hAnsi="宋体" w:eastAsia="宋体" w:cs="宋体"/>
          <w:sz w:val="24"/>
          <w:szCs w:val="24"/>
        </w:rPr>
        <w:t>本办法经股东大会审议通过后生效。原《厦门银行股份有限公司厦门银行股份有限公司董事、监事薪酬管理办法》（厦门银行董〔2021〕3号）</w:t>
      </w:r>
      <w:r>
        <w:rPr>
          <w:rFonts w:hint="eastAsia" w:ascii="宋体" w:hAnsi="宋体" w:eastAsia="宋体" w:cs="宋体"/>
          <w:sz w:val="24"/>
          <w:szCs w:val="24"/>
          <w:lang w:val="en-US" w:eastAsia="zh-CN"/>
        </w:rPr>
        <w:t>同时</w:t>
      </w:r>
      <w:r>
        <w:rPr>
          <w:rFonts w:hint="eastAsia" w:ascii="宋体" w:hAnsi="宋体" w:eastAsia="宋体" w:cs="宋体"/>
          <w:sz w:val="24"/>
          <w:szCs w:val="24"/>
        </w:rPr>
        <w:t>废止。本办法如与国家颁布的法律、法规或经法定程序修订后的本行《章程》不符时，按国家有关法律、</w:t>
      </w:r>
      <w:r>
        <w:rPr>
          <w:rFonts w:hint="eastAsia" w:ascii="宋体" w:hAnsi="宋体" w:eastAsia="宋体" w:cs="宋体"/>
          <w:kern w:val="0"/>
          <w:sz w:val="24"/>
          <w:szCs w:val="24"/>
        </w:rPr>
        <w:t>法规和本行《章程》的规定执行。</w:t>
      </w:r>
      <w:r>
        <w:rPr>
          <w:rFonts w:hint="eastAsia" w:hAnsi="宋体" w:eastAsia="宋体" w:cs="宋体"/>
          <w:sz w:val="24"/>
          <w:szCs w:val="24"/>
        </w:rPr>
        <w:br w:type="page"/>
      </w:r>
    </w:p>
    <w:p>
      <w:pPr>
        <w:pStyle w:val="19"/>
      </w:pPr>
    </w:p>
    <w:p>
      <w:pPr>
        <w:spacing w:line="360" w:lineRule="auto"/>
        <w:jc w:val="center"/>
        <w:rPr>
          <w:rFonts w:ascii="宋体" w:hAnsi="宋体" w:eastAsia="宋体" w:cs="宋体"/>
          <w:b/>
          <w:bCs/>
          <w:sz w:val="28"/>
          <w:szCs w:val="36"/>
        </w:rPr>
      </w:pPr>
      <w:r>
        <w:rPr>
          <w:rFonts w:hint="eastAsia" w:ascii="宋体" w:hAnsi="宋体" w:eastAsia="宋体" w:cs="宋体"/>
          <w:b/>
          <w:bCs/>
          <w:color w:val="000000"/>
          <w:sz w:val="30"/>
          <w:szCs w:val="30"/>
        </w:rPr>
        <mc:AlternateContent>
          <mc:Choice Requires="wps">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494915" cy="676275"/>
                <wp:effectExtent l="5080" t="4445" r="14605" b="5080"/>
                <wp:wrapNone/>
                <wp:docPr id="16" name="文本框 3"/>
                <wp:cNvGraphicFramePr/>
                <a:graphic xmlns:a="http://schemas.openxmlformats.org/drawingml/2006/main">
                  <a:graphicData uri="http://schemas.microsoft.com/office/word/2010/wordprocessingShape">
                    <wps:wsp>
                      <wps:cNvSpPr txBox="1"/>
                      <wps:spPr>
                        <a:xfrm>
                          <a:off x="0" y="0"/>
                          <a:ext cx="2494915" cy="676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rPr>
                              <w:t>议案</w:t>
                            </w:r>
                            <w:r>
                              <w:rPr>
                                <w:rFonts w:hint="eastAsia" w:ascii="宋体" w:hAnsi="宋体" w:eastAsia="宋体" w:cs="宋体"/>
                                <w:lang w:val="en-US" w:eastAsia="zh-CN"/>
                              </w:rPr>
                              <w:t>16</w:t>
                            </w:r>
                          </w:p>
                        </w:txbxContent>
                      </wps:txbx>
                      <wps:bodyPr wrap="square" upright="1"/>
                    </wps:wsp>
                  </a:graphicData>
                </a:graphic>
              </wp:anchor>
            </w:drawing>
          </mc:Choice>
          <mc:Fallback>
            <w:pict>
              <v:shape id="文本框 3" o:spid="_x0000_s1026" o:spt="202" type="#_x0000_t202" style="position:absolute;left:0pt;margin-left:0pt;margin-top:0pt;height:53.25pt;width:196.45pt;z-index:251674624;mso-width-relative:page;mso-height-relative:page;" fillcolor="#FFFFFF" filled="t" stroked="t" coordsize="21600,21600" o:gfxdata="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hXBbWAAAABQEAAA8AAAAAAAAAAQAgAAAAIgAAAGRycy9kb3ducmV2Lnht&#10;bFBLAQIUABQAAAAIAIdO4kAVtyjN+wEAAPcDAAAOAAAAAAAAAAEAIAAAACUBAABkcnMvZTJvRG9j&#10;LnhtbFBLBQYAAAAABgAGAFkBAACSBQ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rPr>
                        <w:t>议案</w:t>
                      </w:r>
                      <w:r>
                        <w:rPr>
                          <w:rFonts w:hint="eastAsia" w:ascii="宋体" w:hAnsi="宋体" w:eastAsia="宋体" w:cs="宋体"/>
                          <w:lang w:val="en-US" w:eastAsia="zh-CN"/>
                        </w:rPr>
                        <w:t>16</w:t>
                      </w:r>
                    </w:p>
                  </w:txbxContent>
                </v:textbox>
              </v:shape>
            </w:pict>
          </mc:Fallback>
        </mc:AlternateContent>
      </w:r>
    </w:p>
    <w:p>
      <w:pPr>
        <w:spacing w:line="360" w:lineRule="auto"/>
        <w:jc w:val="center"/>
        <w:rPr>
          <w:rFonts w:ascii="宋体" w:hAnsi="宋体" w:eastAsia="宋体" w:cs="宋体"/>
          <w:b/>
          <w:bCs/>
          <w:sz w:val="28"/>
          <w:szCs w:val="36"/>
        </w:rPr>
      </w:pPr>
    </w:p>
    <w:p>
      <w:pPr>
        <w:spacing w:line="360" w:lineRule="auto"/>
        <w:jc w:val="center"/>
        <w:outlineLvl w:val="0"/>
        <w:rPr>
          <w:rFonts w:ascii="宋体" w:hAnsi="宋体" w:eastAsia="宋体" w:cs="宋体"/>
          <w:bCs/>
          <w:color w:val="000000"/>
          <w:kern w:val="36"/>
          <w:sz w:val="24"/>
        </w:rPr>
      </w:pPr>
      <w:r>
        <w:rPr>
          <w:rFonts w:hint="eastAsia" w:ascii="宋体" w:hAnsi="宋体" w:eastAsia="宋体" w:cs="宋体"/>
          <w:b/>
          <w:bCs/>
          <w:sz w:val="28"/>
          <w:szCs w:val="36"/>
        </w:rPr>
        <w:t>关于制定《厦门银行股份有限公司监事薪酬管理办法》的议案</w:t>
      </w:r>
    </w:p>
    <w:p>
      <w:pPr>
        <w:snapToGrid w:val="0"/>
        <w:spacing w:line="360" w:lineRule="auto"/>
        <w:rPr>
          <w:rFonts w:hint="eastAsia" w:ascii="宋体" w:hAnsi="宋体" w:eastAsia="宋体" w:cs="宋体"/>
          <w:bCs/>
          <w:color w:val="000000"/>
          <w:kern w:val="36"/>
          <w:sz w:val="24"/>
        </w:rPr>
      </w:pPr>
    </w:p>
    <w:p>
      <w:pPr>
        <w:snapToGrid w:val="0"/>
        <w:spacing w:line="360" w:lineRule="auto"/>
        <w:rPr>
          <w:rFonts w:ascii="宋体" w:hAnsi="宋体" w:eastAsia="宋体" w:cs="宋体"/>
          <w:sz w:val="24"/>
        </w:rPr>
      </w:pPr>
      <w:r>
        <w:rPr>
          <w:rFonts w:hint="eastAsia" w:ascii="宋体" w:hAnsi="宋体" w:eastAsia="宋体" w:cs="宋体"/>
          <w:bCs/>
          <w:color w:val="000000"/>
          <w:kern w:val="36"/>
          <w:sz w:val="24"/>
        </w:rPr>
        <w:t>尊敬的各位</w:t>
      </w:r>
      <w:r>
        <w:rPr>
          <w:rFonts w:hint="eastAsia" w:ascii="宋体" w:hAnsi="宋体" w:eastAsia="宋体" w:cs="宋体"/>
          <w:sz w:val="24"/>
        </w:rPr>
        <w:t>股东</w:t>
      </w:r>
      <w:r>
        <w:rPr>
          <w:rFonts w:hint="eastAsia" w:ascii="宋体" w:hAnsi="宋体" w:eastAsia="宋体" w:cs="宋体"/>
          <w:bCs/>
          <w:color w:val="000000"/>
          <w:kern w:val="36"/>
          <w:sz w:val="24"/>
        </w:rPr>
        <w:t>：</w:t>
      </w:r>
    </w:p>
    <w:p>
      <w:pPr>
        <w:pStyle w:val="19"/>
        <w:snapToGrid w:val="0"/>
        <w:spacing w:line="360" w:lineRule="auto"/>
        <w:ind w:firstLine="480" w:firstLineChars="200"/>
        <w:rPr>
          <w:rFonts w:hint="eastAsia" w:ascii="宋体" w:hAnsi="宋体" w:eastAsia="宋体"/>
          <w:sz w:val="24"/>
          <w:lang w:val="en-US" w:eastAsia="zh-CN"/>
        </w:rPr>
      </w:pPr>
      <w:r>
        <w:rPr>
          <w:rFonts w:hint="eastAsia" w:ascii="宋体" w:hAnsi="宋体" w:eastAsia="宋体"/>
          <w:sz w:val="24"/>
          <w:lang w:val="en-US" w:eastAsia="zh-CN"/>
        </w:rPr>
        <w:t>为建立健全科学有效的公司治理机制，依据《中华人民共和国商业银行法》《中华人民共和国银行业监督管理法》《商业银行稳健薪酬监管指引》和《公司章程》等有关规定，本行拟制定《厦门银行股份有限公司监事薪酬管理办法》，具体内容详见附件。本办法自股东大会通过之日起实施。</w:t>
      </w:r>
    </w:p>
    <w:p>
      <w:pPr>
        <w:pStyle w:val="19"/>
        <w:snapToGrid w:val="0"/>
        <w:spacing w:line="360" w:lineRule="auto"/>
        <w:ind w:firstLine="480" w:firstLineChars="200"/>
        <w:rPr>
          <w:rFonts w:hint="default" w:ascii="宋体" w:hAnsi="宋体" w:eastAsia="宋体"/>
          <w:sz w:val="24"/>
          <w:lang w:val="en-US" w:eastAsia="zh-CN"/>
        </w:rPr>
      </w:pPr>
    </w:p>
    <w:p>
      <w:pPr>
        <w:pStyle w:val="19"/>
        <w:snapToGrid w:val="0"/>
        <w:spacing w:line="360" w:lineRule="auto"/>
        <w:ind w:firstLine="480" w:firstLineChars="200"/>
        <w:rPr>
          <w:rFonts w:ascii="宋体" w:hAnsi="宋体" w:eastAsia="宋体" w:cs="宋体"/>
          <w:sz w:val="24"/>
          <w:szCs w:val="20"/>
        </w:rPr>
      </w:pPr>
      <w:r>
        <w:rPr>
          <w:rFonts w:hint="eastAsia" w:ascii="宋体" w:hAnsi="宋体" w:eastAsia="宋体" w:cs="宋体"/>
          <w:sz w:val="24"/>
        </w:rPr>
        <w:t>本议案已经第八届监事会第</w:t>
      </w:r>
      <w:r>
        <w:rPr>
          <w:rFonts w:hint="eastAsia" w:ascii="宋体" w:hAnsi="宋体" w:eastAsia="宋体" w:cs="宋体"/>
          <w:sz w:val="24"/>
          <w:lang w:val="en-US" w:eastAsia="zh-CN"/>
        </w:rPr>
        <w:t>十一</w:t>
      </w:r>
      <w:r>
        <w:rPr>
          <w:rFonts w:hint="eastAsia" w:ascii="宋体" w:hAnsi="宋体" w:eastAsia="宋体" w:cs="宋体"/>
          <w:sz w:val="24"/>
        </w:rPr>
        <w:t>次会议审议通过，请各位股东审议。</w:t>
      </w:r>
    </w:p>
    <w:p>
      <w:pPr>
        <w:pStyle w:val="19"/>
        <w:snapToGrid w:val="0"/>
        <w:spacing w:line="360" w:lineRule="auto"/>
        <w:ind w:firstLine="480" w:firstLineChars="200"/>
        <w:rPr>
          <w:rFonts w:ascii="宋体" w:hAnsi="宋体" w:eastAsia="宋体" w:cs="宋体"/>
          <w:sz w:val="24"/>
          <w:szCs w:val="20"/>
        </w:rPr>
      </w:pPr>
    </w:p>
    <w:p>
      <w:pPr>
        <w:pStyle w:val="19"/>
        <w:snapToGrid w:val="0"/>
        <w:spacing w:line="360" w:lineRule="auto"/>
        <w:ind w:firstLine="480" w:firstLineChars="200"/>
        <w:rPr>
          <w:rFonts w:ascii="宋体" w:hAnsi="宋体" w:eastAsia="宋体" w:cs="宋体"/>
          <w:sz w:val="24"/>
          <w:szCs w:val="20"/>
        </w:rPr>
      </w:pPr>
      <w:r>
        <w:rPr>
          <w:rFonts w:hint="eastAsia" w:ascii="宋体" w:hAnsi="宋体" w:eastAsia="宋体" w:cs="宋体"/>
          <w:sz w:val="24"/>
          <w:szCs w:val="20"/>
        </w:rPr>
        <w:t>附件：厦门银行股份有限公司监事薪酬管理办法</w:t>
      </w:r>
    </w:p>
    <w:p>
      <w:pPr>
        <w:pStyle w:val="7"/>
        <w:snapToGrid w:val="0"/>
        <w:spacing w:line="360" w:lineRule="auto"/>
        <w:ind w:firstLine="480" w:firstLineChars="200"/>
        <w:jc w:val="right"/>
        <w:rPr>
          <w:rFonts w:hAnsi="宋体" w:eastAsia="宋体" w:cs="宋体"/>
          <w:sz w:val="24"/>
          <w:szCs w:val="24"/>
        </w:rPr>
      </w:pPr>
      <w:r>
        <w:rPr>
          <w:rFonts w:hint="eastAsia" w:hAnsi="宋体" w:eastAsia="宋体" w:cs="宋体"/>
          <w:sz w:val="24"/>
          <w:szCs w:val="24"/>
        </w:rPr>
        <w:t>厦门银行股份有限公司</w:t>
      </w:r>
    </w:p>
    <w:p>
      <w:pPr>
        <w:pStyle w:val="7"/>
        <w:snapToGrid w:val="0"/>
        <w:spacing w:line="360" w:lineRule="auto"/>
        <w:ind w:firstLine="480" w:firstLineChars="200"/>
        <w:jc w:val="right"/>
        <w:rPr>
          <w:rFonts w:hint="eastAsia" w:hAnsi="宋体" w:eastAsia="宋体" w:cs="宋体"/>
          <w:sz w:val="24"/>
          <w:szCs w:val="24"/>
        </w:rPr>
      </w:pPr>
      <w:r>
        <w:rPr>
          <w:rFonts w:hint="eastAsia" w:hAnsi="宋体" w:eastAsia="宋体" w:cs="宋体"/>
          <w:sz w:val="24"/>
          <w:szCs w:val="24"/>
        </w:rPr>
        <w:t>202</w:t>
      </w:r>
      <w:r>
        <w:rPr>
          <w:rFonts w:hint="eastAsia" w:hAnsi="宋体" w:eastAsia="宋体" w:cs="宋体"/>
          <w:sz w:val="24"/>
          <w:szCs w:val="24"/>
          <w:lang w:val="en-US" w:eastAsia="zh-CN"/>
        </w:rPr>
        <w:t>2</w:t>
      </w:r>
      <w:r>
        <w:rPr>
          <w:rFonts w:hint="eastAsia" w:hAnsi="宋体" w:eastAsia="宋体" w:cs="宋体"/>
          <w:sz w:val="24"/>
          <w:szCs w:val="24"/>
        </w:rPr>
        <w:t>年</w:t>
      </w:r>
      <w:r>
        <w:rPr>
          <w:rFonts w:hint="eastAsia" w:hAnsi="宋体" w:eastAsia="宋体" w:cs="宋体"/>
          <w:sz w:val="24"/>
          <w:szCs w:val="24"/>
          <w:lang w:val="en-US" w:eastAsia="zh-CN"/>
        </w:rPr>
        <w:t>6</w:t>
      </w:r>
      <w:r>
        <w:rPr>
          <w:rFonts w:hint="eastAsia" w:hAnsi="宋体" w:eastAsia="宋体" w:cs="宋体"/>
          <w:sz w:val="24"/>
          <w:szCs w:val="24"/>
        </w:rPr>
        <w:t>月</w:t>
      </w:r>
      <w:r>
        <w:rPr>
          <w:rFonts w:hint="eastAsia" w:hAnsi="宋体" w:eastAsia="宋体" w:cs="宋体"/>
          <w:sz w:val="24"/>
          <w:szCs w:val="24"/>
          <w:lang w:val="en-US" w:eastAsia="zh-CN"/>
        </w:rPr>
        <w:t>2</w:t>
      </w:r>
      <w:r>
        <w:rPr>
          <w:rFonts w:hint="eastAsia" w:hAnsi="宋体" w:eastAsia="宋体" w:cs="宋体"/>
          <w:sz w:val="24"/>
          <w:szCs w:val="24"/>
        </w:rPr>
        <w:t>日</w:t>
      </w:r>
    </w:p>
    <w:p>
      <w:pPr>
        <w:rPr>
          <w:rFonts w:hint="eastAsia" w:hAnsi="宋体" w:eastAsia="宋体" w:cs="宋体"/>
          <w:sz w:val="24"/>
          <w:szCs w:val="24"/>
        </w:rPr>
      </w:pPr>
      <w:r>
        <w:rPr>
          <w:rFonts w:hint="eastAsia" w:hAnsi="宋体" w:eastAsia="宋体" w:cs="宋体"/>
          <w:sz w:val="24"/>
          <w:szCs w:val="24"/>
        </w:rPr>
        <w:br w:type="page"/>
      </w:r>
    </w:p>
    <w:p>
      <w:pPr>
        <w:widowControl/>
        <w:spacing w:line="520" w:lineRule="exact"/>
        <w:jc w:val="left"/>
        <w:rPr>
          <w:rFonts w:hint="eastAsia" w:ascii="宋体" w:hAnsi="宋体" w:eastAsiaTheme="minorEastAsia"/>
          <w:b/>
          <w:sz w:val="24"/>
          <w:szCs w:val="24"/>
          <w:lang w:val="en-US" w:eastAsia="zh-CN"/>
        </w:rPr>
      </w:pPr>
      <w:r>
        <w:rPr>
          <w:rFonts w:hint="eastAsia" w:ascii="宋体" w:hAnsi="宋体"/>
          <w:b/>
          <w:sz w:val="24"/>
          <w:szCs w:val="24"/>
          <w:lang w:val="en-US" w:eastAsia="zh-CN"/>
        </w:rPr>
        <w:t>附件：</w:t>
      </w:r>
    </w:p>
    <w:p>
      <w:pPr>
        <w:widowControl/>
        <w:spacing w:line="520" w:lineRule="exact"/>
        <w:jc w:val="center"/>
        <w:rPr>
          <w:rFonts w:hint="eastAsia" w:ascii="宋体" w:hAnsi="宋体"/>
          <w:b/>
          <w:sz w:val="32"/>
          <w:szCs w:val="32"/>
        </w:rPr>
      </w:pPr>
      <w:r>
        <w:rPr>
          <w:rFonts w:hint="eastAsia" w:ascii="宋体" w:hAnsi="宋体"/>
          <w:b/>
          <w:sz w:val="32"/>
          <w:szCs w:val="32"/>
        </w:rPr>
        <w:t>厦门银行股份有限公司监事薪酬管理办法</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第一章 总则</w:t>
      </w:r>
    </w:p>
    <w:p>
      <w:pPr>
        <w:keepNext w:val="0"/>
        <w:keepLines w:val="0"/>
        <w:pageBreakBefore w:val="0"/>
        <w:widowControl w:val="0"/>
        <w:numPr>
          <w:ilvl w:val="0"/>
          <w:numId w:val="21"/>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rPr>
      </w:pPr>
      <w:r>
        <w:rPr>
          <w:rFonts w:hint="eastAsia" w:ascii="宋体" w:hAnsi="宋体" w:eastAsia="宋体" w:cs="宋体"/>
          <w:sz w:val="24"/>
          <w:szCs w:val="24"/>
        </w:rPr>
        <w:t>厦门银行股份有限公司（以下简称“本行”）为建立健全科学有效的公司治理机制，规范本行监事薪酬的管理，建立有效的激励约束机制，按照《中华人民共和国商业银行法》《中华人民共和国银行业监督管理法》《商业银行稳健薪酬监管指引》和本行《章程》等有关规定，特制定本办法。</w:t>
      </w:r>
    </w:p>
    <w:p>
      <w:pPr>
        <w:keepNext w:val="0"/>
        <w:keepLines w:val="0"/>
        <w:pageBreakBefore w:val="0"/>
        <w:widowControl w:val="0"/>
        <w:numPr>
          <w:ilvl w:val="0"/>
          <w:numId w:val="21"/>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rPr>
      </w:pPr>
      <w:r>
        <w:rPr>
          <w:rFonts w:hint="eastAsia" w:ascii="宋体" w:hAnsi="宋体" w:eastAsia="宋体" w:cs="宋体"/>
          <w:sz w:val="24"/>
          <w:szCs w:val="24"/>
        </w:rPr>
        <w:t>本办法制定的基本原则</w:t>
      </w:r>
    </w:p>
    <w:p>
      <w:pPr>
        <w:keepNext w:val="0"/>
        <w:keepLines w:val="0"/>
        <w:pageBreakBefore w:val="0"/>
        <w:widowControl w:val="0"/>
        <w:tabs>
          <w:tab w:val="left" w:pos="1418"/>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1、依法合规原则。薪酬政策符合国家及有关部门颁布的法律法规、其他有关规范性文件及本行章程的规定，符合本行公司治理机制的要求；</w:t>
      </w:r>
    </w:p>
    <w:p>
      <w:pPr>
        <w:keepNext w:val="0"/>
        <w:keepLines w:val="0"/>
        <w:pageBreakBefore w:val="0"/>
        <w:widowControl w:val="0"/>
        <w:tabs>
          <w:tab w:val="left" w:pos="1418"/>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2、激励与约束相结合原则。激励和约束并举，使薪酬分配支持本行的发展战略和经营目标的实现，实现个人价值与银行价值、股东价值的统一；</w:t>
      </w:r>
    </w:p>
    <w:p>
      <w:pPr>
        <w:keepNext w:val="0"/>
        <w:keepLines w:val="0"/>
        <w:pageBreakBefore w:val="0"/>
        <w:widowControl w:val="0"/>
        <w:tabs>
          <w:tab w:val="left" w:pos="1418"/>
        </w:tabs>
        <w:kinsoku/>
        <w:wordWrap/>
        <w:overflowPunct/>
        <w:topLinePunct w:val="0"/>
        <w:autoSpaceDE/>
        <w:autoSpaceDN/>
        <w:bidi w:val="0"/>
        <w:adjustRightInd/>
        <w:snapToGrid w:val="0"/>
        <w:spacing w:line="360" w:lineRule="auto"/>
        <w:ind w:left="482"/>
        <w:textAlignment w:val="auto"/>
        <w:rPr>
          <w:rFonts w:hint="eastAsia" w:ascii="宋体" w:hAnsi="宋体" w:eastAsia="宋体" w:cs="宋体"/>
          <w:sz w:val="24"/>
          <w:szCs w:val="24"/>
        </w:rPr>
      </w:pPr>
      <w:r>
        <w:rPr>
          <w:rFonts w:hint="eastAsia" w:ascii="宋体" w:hAnsi="宋体" w:eastAsia="宋体" w:cs="宋体"/>
          <w:sz w:val="24"/>
          <w:szCs w:val="24"/>
        </w:rPr>
        <w:t>3、市场导向原则。实行以价值创造为导向、具有市场竞争力的薪酬策略。</w:t>
      </w:r>
    </w:p>
    <w:p>
      <w:pPr>
        <w:keepNext w:val="0"/>
        <w:keepLines w:val="0"/>
        <w:pageBreakBefore w:val="0"/>
        <w:widowControl w:val="0"/>
        <w:numPr>
          <w:ilvl w:val="0"/>
          <w:numId w:val="21"/>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rPr>
      </w:pPr>
      <w:r>
        <w:rPr>
          <w:rFonts w:hint="eastAsia" w:ascii="宋体" w:hAnsi="宋体" w:eastAsia="宋体" w:cs="宋体"/>
          <w:sz w:val="24"/>
          <w:szCs w:val="24"/>
        </w:rPr>
        <w:t>本办法的实施范围为本行监事。</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第二章 薪酬的构成和核定</w:t>
      </w:r>
    </w:p>
    <w:p>
      <w:pPr>
        <w:keepNext w:val="0"/>
        <w:keepLines w:val="0"/>
        <w:pageBreakBefore w:val="0"/>
        <w:widowControl w:val="0"/>
        <w:numPr>
          <w:ilvl w:val="0"/>
          <w:numId w:val="21"/>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本行监事薪酬分为年薪制及</w:t>
      </w:r>
      <w:r>
        <w:rPr>
          <w:rFonts w:hint="eastAsia" w:ascii="宋体" w:hAnsi="宋体" w:eastAsia="宋体" w:cs="宋体"/>
          <w:sz w:val="24"/>
          <w:szCs w:val="24"/>
          <w:highlight w:val="none"/>
          <w:lang w:val="en-US" w:eastAsia="zh-CN"/>
        </w:rPr>
        <w:t>固定薪酬加津贴</w:t>
      </w:r>
      <w:r>
        <w:rPr>
          <w:rFonts w:hint="eastAsia" w:ascii="宋体" w:hAnsi="宋体" w:eastAsia="宋体" w:cs="宋体"/>
          <w:sz w:val="24"/>
          <w:szCs w:val="24"/>
          <w:highlight w:val="none"/>
        </w:rPr>
        <w:t>制。</w:t>
      </w:r>
    </w:p>
    <w:p>
      <w:pPr>
        <w:keepNext w:val="0"/>
        <w:keepLines w:val="0"/>
        <w:pageBreakBefore w:val="0"/>
        <w:widowControl w:val="0"/>
        <w:numPr>
          <w:ilvl w:val="0"/>
          <w:numId w:val="21"/>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highlight w:val="none"/>
        </w:rPr>
      </w:pPr>
      <w:r>
        <w:rPr>
          <w:rFonts w:hint="eastAsia" w:ascii="宋体" w:hAnsi="宋体" w:eastAsia="宋体" w:cs="宋体"/>
          <w:sz w:val="24"/>
          <w:szCs w:val="24"/>
          <w:highlight w:val="none"/>
        </w:rPr>
        <w:t>在本行</w:t>
      </w:r>
      <w:r>
        <w:rPr>
          <w:rFonts w:hint="eastAsia" w:ascii="宋体" w:hAnsi="宋体" w:eastAsia="宋体" w:cs="宋体"/>
          <w:sz w:val="24"/>
          <w:szCs w:val="24"/>
          <w:highlight w:val="none"/>
          <w:lang w:val="en-US" w:eastAsia="zh-CN"/>
        </w:rPr>
        <w:t>担任其他职务</w:t>
      </w:r>
      <w:r>
        <w:rPr>
          <w:rFonts w:hint="eastAsia" w:ascii="宋体" w:hAnsi="宋体" w:eastAsia="宋体" w:cs="宋体"/>
          <w:sz w:val="24"/>
          <w:szCs w:val="24"/>
          <w:highlight w:val="none"/>
        </w:rPr>
        <w:t>的监事实行年薪制，按照本行现行有效的相关薪酬制度、办法或方案执行。</w:t>
      </w:r>
    </w:p>
    <w:p>
      <w:pPr>
        <w:keepNext w:val="0"/>
        <w:keepLines w:val="0"/>
        <w:pageBreakBefore w:val="0"/>
        <w:widowControl w:val="0"/>
        <w:numPr>
          <w:ilvl w:val="0"/>
          <w:numId w:val="21"/>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rPr>
      </w:pPr>
      <w:r>
        <w:rPr>
          <w:rFonts w:hint="eastAsia" w:ascii="宋体" w:hAnsi="宋体" w:eastAsia="宋体" w:cs="宋体"/>
          <w:sz w:val="24"/>
          <w:szCs w:val="24"/>
          <w:highlight w:val="none"/>
        </w:rPr>
        <w:t>外部监事实行</w:t>
      </w:r>
      <w:r>
        <w:rPr>
          <w:rFonts w:hint="eastAsia" w:ascii="宋体" w:hAnsi="宋体" w:eastAsia="宋体" w:cs="宋体"/>
          <w:sz w:val="24"/>
          <w:szCs w:val="24"/>
          <w:highlight w:val="none"/>
          <w:lang w:val="en-US" w:eastAsia="zh-CN"/>
        </w:rPr>
        <w:t>固定薪酬加津贴制</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固定薪酬定期发放</w:t>
      </w:r>
      <w:r>
        <w:rPr>
          <w:rFonts w:hint="eastAsia" w:ascii="宋体" w:hAnsi="宋体" w:eastAsia="宋体" w:cs="宋体"/>
          <w:sz w:val="24"/>
          <w:szCs w:val="24"/>
          <w:lang w:val="en-US" w:eastAsia="zh-CN"/>
        </w:rPr>
        <w:t>；</w:t>
      </w:r>
      <w:r>
        <w:rPr>
          <w:rFonts w:hint="eastAsia" w:ascii="宋体" w:hAnsi="宋体" w:eastAsia="宋体" w:cs="宋体"/>
          <w:sz w:val="24"/>
          <w:szCs w:val="24"/>
          <w:u w:val="none"/>
          <w:lang w:val="en-US"/>
        </w:rPr>
        <w:t>本行对于参加</w:t>
      </w:r>
      <w:r>
        <w:rPr>
          <w:rFonts w:hint="eastAsia" w:ascii="宋体" w:hAnsi="宋体" w:eastAsia="宋体" w:cs="宋体"/>
          <w:sz w:val="24"/>
          <w:szCs w:val="24"/>
          <w:u w:val="none"/>
          <w:lang w:val="en-US" w:eastAsia="zh-CN"/>
        </w:rPr>
        <w:t>监事会</w:t>
      </w:r>
      <w:r>
        <w:rPr>
          <w:rFonts w:hint="eastAsia" w:ascii="宋体" w:hAnsi="宋体" w:eastAsia="宋体" w:cs="宋体"/>
          <w:sz w:val="24"/>
          <w:szCs w:val="24"/>
          <w:u w:val="none"/>
          <w:lang w:val="en-US"/>
        </w:rPr>
        <w:t>现场会议的</w:t>
      </w:r>
      <w:r>
        <w:rPr>
          <w:rFonts w:hint="eastAsia" w:ascii="宋体" w:hAnsi="宋体" w:eastAsia="宋体" w:cs="宋体"/>
          <w:sz w:val="24"/>
          <w:szCs w:val="24"/>
          <w:u w:val="none"/>
          <w:lang w:val="en-US" w:eastAsia="zh-CN"/>
        </w:rPr>
        <w:t>外部监事</w:t>
      </w:r>
      <w:r>
        <w:rPr>
          <w:rFonts w:hint="eastAsia" w:ascii="宋体" w:hAnsi="宋体" w:eastAsia="宋体" w:cs="宋体"/>
          <w:sz w:val="24"/>
          <w:szCs w:val="24"/>
          <w:u w:val="none"/>
          <w:lang w:val="en-US"/>
        </w:rPr>
        <w:t>将</w:t>
      </w:r>
      <w:r>
        <w:rPr>
          <w:rFonts w:hint="eastAsia" w:ascii="宋体" w:hAnsi="宋体" w:eastAsia="宋体" w:cs="宋体"/>
          <w:sz w:val="24"/>
          <w:szCs w:val="24"/>
          <w:u w:val="none"/>
          <w:lang w:val="en-US" w:eastAsia="zh-CN"/>
        </w:rPr>
        <w:t>发放会议津贴</w:t>
      </w:r>
      <w:r>
        <w:rPr>
          <w:rFonts w:hint="eastAsia" w:ascii="宋体" w:hAnsi="宋体" w:eastAsia="宋体" w:cs="宋体"/>
          <w:sz w:val="24"/>
          <w:szCs w:val="24"/>
          <w:highlight w:val="none"/>
          <w:lang w:val="en-US" w:eastAsia="zh-CN"/>
        </w:rPr>
        <w:t>。</w:t>
      </w:r>
    </w:p>
    <w:p>
      <w:pPr>
        <w:keepNext w:val="0"/>
        <w:keepLines w:val="0"/>
        <w:pageBreakBefore w:val="0"/>
        <w:widowControl w:val="0"/>
        <w:numPr>
          <w:ilvl w:val="0"/>
          <w:numId w:val="21"/>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rPr>
      </w:pPr>
      <w:r>
        <w:rPr>
          <w:rFonts w:hint="eastAsia" w:ascii="宋体" w:hAnsi="宋体" w:eastAsia="宋体" w:cs="宋体"/>
          <w:sz w:val="24"/>
          <w:szCs w:val="24"/>
        </w:rPr>
        <w:t>未在本行</w:t>
      </w:r>
      <w:r>
        <w:rPr>
          <w:rFonts w:hint="eastAsia" w:ascii="宋体" w:hAnsi="宋体" w:eastAsia="宋体" w:cs="宋体"/>
          <w:sz w:val="24"/>
          <w:szCs w:val="24"/>
          <w:lang w:val="en-US" w:eastAsia="zh-CN"/>
        </w:rPr>
        <w:t>担任其他职务</w:t>
      </w:r>
      <w:r>
        <w:rPr>
          <w:rFonts w:hint="eastAsia" w:ascii="宋体" w:hAnsi="宋体" w:eastAsia="宋体" w:cs="宋体"/>
          <w:sz w:val="24"/>
          <w:szCs w:val="24"/>
        </w:rPr>
        <w:t>的股东监事不从本行领取</w:t>
      </w:r>
      <w:r>
        <w:rPr>
          <w:rFonts w:hint="eastAsia" w:ascii="宋体" w:hAnsi="宋体" w:eastAsia="宋体" w:cs="宋体"/>
          <w:sz w:val="24"/>
          <w:szCs w:val="24"/>
          <w:lang w:val="en-US" w:eastAsia="zh-CN"/>
        </w:rPr>
        <w:t>薪酬</w:t>
      </w:r>
      <w:r>
        <w:rPr>
          <w:rFonts w:hint="eastAsia" w:ascii="宋体" w:hAnsi="宋体" w:eastAsia="宋体" w:cs="宋体"/>
          <w:sz w:val="24"/>
          <w:szCs w:val="24"/>
        </w:rPr>
        <w:t>。</w:t>
      </w:r>
    </w:p>
    <w:p>
      <w:pPr>
        <w:keepNext w:val="0"/>
        <w:keepLines w:val="0"/>
        <w:pageBreakBefore w:val="0"/>
        <w:widowControl w:val="0"/>
        <w:numPr>
          <w:ilvl w:val="0"/>
          <w:numId w:val="21"/>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u w:val="none"/>
          <w:lang w:val="en-US"/>
        </w:rPr>
      </w:pPr>
      <w:r>
        <w:rPr>
          <w:rFonts w:hint="eastAsia" w:ascii="宋体" w:hAnsi="宋体" w:eastAsia="宋体" w:cs="宋体"/>
          <w:sz w:val="24"/>
          <w:szCs w:val="24"/>
        </w:rPr>
        <w:t>全体监事因参加相关会议、调研等本行工作所产生的所有费用，由本行承担</w:t>
      </w:r>
      <w:r>
        <w:rPr>
          <w:rFonts w:hint="eastAsia" w:ascii="宋体" w:hAnsi="宋体" w:eastAsia="宋体" w:cs="宋体"/>
          <w:sz w:val="24"/>
          <w:szCs w:val="24"/>
          <w:u w:val="none"/>
          <w:lang w:val="en-US"/>
        </w:rPr>
        <w:t>。</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第三章 薪酬管理</w:t>
      </w:r>
    </w:p>
    <w:p>
      <w:pPr>
        <w:keepNext w:val="0"/>
        <w:keepLines w:val="0"/>
        <w:pageBreakBefore w:val="0"/>
        <w:widowControl w:val="0"/>
        <w:numPr>
          <w:ilvl w:val="0"/>
          <w:numId w:val="21"/>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rPr>
      </w:pPr>
      <w:r>
        <w:rPr>
          <w:rFonts w:hint="eastAsia" w:ascii="宋体" w:hAnsi="宋体" w:eastAsia="宋体" w:cs="宋体"/>
          <w:sz w:val="24"/>
          <w:szCs w:val="24"/>
        </w:rPr>
        <w:t>监事会提名委员会根据其职责权限负责本办法的实施。</w:t>
      </w:r>
    </w:p>
    <w:p>
      <w:pPr>
        <w:keepNext w:val="0"/>
        <w:keepLines w:val="0"/>
        <w:pageBreakBefore w:val="0"/>
        <w:widowControl w:val="0"/>
        <w:numPr>
          <w:ilvl w:val="0"/>
          <w:numId w:val="21"/>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shd w:val="clear" w:color="auto" w:fill="FFFF00"/>
        </w:rPr>
      </w:pPr>
      <w:r>
        <w:rPr>
          <w:rFonts w:hint="eastAsia" w:ascii="宋体" w:hAnsi="宋体" w:eastAsia="宋体" w:cs="宋体"/>
          <w:sz w:val="24"/>
          <w:szCs w:val="24"/>
        </w:rPr>
        <w:t>监事会负责对本行监事薪酬执行情况的监督。</w:t>
      </w:r>
    </w:p>
    <w:p>
      <w:pPr>
        <w:keepNext w:val="0"/>
        <w:keepLines w:val="0"/>
        <w:pageBreakBefore w:val="0"/>
        <w:widowControl w:val="0"/>
        <w:numPr>
          <w:ilvl w:val="0"/>
          <w:numId w:val="21"/>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rPr>
      </w:pPr>
      <w:r>
        <w:rPr>
          <w:rFonts w:hint="eastAsia" w:ascii="宋体" w:hAnsi="宋体" w:eastAsia="宋体" w:cs="宋体"/>
          <w:sz w:val="24"/>
          <w:szCs w:val="24"/>
        </w:rPr>
        <w:t>外部监事在任职期间未能亲自出席年度内三分之二（含）以上监事会及监事会下设委员会现场会议或连续缺席两次（含）以上监事会及监事会下设委员会会议的，经监事会提名委员会审议通过，</w:t>
      </w:r>
      <w:r>
        <w:rPr>
          <w:rFonts w:hint="eastAsia" w:ascii="宋体" w:hAnsi="宋体" w:eastAsia="宋体" w:cs="宋体"/>
          <w:sz w:val="24"/>
          <w:szCs w:val="24"/>
          <w:shd w:val="clear" w:color="auto" w:fill="auto"/>
        </w:rPr>
        <w:t>原则上应停发其一个季度</w:t>
      </w:r>
      <w:r>
        <w:rPr>
          <w:rFonts w:hint="eastAsia" w:ascii="宋体" w:hAnsi="宋体" w:eastAsia="宋体" w:cs="宋体"/>
          <w:sz w:val="24"/>
          <w:szCs w:val="24"/>
          <w:shd w:val="clear" w:color="auto" w:fill="auto"/>
          <w:lang w:val="en-US" w:eastAsia="zh-CN"/>
        </w:rPr>
        <w:t>固定薪酬</w:t>
      </w:r>
      <w:r>
        <w:rPr>
          <w:rFonts w:hint="eastAsia" w:ascii="宋体" w:hAnsi="宋体" w:eastAsia="宋体" w:cs="宋体"/>
          <w:sz w:val="24"/>
          <w:szCs w:val="24"/>
          <w:shd w:val="clear" w:color="auto" w:fill="auto"/>
        </w:rPr>
        <w:t>。</w:t>
      </w:r>
    </w:p>
    <w:p>
      <w:pPr>
        <w:keepNext w:val="0"/>
        <w:keepLines w:val="0"/>
        <w:pageBreakBefore w:val="0"/>
        <w:widowControl w:val="0"/>
        <w:numPr>
          <w:ilvl w:val="0"/>
          <w:numId w:val="21"/>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rPr>
      </w:pPr>
      <w:r>
        <w:rPr>
          <w:rFonts w:hint="eastAsia" w:ascii="宋体" w:hAnsi="宋体" w:eastAsia="宋体" w:cs="宋体"/>
          <w:sz w:val="24"/>
          <w:szCs w:val="24"/>
        </w:rPr>
        <w:t>监事因换届或于任期内辞职时，经监事会提名委员会考核后，薪酬按其任期时间发放。因依照相关法律法规及本行《章程》《外部监事工作制度》的规定被罢免时，尚未发放的薪酬不予发放。但法律法规或者生效法律文书另有规定的除外。</w:t>
      </w:r>
    </w:p>
    <w:p>
      <w:pPr>
        <w:keepNext w:val="0"/>
        <w:keepLines w:val="0"/>
        <w:pageBreakBefore w:val="0"/>
        <w:widowControl w:val="0"/>
        <w:numPr>
          <w:ilvl w:val="0"/>
          <w:numId w:val="21"/>
        </w:numPr>
        <w:tabs>
          <w:tab w:val="left" w:pos="1418"/>
        </w:tabs>
        <w:kinsoku/>
        <w:wordWrap/>
        <w:overflowPunct/>
        <w:topLinePunct w:val="0"/>
        <w:autoSpaceDE/>
        <w:autoSpaceDN/>
        <w:bidi w:val="0"/>
        <w:adjustRightInd/>
        <w:snapToGrid w:val="0"/>
        <w:spacing w:line="360" w:lineRule="auto"/>
        <w:ind w:left="0" w:firstLine="482"/>
        <w:textAlignment w:val="auto"/>
        <w:rPr>
          <w:rFonts w:hint="eastAsia" w:ascii="宋体" w:hAnsi="宋体" w:eastAsia="宋体" w:cs="宋体"/>
          <w:sz w:val="24"/>
          <w:szCs w:val="24"/>
        </w:rPr>
      </w:pPr>
      <w:r>
        <w:rPr>
          <w:rFonts w:hint="eastAsia" w:ascii="宋体" w:hAnsi="宋体" w:eastAsia="宋体" w:cs="宋体"/>
          <w:sz w:val="24"/>
          <w:szCs w:val="24"/>
        </w:rPr>
        <w:t>监事薪酬收入需按国家规定缴纳个人所得税，并由本行代扣代缴。</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第四章 附则</w:t>
      </w:r>
    </w:p>
    <w:p>
      <w:pPr>
        <w:keepNext w:val="0"/>
        <w:keepLines w:val="0"/>
        <w:pageBreakBefore w:val="0"/>
        <w:widowControl w:val="0"/>
        <w:numPr>
          <w:ilvl w:val="0"/>
          <w:numId w:val="21"/>
        </w:numPr>
        <w:tabs>
          <w:tab w:val="left" w:pos="1418"/>
        </w:tabs>
        <w:kinsoku/>
        <w:wordWrap/>
        <w:overflowPunct/>
        <w:topLinePunct w:val="0"/>
        <w:autoSpaceDE/>
        <w:autoSpaceDN/>
        <w:bidi w:val="0"/>
        <w:adjustRightInd/>
        <w:snapToGrid w:val="0"/>
        <w:spacing w:line="360" w:lineRule="auto"/>
        <w:ind w:left="0" w:firstLine="482"/>
        <w:textAlignment w:val="auto"/>
        <w:rPr>
          <w:rFonts w:hint="eastAsia" w:hAnsi="宋体" w:cs="宋体" w:eastAsiaTheme="minorEastAsia"/>
          <w:sz w:val="24"/>
          <w:szCs w:val="24"/>
          <w:lang w:eastAsia="zh-CN"/>
        </w:rPr>
      </w:pPr>
      <w:r>
        <w:rPr>
          <w:rFonts w:hint="eastAsia" w:ascii="宋体" w:hAnsi="宋体" w:eastAsia="宋体" w:cs="宋体"/>
          <w:sz w:val="24"/>
          <w:szCs w:val="24"/>
        </w:rPr>
        <w:t>本办法经股东大会审议通过后生效。原《厦门银行股份有限公司厦门银行股份有限公司董事、监事薪酬管理办法》（厦门银行董〔2021〕3号）同时废止。本办法如与国家颁布的法律、法规或经法定程序修订后的本行《章程》不符时，按国家有关法律、</w:t>
      </w:r>
      <w:r>
        <w:rPr>
          <w:rFonts w:hint="eastAsia" w:ascii="宋体" w:hAnsi="宋体" w:eastAsia="宋体" w:cs="宋体"/>
          <w:kern w:val="0"/>
          <w:sz w:val="24"/>
          <w:szCs w:val="24"/>
        </w:rPr>
        <w:t>法规和本行《章程》的规定执行</w:t>
      </w:r>
      <w:r>
        <w:rPr>
          <w:rFonts w:hint="eastAsia" w:ascii="宋体" w:hAnsi="宋体" w:eastAsia="宋体" w:cs="宋体"/>
          <w:kern w:val="0"/>
          <w:sz w:val="24"/>
          <w:szCs w:val="24"/>
          <w:lang w:eastAsia="zh-CN"/>
        </w:rPr>
        <w:t>。</w:t>
      </w:r>
    </w:p>
    <w:p>
      <w:pPr>
        <w:rPr>
          <w:rFonts w:hint="eastAsia" w:hAnsi="宋体" w:eastAsia="宋体" w:cs="宋体"/>
          <w:sz w:val="24"/>
          <w:szCs w:val="24"/>
        </w:rPr>
      </w:pPr>
      <w:r>
        <w:rPr>
          <w:rFonts w:hint="eastAsia" w:hAnsi="宋体" w:eastAsia="宋体" w:cs="宋体"/>
          <w:sz w:val="24"/>
          <w:szCs w:val="24"/>
        </w:rPr>
        <w:br w:type="page"/>
      </w:r>
    </w:p>
    <w:p>
      <w:pPr>
        <w:pStyle w:val="19"/>
      </w:pPr>
    </w:p>
    <w:p>
      <w:pPr>
        <w:spacing w:line="360" w:lineRule="auto"/>
        <w:jc w:val="center"/>
        <w:rPr>
          <w:rFonts w:ascii="宋体" w:hAnsi="宋体" w:eastAsia="宋体" w:cs="宋体"/>
          <w:b/>
          <w:bCs/>
          <w:sz w:val="28"/>
          <w:szCs w:val="36"/>
        </w:rPr>
      </w:pPr>
      <w:r>
        <w:rPr>
          <w:rFonts w:hint="eastAsia" w:ascii="宋体" w:hAnsi="宋体" w:eastAsia="宋体" w:cs="宋体"/>
          <w:b/>
          <w:bCs/>
          <w:color w:val="000000"/>
          <w:sz w:val="30"/>
          <w:szCs w:val="30"/>
        </w:rPr>
        <mc:AlternateContent>
          <mc:Choice Requires="wps">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494915" cy="676275"/>
                <wp:effectExtent l="5080" t="4445" r="14605" b="5080"/>
                <wp:wrapNone/>
                <wp:docPr id="17" name="文本框 3"/>
                <wp:cNvGraphicFramePr/>
                <a:graphic xmlns:a="http://schemas.openxmlformats.org/drawingml/2006/main">
                  <a:graphicData uri="http://schemas.microsoft.com/office/word/2010/wordprocessingShape">
                    <wps:wsp>
                      <wps:cNvSpPr txBox="1"/>
                      <wps:spPr>
                        <a:xfrm>
                          <a:off x="0" y="0"/>
                          <a:ext cx="2494915" cy="676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lang w:val="en-US" w:eastAsia="zh-CN"/>
                              </w:rPr>
                              <w:t>报告1</w:t>
                            </w:r>
                          </w:p>
                        </w:txbxContent>
                      </wps:txbx>
                      <wps:bodyPr wrap="square" upright="1"/>
                    </wps:wsp>
                  </a:graphicData>
                </a:graphic>
              </wp:anchor>
            </w:drawing>
          </mc:Choice>
          <mc:Fallback>
            <w:pict>
              <v:shape id="文本框 3" o:spid="_x0000_s1026" o:spt="202" type="#_x0000_t202" style="position:absolute;left:0pt;margin-left:0pt;margin-top:0pt;height:53.25pt;width:196.45pt;z-index:251675648;mso-width-relative:page;mso-height-relative:page;" fillcolor="#FFFFFF" filled="t" stroked="t" coordsize="21600,21600" o:gfxdata="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hXBbWAAAABQEAAA8AAAAAAAAAAQAgAAAAIgAAAGRycy9kb3ducmV2Lnht&#10;bFBLAQIUABQAAAAIAIdO4kC1SoRA+wEAAPcDAAAOAAAAAAAAAAEAIAAAACUBAABkcnMvZTJvRG9j&#10;LnhtbFBLBQYAAAAABgAGAFkBAACSBQ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lang w:val="en-US" w:eastAsia="zh-CN"/>
                        </w:rPr>
                        <w:t>报告1</w:t>
                      </w:r>
                    </w:p>
                  </w:txbxContent>
                </v:textbox>
              </v:shape>
            </w:pict>
          </mc:Fallback>
        </mc:AlternateContent>
      </w:r>
    </w:p>
    <w:p>
      <w:pPr>
        <w:spacing w:line="360" w:lineRule="auto"/>
        <w:jc w:val="center"/>
        <w:rPr>
          <w:rFonts w:ascii="宋体" w:hAnsi="宋体" w:eastAsia="宋体" w:cs="宋体"/>
          <w:b/>
          <w:bCs/>
          <w:sz w:val="28"/>
          <w:szCs w:val="36"/>
        </w:rPr>
      </w:pPr>
    </w:p>
    <w:p>
      <w:pPr>
        <w:spacing w:line="360" w:lineRule="auto"/>
        <w:jc w:val="center"/>
        <w:outlineLvl w:val="0"/>
        <w:rPr>
          <w:rFonts w:ascii="宋体" w:hAnsi="宋体" w:eastAsia="宋体" w:cs="宋体"/>
          <w:bCs/>
          <w:color w:val="000000"/>
          <w:kern w:val="36"/>
          <w:sz w:val="24"/>
        </w:rPr>
      </w:pPr>
      <w:r>
        <w:rPr>
          <w:rFonts w:hint="eastAsia" w:ascii="宋体" w:hAnsi="宋体" w:eastAsia="宋体" w:cs="宋体"/>
          <w:b/>
          <w:bCs/>
          <w:sz w:val="28"/>
          <w:szCs w:val="36"/>
        </w:rPr>
        <w:t>厦门银行股份有限公司2021年度关联交易管理情况报告</w:t>
      </w:r>
    </w:p>
    <w:p>
      <w:pPr>
        <w:snapToGrid w:val="0"/>
        <w:spacing w:line="360" w:lineRule="auto"/>
        <w:rPr>
          <w:rFonts w:hint="eastAsia" w:ascii="宋体" w:hAnsi="宋体" w:eastAsia="宋体" w:cs="宋体"/>
          <w:bCs/>
          <w:color w:val="000000"/>
          <w:kern w:val="36"/>
          <w:sz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sz w:val="24"/>
          <w:szCs w:val="24"/>
        </w:rPr>
      </w:pPr>
      <w:r>
        <w:rPr>
          <w:rFonts w:hint="eastAsia" w:ascii="宋体" w:hAnsi="宋体" w:eastAsia="宋体" w:cs="宋体"/>
          <w:bCs/>
          <w:color w:val="000000"/>
          <w:kern w:val="36"/>
          <w:sz w:val="24"/>
          <w:szCs w:val="24"/>
        </w:rPr>
        <w:t>尊敬的各位</w:t>
      </w:r>
      <w:r>
        <w:rPr>
          <w:rFonts w:hint="eastAsia" w:ascii="宋体" w:hAnsi="宋体" w:eastAsia="宋体" w:cs="宋体"/>
          <w:sz w:val="24"/>
          <w:szCs w:val="24"/>
        </w:rPr>
        <w:t>股东</w:t>
      </w:r>
      <w:r>
        <w:rPr>
          <w:rFonts w:hint="eastAsia" w:ascii="宋体" w:hAnsi="宋体" w:eastAsia="宋体" w:cs="宋体"/>
          <w:bCs/>
          <w:color w:val="000000"/>
          <w:kern w:val="36"/>
          <w:sz w:val="24"/>
          <w:szCs w:val="24"/>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shd w:val="clear" w:color="auto" w:fill="FFFFFF"/>
        </w:rPr>
      </w:pPr>
      <w:r>
        <w:rPr>
          <w:rFonts w:hint="eastAsia" w:ascii="宋体" w:hAnsi="宋体" w:eastAsia="宋体" w:cs="宋体"/>
          <w:sz w:val="24"/>
          <w:szCs w:val="24"/>
          <w:highlight w:val="none"/>
          <w:shd w:val="clear" w:color="auto" w:fill="FFFFFF"/>
        </w:rPr>
        <w:t>根据</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商业银行与内部人和股东关联交易管理办法</w:t>
      </w:r>
      <w:r>
        <w:rPr>
          <w:rFonts w:hint="eastAsia" w:ascii="宋体" w:hAnsi="宋体" w:eastAsia="宋体" w:cs="宋体"/>
          <w:sz w:val="24"/>
          <w:szCs w:val="24"/>
          <w:highlight w:val="none"/>
          <w:shd w:val="clear" w:color="auto" w:fill="FFFFFF"/>
          <w:lang w:eastAsia="zh-CN"/>
        </w:rPr>
        <w:t>》</w:t>
      </w:r>
      <w:r>
        <w:rPr>
          <w:rStyle w:val="18"/>
          <w:rFonts w:hint="eastAsia" w:ascii="宋体" w:hAnsi="宋体" w:eastAsia="宋体" w:cs="宋体"/>
          <w:sz w:val="24"/>
          <w:szCs w:val="24"/>
          <w:highlight w:val="none"/>
          <w:shd w:val="clear" w:color="auto" w:fill="FFFFFF"/>
          <w:lang w:eastAsia="zh-CN"/>
        </w:rPr>
        <w:footnoteReference w:id="6"/>
      </w:r>
      <w:r>
        <w:rPr>
          <w:rFonts w:hint="eastAsia" w:ascii="宋体" w:hAnsi="宋体" w:eastAsia="宋体" w:cs="宋体"/>
          <w:i w:val="0"/>
          <w:caps w:val="0"/>
          <w:spacing w:val="0"/>
          <w:sz w:val="24"/>
          <w:szCs w:val="24"/>
          <w:highlight w:val="none"/>
          <w:shd w:val="clear" w:color="auto" w:fill="FFFFFF"/>
        </w:rPr>
        <w:t>《公开发行证券的公司信息披露编报规则第26号－商业银行信息披露特别规定》</w:t>
      </w:r>
      <w:r>
        <w:rPr>
          <w:rFonts w:hint="eastAsia" w:ascii="宋体" w:hAnsi="宋体" w:eastAsia="宋体" w:cs="宋体"/>
          <w:sz w:val="24"/>
          <w:szCs w:val="24"/>
          <w:highlight w:val="none"/>
          <w:shd w:val="clear" w:color="auto" w:fill="FFFFFF"/>
        </w:rPr>
        <w:t>《上海证券交易所股票上市规则（2022年1月修订）》</w:t>
      </w:r>
      <w:r>
        <w:rPr>
          <w:rFonts w:hint="eastAsia" w:ascii="宋体" w:hAnsi="宋体" w:eastAsia="宋体" w:cs="宋体"/>
          <w:sz w:val="24"/>
          <w:szCs w:val="24"/>
          <w:highlight w:val="none"/>
          <w:shd w:val="clear" w:color="auto" w:fill="FFFFFF"/>
          <w:lang w:val="en-US" w:eastAsia="zh-CN"/>
        </w:rPr>
        <w:t>以及</w:t>
      </w:r>
      <w:r>
        <w:rPr>
          <w:rFonts w:hint="eastAsia" w:ascii="宋体" w:hAnsi="宋体" w:eastAsia="宋体" w:cs="宋体"/>
          <w:sz w:val="24"/>
          <w:szCs w:val="24"/>
          <w:highlight w:val="none"/>
          <w:shd w:val="clear" w:color="auto" w:fill="FFFFFF"/>
        </w:rPr>
        <w:t>中国银保监会</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中国证监会</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上交所等监管机构要求，现将公司202</w:t>
      </w:r>
      <w:r>
        <w:rPr>
          <w:rFonts w:hint="eastAsia" w:ascii="宋体" w:hAnsi="宋体" w:eastAsia="宋体" w:cs="宋体"/>
          <w:sz w:val="24"/>
          <w:szCs w:val="24"/>
          <w:highlight w:val="none"/>
          <w:shd w:val="clear" w:color="auto" w:fill="FFFFFF"/>
          <w:lang w:val="en-US" w:eastAsia="zh-CN"/>
        </w:rPr>
        <w:t>1</w:t>
      </w:r>
      <w:r>
        <w:rPr>
          <w:rFonts w:hint="eastAsia" w:ascii="宋体" w:hAnsi="宋体" w:eastAsia="宋体" w:cs="宋体"/>
          <w:sz w:val="24"/>
          <w:szCs w:val="24"/>
          <w:highlight w:val="none"/>
          <w:shd w:val="clear" w:color="auto" w:fill="FFFFFF"/>
        </w:rPr>
        <w:t>年度关联交易情况报告如下：</w:t>
      </w:r>
    </w:p>
    <w:p>
      <w:pPr>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bCs/>
          <w:sz w:val="24"/>
          <w:szCs w:val="24"/>
          <w:highlight w:val="none"/>
          <w:shd w:val="clear" w:color="auto" w:fill="FFFFFF"/>
        </w:rPr>
      </w:pPr>
      <w:r>
        <w:rPr>
          <w:rFonts w:hint="eastAsia" w:ascii="宋体" w:hAnsi="宋体" w:eastAsia="宋体" w:cs="宋体"/>
          <w:b/>
          <w:bCs/>
          <w:sz w:val="24"/>
          <w:szCs w:val="24"/>
          <w:highlight w:val="none"/>
          <w:shd w:val="clear" w:color="auto" w:fill="FFFFFF"/>
        </w:rPr>
        <w:t>关联交易管理</w:t>
      </w:r>
      <w:r>
        <w:rPr>
          <w:rFonts w:hint="eastAsia" w:ascii="宋体" w:hAnsi="宋体" w:eastAsia="宋体" w:cs="宋体"/>
          <w:b/>
          <w:bCs/>
          <w:sz w:val="24"/>
          <w:szCs w:val="24"/>
          <w:highlight w:val="none"/>
          <w:shd w:val="clear" w:color="auto" w:fill="FFFFFF"/>
          <w:lang w:val="en-US" w:eastAsia="zh-CN"/>
        </w:rPr>
        <w:t>工作</w:t>
      </w:r>
      <w:r>
        <w:rPr>
          <w:rFonts w:hint="eastAsia" w:ascii="宋体" w:hAnsi="宋体" w:eastAsia="宋体" w:cs="宋体"/>
          <w:b/>
          <w:bCs/>
          <w:sz w:val="24"/>
          <w:szCs w:val="24"/>
          <w:highlight w:val="none"/>
          <w:shd w:val="clear" w:color="auto" w:fill="FFFFFF"/>
        </w:rPr>
        <w:t>情况</w:t>
      </w:r>
    </w:p>
    <w:p>
      <w:pPr>
        <w:keepNext w:val="0"/>
        <w:keepLines w:val="0"/>
        <w:pageBreakBefore w:val="0"/>
        <w:widowControl w:val="0"/>
        <w:numPr>
          <w:ilvl w:val="0"/>
          <w:numId w:val="23"/>
        </w:numPr>
        <w:kinsoku/>
        <w:wordWrap/>
        <w:overflowPunct/>
        <w:topLinePunct w:val="0"/>
        <w:autoSpaceDE/>
        <w:autoSpaceDN/>
        <w:bidi w:val="0"/>
        <w:adjustRightInd/>
        <w:snapToGrid w:val="0"/>
        <w:spacing w:line="360" w:lineRule="auto"/>
        <w:ind w:left="0" w:leftChars="0" w:firstLine="316" w:firstLineChars="131"/>
        <w:textAlignment w:val="auto"/>
        <w:rPr>
          <w:rFonts w:hint="eastAsia" w:ascii="宋体" w:hAnsi="宋体" w:eastAsia="宋体" w:cs="宋体"/>
          <w:b/>
          <w:bCs/>
          <w:sz w:val="24"/>
          <w:szCs w:val="24"/>
          <w:highlight w:val="none"/>
          <w:shd w:val="clear" w:color="auto" w:fill="FFFFFF"/>
        </w:rPr>
      </w:pPr>
      <w:r>
        <w:rPr>
          <w:rFonts w:hint="eastAsia" w:ascii="宋体" w:hAnsi="宋体" w:eastAsia="宋体" w:cs="宋体"/>
          <w:b/>
          <w:bCs/>
          <w:sz w:val="24"/>
          <w:szCs w:val="24"/>
          <w:highlight w:val="none"/>
          <w:shd w:val="clear" w:color="auto" w:fill="FFFFFF"/>
          <w:lang w:val="en-US" w:eastAsia="zh-CN"/>
        </w:rPr>
        <w:t>董监事</w:t>
      </w:r>
      <w:r>
        <w:rPr>
          <w:rFonts w:hint="eastAsia" w:ascii="宋体" w:hAnsi="宋体" w:eastAsia="宋体" w:cs="宋体"/>
          <w:b/>
          <w:bCs/>
          <w:sz w:val="24"/>
          <w:szCs w:val="24"/>
          <w:highlight w:val="none"/>
          <w:shd w:val="clear" w:color="auto" w:fill="FFFFFF"/>
        </w:rPr>
        <w:t>恪尽职守</w:t>
      </w:r>
      <w:r>
        <w:rPr>
          <w:rFonts w:hint="eastAsia" w:ascii="宋体" w:hAnsi="宋体" w:eastAsia="宋体" w:cs="宋体"/>
          <w:b/>
          <w:bCs/>
          <w:sz w:val="24"/>
          <w:szCs w:val="24"/>
          <w:highlight w:val="none"/>
          <w:shd w:val="clear" w:color="auto" w:fill="FFFFFF"/>
          <w:lang w:eastAsia="zh-CN"/>
        </w:rPr>
        <w:t>，</w:t>
      </w:r>
      <w:r>
        <w:rPr>
          <w:rFonts w:hint="eastAsia" w:ascii="宋体" w:hAnsi="宋体" w:eastAsia="宋体" w:cs="宋体"/>
          <w:b/>
          <w:bCs/>
          <w:sz w:val="24"/>
          <w:szCs w:val="24"/>
          <w:highlight w:val="none"/>
          <w:shd w:val="clear" w:color="auto" w:fill="FFFFFF"/>
        </w:rPr>
        <w:t>有效防范关联交易风险</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shd w:val="clear" w:color="auto" w:fill="FFFFFF"/>
        </w:rPr>
      </w:pPr>
      <w:r>
        <w:rPr>
          <w:rFonts w:hint="eastAsia" w:ascii="宋体" w:hAnsi="宋体" w:eastAsia="宋体" w:cs="宋体"/>
          <w:sz w:val="24"/>
          <w:szCs w:val="24"/>
          <w:highlight w:val="none"/>
          <w:shd w:val="clear" w:color="auto" w:fill="FFFFFF"/>
        </w:rPr>
        <w:t>202</w:t>
      </w:r>
      <w:r>
        <w:rPr>
          <w:rFonts w:hint="eastAsia" w:ascii="宋体" w:hAnsi="宋体" w:eastAsia="宋体" w:cs="宋体"/>
          <w:sz w:val="24"/>
          <w:szCs w:val="24"/>
          <w:highlight w:val="none"/>
          <w:shd w:val="clear" w:color="auto" w:fill="FFFFFF"/>
          <w:lang w:val="en-US" w:eastAsia="zh-CN"/>
        </w:rPr>
        <w:t>1</w:t>
      </w:r>
      <w:r>
        <w:rPr>
          <w:rFonts w:hint="eastAsia" w:ascii="宋体" w:hAnsi="宋体" w:eastAsia="宋体" w:cs="宋体"/>
          <w:sz w:val="24"/>
          <w:szCs w:val="24"/>
          <w:highlight w:val="none"/>
          <w:shd w:val="clear" w:color="auto" w:fill="FFFFFF"/>
        </w:rPr>
        <w:t>年</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val="en-US" w:eastAsia="zh-CN"/>
        </w:rPr>
        <w:t>公司董监事会持续高度重视关联交易管理</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shd w:val="clear" w:color="auto" w:fill="FFFFFF"/>
          <w:lang w:val="en-US" w:eastAsia="zh-CN"/>
        </w:rPr>
        <w:t>董事会通过审议关联方</w:t>
      </w:r>
      <w:r>
        <w:rPr>
          <w:rFonts w:hint="eastAsia" w:ascii="宋体" w:hAnsi="宋体" w:eastAsia="宋体" w:cs="宋体"/>
          <w:sz w:val="24"/>
          <w:szCs w:val="24"/>
          <w:highlight w:val="none"/>
          <w:shd w:val="clear" w:color="auto" w:fill="FFFFFF"/>
        </w:rPr>
        <w:t>拟发生的</w:t>
      </w:r>
      <w:r>
        <w:rPr>
          <w:rFonts w:hint="eastAsia" w:ascii="宋体" w:hAnsi="宋体" w:eastAsia="宋体" w:cs="宋体"/>
          <w:sz w:val="24"/>
          <w:szCs w:val="24"/>
          <w:highlight w:val="none"/>
          <w:shd w:val="clear" w:color="auto" w:fill="FFFFFF"/>
          <w:lang w:val="en-US" w:eastAsia="zh-CN"/>
        </w:rPr>
        <w:t>日常</w:t>
      </w:r>
      <w:r>
        <w:rPr>
          <w:rFonts w:hint="eastAsia" w:ascii="宋体" w:hAnsi="宋体" w:eastAsia="宋体" w:cs="宋体"/>
          <w:sz w:val="24"/>
          <w:szCs w:val="24"/>
          <w:highlight w:val="none"/>
          <w:shd w:val="clear" w:color="auto" w:fill="FFFFFF"/>
        </w:rPr>
        <w:t>关联交易</w:t>
      </w:r>
      <w:r>
        <w:rPr>
          <w:rFonts w:hint="eastAsia" w:ascii="宋体" w:hAnsi="宋体" w:eastAsia="宋体" w:cs="宋体"/>
          <w:sz w:val="24"/>
          <w:szCs w:val="24"/>
          <w:highlight w:val="none"/>
          <w:shd w:val="clear" w:color="auto" w:fill="FFFFFF"/>
          <w:lang w:val="en-US" w:eastAsia="zh-CN"/>
        </w:rPr>
        <w:t>预计额度、达到银保监标准的重大关联交易等议案，并定期审阅公司关联交易季报，</w:t>
      </w:r>
      <w:r>
        <w:rPr>
          <w:rFonts w:hint="eastAsia" w:ascii="宋体" w:hAnsi="宋体" w:eastAsia="宋体" w:cs="宋体"/>
          <w:sz w:val="24"/>
          <w:szCs w:val="24"/>
          <w:highlight w:val="none"/>
          <w:shd w:val="clear" w:color="auto" w:fill="FFFFFF"/>
        </w:rPr>
        <w:t>充分履行了关联交易事前审核和事后监督职责</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对关联交易的实质性、公允性、合规性进行严格把关</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val="en-US" w:eastAsia="zh-CN"/>
        </w:rPr>
        <w:t>监事会通过列席董事会会议并审阅关联交易相关议案，审阅公司关联交易季报，履行监督职责。</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shd w:val="clear" w:color="auto" w:fill="FFFFFF"/>
        </w:rPr>
      </w:pPr>
      <w:r>
        <w:rPr>
          <w:rFonts w:hint="eastAsia" w:ascii="宋体" w:hAnsi="宋体" w:eastAsia="宋体" w:cs="宋体"/>
          <w:sz w:val="24"/>
          <w:szCs w:val="24"/>
          <w:highlight w:val="none"/>
          <w:shd w:val="clear" w:color="auto" w:fill="FFFFFF"/>
        </w:rPr>
        <w:t>公司董事会风险控制与关联交易管理委员会</w:t>
      </w:r>
      <w:r>
        <w:rPr>
          <w:rFonts w:hint="eastAsia" w:ascii="宋体" w:hAnsi="宋体" w:eastAsia="宋体" w:cs="宋体"/>
          <w:sz w:val="24"/>
          <w:szCs w:val="24"/>
          <w:highlight w:val="none"/>
          <w:shd w:val="clear" w:color="auto" w:fill="FFFFFF"/>
          <w:lang w:val="en-US" w:eastAsia="zh-CN"/>
        </w:rPr>
        <w:t>2021年</w:t>
      </w:r>
      <w:r>
        <w:rPr>
          <w:rFonts w:hint="eastAsia" w:ascii="宋体" w:hAnsi="宋体" w:eastAsia="宋体" w:cs="宋体"/>
          <w:sz w:val="24"/>
          <w:szCs w:val="24"/>
          <w:highlight w:val="none"/>
          <w:shd w:val="clear" w:color="auto" w:fill="FFFFFF"/>
        </w:rPr>
        <w:t>共召开</w:t>
      </w:r>
      <w:r>
        <w:rPr>
          <w:rFonts w:hint="eastAsia" w:ascii="宋体" w:hAnsi="宋体" w:eastAsia="宋体" w:cs="宋体"/>
          <w:sz w:val="24"/>
          <w:szCs w:val="24"/>
          <w:highlight w:val="none"/>
          <w:shd w:val="clear" w:color="auto" w:fill="FFFFFF"/>
          <w:lang w:val="en-US" w:eastAsia="zh-CN"/>
        </w:rPr>
        <w:t>9</w:t>
      </w:r>
      <w:r>
        <w:rPr>
          <w:rFonts w:hint="eastAsia" w:ascii="宋体" w:hAnsi="宋体" w:eastAsia="宋体" w:cs="宋体"/>
          <w:sz w:val="24"/>
          <w:szCs w:val="24"/>
          <w:highlight w:val="none"/>
          <w:shd w:val="clear" w:color="auto" w:fill="FFFFFF"/>
        </w:rPr>
        <w:t>次会议，其中涉及</w:t>
      </w:r>
      <w:r>
        <w:rPr>
          <w:rFonts w:hint="eastAsia" w:ascii="宋体" w:hAnsi="宋体" w:eastAsia="宋体" w:cs="宋体"/>
          <w:sz w:val="24"/>
          <w:szCs w:val="24"/>
          <w:highlight w:val="none"/>
          <w:shd w:val="clear" w:color="auto" w:fill="FFFFFF"/>
          <w:lang w:val="en-US" w:eastAsia="zh-CN"/>
        </w:rPr>
        <w:t>关联方及</w:t>
      </w:r>
      <w:r>
        <w:rPr>
          <w:rFonts w:hint="eastAsia" w:ascii="宋体" w:hAnsi="宋体" w:eastAsia="宋体" w:cs="宋体"/>
          <w:sz w:val="24"/>
          <w:szCs w:val="24"/>
          <w:highlight w:val="none"/>
          <w:shd w:val="clear" w:color="auto" w:fill="FFFFFF"/>
        </w:rPr>
        <w:t>关联交易</w:t>
      </w:r>
      <w:r>
        <w:rPr>
          <w:rFonts w:hint="eastAsia" w:ascii="宋体" w:hAnsi="宋体" w:eastAsia="宋体" w:cs="宋体"/>
          <w:sz w:val="24"/>
          <w:szCs w:val="24"/>
          <w:highlight w:val="none"/>
          <w:shd w:val="clear" w:color="auto" w:fill="FFFFFF"/>
          <w:lang w:val="en-US" w:eastAsia="zh-CN"/>
        </w:rPr>
        <w:t>管理</w:t>
      </w:r>
      <w:r>
        <w:rPr>
          <w:rFonts w:hint="eastAsia" w:ascii="宋体" w:hAnsi="宋体" w:eastAsia="宋体" w:cs="宋体"/>
          <w:sz w:val="24"/>
          <w:szCs w:val="24"/>
          <w:highlight w:val="none"/>
          <w:shd w:val="clear" w:color="auto" w:fill="FFFFFF"/>
        </w:rPr>
        <w:t>事项会议</w:t>
      </w:r>
      <w:r>
        <w:rPr>
          <w:rFonts w:hint="eastAsia" w:ascii="宋体" w:hAnsi="宋体" w:eastAsia="宋体" w:cs="宋体"/>
          <w:sz w:val="24"/>
          <w:szCs w:val="24"/>
          <w:highlight w:val="none"/>
          <w:shd w:val="clear" w:color="auto" w:fill="FFFFFF"/>
          <w:lang w:val="en-US" w:eastAsia="zh-CN"/>
        </w:rPr>
        <w:t>6</w:t>
      </w:r>
      <w:r>
        <w:rPr>
          <w:rFonts w:hint="eastAsia" w:ascii="宋体" w:hAnsi="宋体" w:eastAsia="宋体" w:cs="宋体"/>
          <w:sz w:val="24"/>
          <w:szCs w:val="24"/>
          <w:highlight w:val="none"/>
          <w:shd w:val="clear" w:color="auto" w:fill="FFFFFF"/>
        </w:rPr>
        <w:t>次，先后审议通过《厦门银行股份有限公司关于申请圆信永丰基金管理有限公司同业交易的议案》《厦门银行股份有限公司2020年度关联交易管理情况报告》《厦门银行股份有限公司关于金圆集团向公司申请授信的议案》《厦门银行股份有限公司关于七匹狼关联集团向公司申请授信的议案》等1</w:t>
      </w:r>
      <w:r>
        <w:rPr>
          <w:rFonts w:hint="eastAsia" w:ascii="宋体" w:hAnsi="宋体" w:eastAsia="宋体" w:cs="宋体"/>
          <w:sz w:val="24"/>
          <w:szCs w:val="24"/>
          <w:highlight w:val="none"/>
          <w:shd w:val="clear" w:color="auto" w:fill="FFFFFF"/>
          <w:lang w:val="en-US" w:eastAsia="zh-CN"/>
        </w:rPr>
        <w:t>0</w:t>
      </w:r>
      <w:r>
        <w:rPr>
          <w:rFonts w:hint="eastAsia" w:ascii="宋体" w:hAnsi="宋体" w:eastAsia="宋体" w:cs="宋体"/>
          <w:sz w:val="24"/>
          <w:szCs w:val="24"/>
          <w:highlight w:val="none"/>
          <w:shd w:val="clear" w:color="auto" w:fill="FFFFFF"/>
        </w:rPr>
        <w:t>项议案。</w:t>
      </w:r>
    </w:p>
    <w:p>
      <w:pPr>
        <w:keepNext w:val="0"/>
        <w:keepLines w:val="0"/>
        <w:pageBreakBefore w:val="0"/>
        <w:widowControl w:val="0"/>
        <w:numPr>
          <w:ilvl w:val="0"/>
          <w:numId w:val="23"/>
        </w:numPr>
        <w:kinsoku/>
        <w:wordWrap/>
        <w:overflowPunct/>
        <w:topLinePunct w:val="0"/>
        <w:autoSpaceDE/>
        <w:autoSpaceDN/>
        <w:bidi w:val="0"/>
        <w:adjustRightInd/>
        <w:snapToGrid w:val="0"/>
        <w:spacing w:line="360" w:lineRule="auto"/>
        <w:textAlignment w:val="auto"/>
        <w:rPr>
          <w:rFonts w:hint="eastAsia" w:ascii="宋体" w:hAnsi="宋体" w:eastAsia="宋体" w:cs="宋体"/>
          <w:b/>
          <w:bCs/>
          <w:sz w:val="24"/>
          <w:szCs w:val="24"/>
          <w:highlight w:val="none"/>
          <w:shd w:val="clear" w:color="auto" w:fill="FFFFFF"/>
        </w:rPr>
      </w:pPr>
      <w:r>
        <w:rPr>
          <w:rFonts w:hint="eastAsia" w:ascii="宋体" w:hAnsi="宋体" w:eastAsia="宋体" w:cs="宋体"/>
          <w:b/>
          <w:bCs/>
          <w:sz w:val="24"/>
          <w:szCs w:val="24"/>
          <w:highlight w:val="none"/>
          <w:shd w:val="clear" w:color="auto" w:fill="FFFFFF"/>
          <w:lang w:val="en-US" w:eastAsia="zh-CN"/>
        </w:rPr>
        <w:t>持续重视关联方及关联交易管理，夯实关联交易管理基础</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shd w:val="clear" w:color="auto" w:fill="FFFFFF"/>
        </w:rPr>
      </w:pPr>
      <w:r>
        <w:rPr>
          <w:rFonts w:hint="eastAsia" w:ascii="宋体" w:hAnsi="宋体" w:eastAsia="宋体" w:cs="宋体"/>
          <w:sz w:val="24"/>
          <w:szCs w:val="24"/>
          <w:highlight w:val="none"/>
          <w:shd w:val="clear" w:color="auto" w:fill="FFFFFF"/>
          <w:lang w:val="en-US" w:eastAsia="zh-CN"/>
        </w:rPr>
        <w:t>1.关联方管理方面，</w:t>
      </w:r>
      <w:r>
        <w:rPr>
          <w:rFonts w:hint="eastAsia" w:ascii="宋体" w:hAnsi="宋体" w:eastAsia="宋体" w:cs="宋体"/>
          <w:sz w:val="24"/>
          <w:szCs w:val="24"/>
          <w:highlight w:val="none"/>
          <w:shd w:val="clear" w:color="auto" w:fill="FFFFFF"/>
        </w:rPr>
        <w:t>报告期内公司严格按照监管规定和《厦门银行股份有限公司关联交易管理办法》对关联方进行认定，</w:t>
      </w:r>
      <w:r>
        <w:rPr>
          <w:rFonts w:hint="eastAsia" w:ascii="宋体" w:hAnsi="宋体" w:eastAsia="宋体" w:cs="宋体"/>
          <w:sz w:val="24"/>
          <w:szCs w:val="24"/>
          <w:highlight w:val="none"/>
          <w:shd w:val="clear" w:color="auto" w:fill="FFFFFF"/>
          <w:lang w:val="en-US" w:eastAsia="zh-CN"/>
        </w:rPr>
        <w:t>并形成关联方名单。日常工作中，</w:t>
      </w:r>
      <w:r>
        <w:rPr>
          <w:rFonts w:hint="eastAsia" w:ascii="宋体" w:hAnsi="宋体" w:eastAsia="宋体" w:cs="宋体"/>
          <w:sz w:val="24"/>
          <w:szCs w:val="24"/>
          <w:highlight w:val="none"/>
          <w:shd w:val="clear" w:color="auto" w:fill="FFFFFF"/>
        </w:rPr>
        <w:t>定期组织董事、监事和高级管理人员、主要股东及其他内部人填写关联方信息收集表，更新关联方名单；同时对关联方变化情况进行不定期更新，以邮件形式发送</w:t>
      </w:r>
      <w:r>
        <w:rPr>
          <w:rFonts w:hint="eastAsia" w:ascii="宋体" w:hAnsi="宋体" w:eastAsia="宋体" w:cs="宋体"/>
          <w:sz w:val="24"/>
          <w:szCs w:val="24"/>
          <w:highlight w:val="none"/>
          <w:shd w:val="clear" w:color="auto" w:fill="FFFFFF"/>
          <w:lang w:val="en-US" w:eastAsia="zh-CN"/>
        </w:rPr>
        <w:t>董监事</w:t>
      </w:r>
      <w:r>
        <w:rPr>
          <w:rFonts w:hint="eastAsia" w:ascii="宋体" w:hAnsi="宋体" w:eastAsia="宋体" w:cs="宋体"/>
          <w:sz w:val="24"/>
          <w:szCs w:val="24"/>
          <w:highlight w:val="none"/>
          <w:shd w:val="clear" w:color="auto" w:fill="FFFFFF"/>
        </w:rPr>
        <w:t>，并下发业务部门，确保关联方认定真实、准确、完整。</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sz w:val="24"/>
          <w:szCs w:val="24"/>
          <w:highlight w:val="none"/>
          <w:shd w:val="clear" w:color="auto" w:fill="FFFFFF"/>
          <w:lang w:val="en-US" w:eastAsia="zh-CN"/>
        </w:rPr>
        <w:t>2.关联交易管理方面，公司</w:t>
      </w:r>
      <w:r>
        <w:rPr>
          <w:rFonts w:hint="eastAsia" w:ascii="宋体" w:hAnsi="宋体" w:eastAsia="宋体" w:cs="宋体"/>
          <w:sz w:val="24"/>
          <w:szCs w:val="24"/>
          <w:highlight w:val="none"/>
          <w:shd w:val="clear" w:color="auto" w:fill="FFFFFF"/>
        </w:rPr>
        <w:t>遵循一般商业条款和符合整体股东利益为原则</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有效防范关联交易风险。针对银保监口径关联交易，</w:t>
      </w:r>
      <w:r>
        <w:rPr>
          <w:rFonts w:hint="eastAsia" w:ascii="宋体" w:hAnsi="宋体" w:eastAsia="宋体" w:cs="宋体"/>
          <w:sz w:val="24"/>
          <w:szCs w:val="24"/>
          <w:highlight w:val="none"/>
        </w:rPr>
        <w:t>重大关联交易由</w:t>
      </w:r>
      <w:r>
        <w:rPr>
          <w:rFonts w:hint="eastAsia" w:ascii="宋体" w:hAnsi="宋体" w:eastAsia="宋体" w:cs="宋体"/>
          <w:sz w:val="24"/>
          <w:szCs w:val="24"/>
          <w:highlight w:val="none"/>
          <w:shd w:val="clear" w:color="auto" w:fill="FFFFFF"/>
        </w:rPr>
        <w:t>风险控制与关联交易管理委员会逐笔审查后提交董事会审批，一般关联交易按内部授权程序审批后，按季向委员会备案。针对证监口径关联交易，</w:t>
      </w:r>
      <w:r>
        <w:rPr>
          <w:rFonts w:hint="eastAsia" w:ascii="宋体" w:hAnsi="宋体" w:eastAsia="宋体" w:cs="宋体"/>
          <w:sz w:val="24"/>
          <w:szCs w:val="24"/>
          <w:highlight w:val="none"/>
          <w:shd w:val="clear" w:color="auto" w:fill="FFFFFF"/>
          <w:lang w:val="en-US" w:eastAsia="zh-CN"/>
        </w:rPr>
        <w:t>公司</w:t>
      </w:r>
      <w:r>
        <w:rPr>
          <w:rFonts w:hint="eastAsia" w:ascii="宋体" w:hAnsi="宋体" w:eastAsia="宋体" w:cs="宋体"/>
          <w:sz w:val="24"/>
          <w:szCs w:val="24"/>
          <w:highlight w:val="none"/>
          <w:shd w:val="clear" w:color="auto" w:fill="FFFFFF"/>
        </w:rPr>
        <w:t>于202</w:t>
      </w:r>
      <w:r>
        <w:rPr>
          <w:rFonts w:hint="eastAsia" w:ascii="宋体" w:hAnsi="宋体" w:eastAsia="宋体" w:cs="宋体"/>
          <w:sz w:val="24"/>
          <w:szCs w:val="24"/>
          <w:highlight w:val="none"/>
          <w:shd w:val="clear" w:color="auto" w:fill="FFFFFF"/>
          <w:lang w:val="en-US" w:eastAsia="zh-CN"/>
        </w:rPr>
        <w:t>1</w:t>
      </w:r>
      <w:r>
        <w:rPr>
          <w:rFonts w:hint="eastAsia" w:ascii="宋体" w:hAnsi="宋体" w:eastAsia="宋体" w:cs="宋体"/>
          <w:sz w:val="24"/>
          <w:szCs w:val="24"/>
          <w:highlight w:val="none"/>
          <w:shd w:val="clear" w:color="auto" w:fill="FFFFFF"/>
        </w:rPr>
        <w:t>年</w:t>
      </w:r>
      <w:r>
        <w:rPr>
          <w:rFonts w:hint="eastAsia" w:ascii="宋体" w:hAnsi="宋体" w:eastAsia="宋体" w:cs="宋体"/>
          <w:sz w:val="24"/>
          <w:szCs w:val="24"/>
          <w:highlight w:val="none"/>
          <w:shd w:val="clear" w:color="auto" w:fill="FFFFFF"/>
          <w:lang w:val="en-US" w:eastAsia="zh-CN"/>
        </w:rPr>
        <w:t>1</w:t>
      </w:r>
      <w:r>
        <w:rPr>
          <w:rFonts w:hint="eastAsia" w:ascii="宋体" w:hAnsi="宋体" w:eastAsia="宋体" w:cs="宋体"/>
          <w:sz w:val="24"/>
          <w:szCs w:val="24"/>
          <w:highlight w:val="none"/>
          <w:shd w:val="clear" w:color="auto" w:fill="FFFFFF"/>
        </w:rPr>
        <w:t>月</w:t>
      </w:r>
      <w:r>
        <w:rPr>
          <w:rFonts w:hint="eastAsia" w:ascii="宋体" w:hAnsi="宋体" w:eastAsia="宋体" w:cs="宋体"/>
          <w:sz w:val="24"/>
          <w:szCs w:val="24"/>
          <w:highlight w:val="none"/>
          <w:shd w:val="clear" w:color="auto" w:fill="FFFFFF"/>
          <w:lang w:val="en-US" w:eastAsia="zh-CN"/>
        </w:rPr>
        <w:t>7</w:t>
      </w:r>
      <w:r>
        <w:rPr>
          <w:rFonts w:hint="eastAsia" w:ascii="宋体" w:hAnsi="宋体" w:eastAsia="宋体" w:cs="宋体"/>
          <w:sz w:val="24"/>
          <w:szCs w:val="24"/>
          <w:highlight w:val="none"/>
          <w:shd w:val="clear" w:color="auto" w:fill="FFFFFF"/>
        </w:rPr>
        <w:t>日</w:t>
      </w:r>
      <w:r>
        <w:rPr>
          <w:rFonts w:hint="eastAsia" w:ascii="宋体" w:hAnsi="宋体" w:eastAsia="宋体" w:cs="宋体"/>
          <w:sz w:val="24"/>
          <w:szCs w:val="24"/>
          <w:highlight w:val="none"/>
          <w:shd w:val="clear" w:color="auto" w:fill="FFFFFF"/>
          <w:lang w:val="en-US" w:eastAsia="zh-CN"/>
        </w:rPr>
        <w:t>召开的2021年第一次临时股东大会</w:t>
      </w:r>
      <w:r>
        <w:rPr>
          <w:rFonts w:hint="eastAsia" w:ascii="宋体" w:hAnsi="宋体" w:eastAsia="宋体" w:cs="宋体"/>
          <w:sz w:val="24"/>
          <w:szCs w:val="24"/>
          <w:highlight w:val="none"/>
          <w:shd w:val="clear" w:color="auto" w:fill="FFFFFF"/>
        </w:rPr>
        <w:t>对</w:t>
      </w:r>
      <w:r>
        <w:rPr>
          <w:rFonts w:hint="eastAsia" w:ascii="宋体" w:hAnsi="宋体" w:eastAsia="宋体" w:cs="宋体"/>
          <w:sz w:val="24"/>
          <w:szCs w:val="24"/>
          <w:highlight w:val="none"/>
          <w:shd w:val="clear" w:color="auto" w:fill="FFFFFF"/>
          <w:lang w:val="en-US" w:eastAsia="zh-CN"/>
        </w:rPr>
        <w:t>2021年度关联方</w:t>
      </w:r>
      <w:r>
        <w:rPr>
          <w:rFonts w:hint="eastAsia" w:ascii="宋体" w:hAnsi="宋体" w:eastAsia="宋体" w:cs="宋体"/>
          <w:sz w:val="24"/>
          <w:szCs w:val="24"/>
          <w:highlight w:val="none"/>
          <w:shd w:val="clear" w:color="auto" w:fill="FFFFFF"/>
        </w:rPr>
        <w:t>拟发生的关联交易进行</w:t>
      </w:r>
      <w:r>
        <w:rPr>
          <w:rFonts w:hint="eastAsia" w:ascii="宋体" w:hAnsi="宋体" w:eastAsia="宋体" w:cs="宋体"/>
          <w:sz w:val="24"/>
          <w:szCs w:val="24"/>
          <w:highlight w:val="none"/>
          <w:shd w:val="clear" w:color="auto" w:fill="FFFFFF"/>
          <w:lang w:val="en-US" w:eastAsia="zh-CN"/>
        </w:rPr>
        <w:t>了</w:t>
      </w:r>
      <w:r>
        <w:rPr>
          <w:rFonts w:hint="eastAsia" w:ascii="宋体" w:hAnsi="宋体" w:eastAsia="宋体" w:cs="宋体"/>
          <w:sz w:val="24"/>
          <w:szCs w:val="24"/>
          <w:highlight w:val="none"/>
          <w:shd w:val="clear" w:color="auto" w:fill="FFFFFF"/>
        </w:rPr>
        <w:t>预计。表决关联</w:t>
      </w:r>
      <w:r>
        <w:rPr>
          <w:rFonts w:hint="eastAsia" w:ascii="宋体" w:hAnsi="宋体" w:eastAsia="宋体" w:cs="宋体"/>
          <w:sz w:val="24"/>
          <w:szCs w:val="24"/>
          <w:highlight w:val="none"/>
          <w:shd w:val="clear" w:color="auto" w:fill="FFFFFF"/>
          <w:lang w:val="en-US" w:eastAsia="zh-CN"/>
        </w:rPr>
        <w:t>交易</w:t>
      </w:r>
      <w:r>
        <w:rPr>
          <w:rFonts w:hint="eastAsia" w:ascii="宋体" w:hAnsi="宋体" w:eastAsia="宋体" w:cs="宋体"/>
          <w:sz w:val="24"/>
          <w:szCs w:val="24"/>
          <w:highlight w:val="none"/>
          <w:shd w:val="clear" w:color="auto" w:fill="FFFFFF"/>
        </w:rPr>
        <w:t>议案时，关联董事均回避表决，独立董事积极发表独立意见</w:t>
      </w:r>
      <w:r>
        <w:rPr>
          <w:rFonts w:hint="eastAsia" w:ascii="宋体" w:hAnsi="宋体" w:eastAsia="宋体" w:cs="宋体"/>
          <w:sz w:val="24"/>
          <w:szCs w:val="24"/>
          <w:highlight w:val="none"/>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shd w:val="clear" w:color="auto" w:fill="FFFFFF"/>
          <w:lang w:val="en-US" w:eastAsia="zh-CN"/>
        </w:rPr>
      </w:pPr>
      <w:r>
        <w:rPr>
          <w:rFonts w:hint="eastAsia" w:ascii="宋体" w:hAnsi="宋体" w:eastAsia="宋体" w:cs="宋体"/>
          <w:sz w:val="24"/>
          <w:szCs w:val="24"/>
          <w:highlight w:val="none"/>
          <w:shd w:val="clear" w:color="auto" w:fill="FFFFFF"/>
          <w:lang w:val="en-US" w:eastAsia="zh-CN"/>
        </w:rPr>
        <w:t>3.关联交易的报告与披露方面，</w:t>
      </w:r>
      <w:r>
        <w:rPr>
          <w:rFonts w:hint="eastAsia" w:ascii="宋体" w:hAnsi="宋体" w:eastAsia="宋体" w:cs="宋体"/>
          <w:sz w:val="24"/>
          <w:szCs w:val="24"/>
          <w:highlight w:val="none"/>
          <w:shd w:val="clear" w:color="auto" w:fill="FFFFFF"/>
        </w:rPr>
        <w:t>公司根据中国银保监会</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中国证监会</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val="en-US" w:eastAsia="zh-CN"/>
        </w:rPr>
        <w:t>上交所等监管机构规定，对关联方名单不定期进行更新报告，对重大关联交易进行逐笔报告，一般关联交易按季报告，日常关联交易额度预计进行及时披露。</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sz w:val="24"/>
          <w:szCs w:val="24"/>
          <w:highlight w:val="none"/>
          <w:shd w:val="clear" w:color="auto" w:fill="FFFFFF"/>
          <w:lang w:val="en-US" w:eastAsia="zh-CN"/>
        </w:rPr>
      </w:pPr>
      <w:r>
        <w:rPr>
          <w:rFonts w:hint="eastAsia" w:ascii="宋体" w:hAnsi="宋体" w:eastAsia="宋体" w:cs="宋体"/>
          <w:b/>
          <w:bCs/>
          <w:sz w:val="24"/>
          <w:szCs w:val="24"/>
          <w:highlight w:val="none"/>
          <w:shd w:val="clear" w:color="auto" w:fill="FFFFFF"/>
          <w:lang w:val="en-US" w:eastAsia="zh-CN"/>
        </w:rPr>
        <w:t>（三）提升关联交易管理主动性及信息化水平</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shd w:val="clear" w:color="auto" w:fill="FFFFFF"/>
          <w:lang w:val="en-US" w:eastAsia="zh-CN"/>
        </w:rPr>
      </w:pPr>
      <w:r>
        <w:rPr>
          <w:rFonts w:hint="eastAsia" w:ascii="宋体" w:hAnsi="宋体" w:eastAsia="宋体" w:cs="宋体"/>
          <w:sz w:val="24"/>
          <w:szCs w:val="24"/>
          <w:highlight w:val="none"/>
          <w:shd w:val="clear" w:color="auto" w:fill="FFFFFF"/>
          <w:lang w:val="en-US" w:eastAsia="zh-CN"/>
        </w:rPr>
        <w:t>1.关联交易的合规管理方面，公司根据监管要求，围绕“公司治理评估”“银行保险机构股权和关联交易常态化专项整治”等专项工作要求，发现问题并按季跟踪整改情况，持续加强风险防范。同时，持续</w:t>
      </w:r>
      <w:r>
        <w:rPr>
          <w:rFonts w:hint="eastAsia" w:ascii="宋体" w:hAnsi="宋体" w:eastAsia="宋体" w:cs="宋体"/>
          <w:sz w:val="24"/>
          <w:szCs w:val="24"/>
          <w:highlight w:val="none"/>
          <w:shd w:val="clear" w:color="auto" w:fill="FFFFFF"/>
        </w:rPr>
        <w:t>开展</w:t>
      </w:r>
      <w:r>
        <w:rPr>
          <w:rFonts w:hint="eastAsia" w:ascii="宋体" w:hAnsi="宋体" w:eastAsia="宋体" w:cs="宋体"/>
          <w:sz w:val="24"/>
          <w:szCs w:val="24"/>
          <w:highlight w:val="none"/>
          <w:shd w:val="clear" w:color="auto" w:fill="FFFFFF"/>
          <w:lang w:val="en-US" w:eastAsia="zh-CN"/>
        </w:rPr>
        <w:t>公司</w:t>
      </w:r>
      <w:r>
        <w:rPr>
          <w:rFonts w:hint="eastAsia" w:ascii="宋体" w:hAnsi="宋体" w:eastAsia="宋体" w:cs="宋体"/>
          <w:sz w:val="24"/>
          <w:szCs w:val="24"/>
          <w:highlight w:val="none"/>
          <w:shd w:val="clear" w:color="auto" w:fill="FFFFFF"/>
        </w:rPr>
        <w:t>关联交易年度专项审计</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val="en-US" w:eastAsia="zh-CN"/>
        </w:rPr>
        <w:t>及时发现日常工作中存在问题，提高关联交易管理的有效性。</w:t>
      </w:r>
    </w:p>
    <w:p>
      <w:pPr>
        <w:keepNext w:val="0"/>
        <w:keepLines w:val="0"/>
        <w:pageBreakBefore w:val="0"/>
        <w:widowControl w:val="0"/>
        <w:numPr>
          <w:ilvl w:val="-1"/>
          <w:numId w:val="0"/>
        </w:numPr>
        <w:kinsoku/>
        <w:wordWrap/>
        <w:overflowPunct/>
        <w:topLinePunct w:val="0"/>
        <w:autoSpaceDE/>
        <w:autoSpaceDN/>
        <w:bidi w:val="0"/>
        <w:adjustRightInd/>
        <w:snapToGrid w:val="0"/>
        <w:spacing w:line="360" w:lineRule="auto"/>
        <w:ind w:left="0" w:firstLine="480" w:firstLineChars="200"/>
        <w:textAlignment w:val="auto"/>
        <w:rPr>
          <w:rFonts w:hint="eastAsia" w:ascii="宋体" w:hAnsi="宋体" w:eastAsia="宋体" w:cs="宋体"/>
          <w:b w:val="0"/>
          <w:bCs w:val="0"/>
          <w:sz w:val="24"/>
          <w:szCs w:val="24"/>
          <w:highlight w:val="none"/>
          <w:shd w:val="clear" w:color="auto" w:fill="FFFFFF"/>
        </w:rPr>
      </w:pPr>
      <w:r>
        <w:rPr>
          <w:rFonts w:hint="eastAsia" w:ascii="宋体" w:hAnsi="宋体" w:eastAsia="宋体" w:cs="宋体"/>
          <w:b w:val="0"/>
          <w:bCs w:val="0"/>
          <w:sz w:val="24"/>
          <w:szCs w:val="24"/>
          <w:highlight w:val="none"/>
          <w:shd w:val="clear" w:color="auto" w:fill="FFFFFF"/>
          <w:lang w:val="en-US" w:eastAsia="zh-CN"/>
        </w:rPr>
        <w:t>2.关联交易的信息化建设方面，公司</w:t>
      </w:r>
      <w:r>
        <w:rPr>
          <w:rFonts w:hint="eastAsia" w:ascii="宋体" w:hAnsi="宋体" w:eastAsia="宋体" w:cs="宋体"/>
          <w:sz w:val="24"/>
          <w:szCs w:val="24"/>
          <w:highlight w:val="none"/>
          <w:shd w:val="clear" w:color="auto" w:fill="FFFFFF"/>
        </w:rPr>
        <w:t>于</w:t>
      </w:r>
      <w:r>
        <w:rPr>
          <w:rFonts w:hint="eastAsia" w:ascii="宋体" w:hAnsi="宋体" w:eastAsia="宋体" w:cs="宋体"/>
          <w:sz w:val="24"/>
          <w:szCs w:val="24"/>
          <w:highlight w:val="none"/>
          <w:shd w:val="clear" w:color="auto" w:fill="FFFFFF"/>
          <w:lang w:val="en-US" w:eastAsia="zh-CN"/>
        </w:rPr>
        <w:t>2021年完成关联交易管理系统开发并上线试运行，初步实现了关联方和关联交易数据报送的电子化操作，完善了关联方和关联交易交易信息的采集，实现</w:t>
      </w:r>
      <w:r>
        <w:rPr>
          <w:rFonts w:hint="eastAsia" w:ascii="宋体" w:hAnsi="宋体" w:eastAsia="宋体" w:cs="宋体"/>
          <w:b w:val="0"/>
          <w:bCs w:val="0"/>
          <w:sz w:val="24"/>
          <w:szCs w:val="24"/>
          <w:highlight w:val="none"/>
          <w:shd w:val="clear" w:color="auto" w:fill="FFFFFF"/>
          <w:lang w:val="en-US" w:eastAsia="zh-CN"/>
        </w:rPr>
        <w:t>运用系统优化关联交易管理。</w:t>
      </w:r>
    </w:p>
    <w:p>
      <w:pPr>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bCs/>
          <w:sz w:val="24"/>
          <w:szCs w:val="24"/>
          <w:highlight w:val="none"/>
          <w:shd w:val="clear" w:color="auto" w:fill="FFFFFF"/>
        </w:rPr>
      </w:pPr>
      <w:r>
        <w:rPr>
          <w:rFonts w:hint="eastAsia" w:ascii="宋体" w:hAnsi="宋体" w:eastAsia="宋体" w:cs="宋体"/>
          <w:b/>
          <w:bCs/>
          <w:sz w:val="24"/>
          <w:szCs w:val="24"/>
          <w:highlight w:val="none"/>
          <w:shd w:val="clear" w:color="auto" w:fill="FFFFFF"/>
        </w:rPr>
        <w:t>202</w:t>
      </w:r>
      <w:r>
        <w:rPr>
          <w:rFonts w:hint="eastAsia" w:ascii="宋体" w:hAnsi="宋体" w:eastAsia="宋体" w:cs="宋体"/>
          <w:b/>
          <w:bCs/>
          <w:sz w:val="24"/>
          <w:szCs w:val="24"/>
          <w:highlight w:val="none"/>
          <w:shd w:val="clear" w:color="auto" w:fill="FFFFFF"/>
          <w:lang w:val="en-US" w:eastAsia="zh-CN"/>
        </w:rPr>
        <w:t>1</w:t>
      </w:r>
      <w:r>
        <w:rPr>
          <w:rFonts w:hint="eastAsia" w:ascii="宋体" w:hAnsi="宋体" w:eastAsia="宋体" w:cs="宋体"/>
          <w:b/>
          <w:bCs/>
          <w:sz w:val="24"/>
          <w:szCs w:val="24"/>
          <w:highlight w:val="none"/>
          <w:shd w:val="clear" w:color="auto" w:fill="FFFFFF"/>
        </w:rPr>
        <w:t>年关联方及关联交易情况</w:t>
      </w:r>
    </w:p>
    <w:p>
      <w:pPr>
        <w:keepNext w:val="0"/>
        <w:keepLines w:val="0"/>
        <w:pageBreakBefore w:val="0"/>
        <w:widowControl w:val="0"/>
        <w:numPr>
          <w:ilvl w:val="0"/>
          <w:numId w:val="24"/>
        </w:numPr>
        <w:kinsoku/>
        <w:wordWrap/>
        <w:overflowPunct/>
        <w:topLinePunct w:val="0"/>
        <w:autoSpaceDE/>
        <w:autoSpaceDN/>
        <w:bidi w:val="0"/>
        <w:adjustRightInd/>
        <w:snapToGrid w:val="0"/>
        <w:spacing w:line="360" w:lineRule="auto"/>
        <w:textAlignment w:val="auto"/>
        <w:rPr>
          <w:rFonts w:hint="eastAsia" w:ascii="宋体" w:hAnsi="宋体" w:eastAsia="宋体" w:cs="宋体"/>
          <w:sz w:val="24"/>
          <w:szCs w:val="24"/>
          <w:highlight w:val="none"/>
          <w:shd w:val="clear" w:color="auto" w:fill="FFFFFF"/>
        </w:rPr>
      </w:pPr>
      <w:r>
        <w:rPr>
          <w:rFonts w:hint="eastAsia" w:ascii="宋体" w:hAnsi="宋体" w:eastAsia="宋体" w:cs="宋体"/>
          <w:sz w:val="24"/>
          <w:szCs w:val="24"/>
          <w:highlight w:val="none"/>
          <w:shd w:val="clear" w:color="auto" w:fill="FFFFFF"/>
        </w:rPr>
        <w:t>关联方年末数据</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shd w:val="clear" w:color="auto" w:fill="FFFFFF"/>
          <w:lang w:val="en-US" w:eastAsia="zh-CN"/>
        </w:rPr>
      </w:pPr>
      <w:r>
        <w:rPr>
          <w:rFonts w:hint="eastAsia" w:ascii="宋体" w:hAnsi="宋体" w:eastAsia="宋体" w:cs="宋体"/>
          <w:sz w:val="24"/>
          <w:szCs w:val="24"/>
          <w:highlight w:val="none"/>
          <w:shd w:val="clear" w:color="auto" w:fill="FFFFFF"/>
        </w:rPr>
        <w:t>截止202</w:t>
      </w:r>
      <w:r>
        <w:rPr>
          <w:rFonts w:hint="eastAsia" w:ascii="宋体" w:hAnsi="宋体" w:eastAsia="宋体" w:cs="宋体"/>
          <w:sz w:val="24"/>
          <w:szCs w:val="24"/>
          <w:highlight w:val="none"/>
          <w:shd w:val="clear" w:color="auto" w:fill="FFFFFF"/>
          <w:lang w:val="en-US" w:eastAsia="zh-CN"/>
        </w:rPr>
        <w:t>1</w:t>
      </w:r>
      <w:r>
        <w:rPr>
          <w:rFonts w:hint="eastAsia" w:ascii="宋体" w:hAnsi="宋体" w:eastAsia="宋体" w:cs="宋体"/>
          <w:sz w:val="24"/>
          <w:szCs w:val="24"/>
          <w:highlight w:val="none"/>
          <w:shd w:val="clear" w:color="auto" w:fill="FFFFFF"/>
        </w:rPr>
        <w:t>年末，公司在银保监口径下的关联方为</w:t>
      </w:r>
      <w:r>
        <w:rPr>
          <w:rFonts w:hint="eastAsia" w:ascii="宋体" w:hAnsi="宋体" w:eastAsia="宋体" w:cs="宋体"/>
          <w:sz w:val="24"/>
          <w:szCs w:val="24"/>
          <w:highlight w:val="none"/>
          <w:shd w:val="clear" w:color="auto" w:fill="FFFFFF"/>
          <w:lang w:val="en-US" w:eastAsia="zh-CN"/>
        </w:rPr>
        <w:t>2348</w:t>
      </w:r>
      <w:r>
        <w:rPr>
          <w:rFonts w:hint="eastAsia" w:ascii="宋体" w:hAnsi="宋体" w:eastAsia="宋体" w:cs="宋体"/>
          <w:sz w:val="24"/>
          <w:szCs w:val="24"/>
          <w:highlight w:val="none"/>
          <w:shd w:val="clear" w:color="auto" w:fill="FFFFFF"/>
        </w:rPr>
        <w:t>个，其中关联自然人</w:t>
      </w:r>
      <w:r>
        <w:rPr>
          <w:rFonts w:hint="eastAsia" w:ascii="宋体" w:hAnsi="宋体" w:eastAsia="宋体" w:cs="宋体"/>
          <w:sz w:val="24"/>
          <w:szCs w:val="24"/>
          <w:highlight w:val="none"/>
          <w:shd w:val="clear" w:color="auto" w:fill="FFFFFF"/>
          <w:lang w:val="en-US" w:eastAsia="zh-CN"/>
        </w:rPr>
        <w:t>1358</w:t>
      </w:r>
      <w:r>
        <w:rPr>
          <w:rFonts w:hint="eastAsia" w:ascii="宋体" w:hAnsi="宋体" w:eastAsia="宋体" w:cs="宋体"/>
          <w:sz w:val="24"/>
          <w:szCs w:val="24"/>
          <w:highlight w:val="none"/>
          <w:shd w:val="clear" w:color="auto" w:fill="FFFFFF"/>
        </w:rPr>
        <w:t>名，关联法人</w:t>
      </w:r>
      <w:r>
        <w:rPr>
          <w:rFonts w:hint="eastAsia" w:ascii="宋体" w:hAnsi="宋体" w:eastAsia="宋体" w:cs="宋体"/>
          <w:sz w:val="24"/>
          <w:szCs w:val="24"/>
          <w:highlight w:val="none"/>
          <w:shd w:val="clear" w:color="auto" w:fill="FFFFFF"/>
          <w:lang w:val="en-US" w:eastAsia="zh-CN"/>
        </w:rPr>
        <w:t>990</w:t>
      </w:r>
      <w:r>
        <w:rPr>
          <w:rFonts w:hint="eastAsia" w:ascii="宋体" w:hAnsi="宋体" w:eastAsia="宋体" w:cs="宋体"/>
          <w:sz w:val="24"/>
          <w:szCs w:val="24"/>
          <w:highlight w:val="none"/>
          <w:shd w:val="clear" w:color="auto" w:fill="FFFFFF"/>
        </w:rPr>
        <w:t>家</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在证监及</w:t>
      </w:r>
      <w:r>
        <w:rPr>
          <w:rFonts w:hint="eastAsia" w:ascii="宋体" w:hAnsi="宋体" w:eastAsia="宋体" w:cs="宋体"/>
          <w:sz w:val="24"/>
          <w:szCs w:val="24"/>
          <w:highlight w:val="none"/>
          <w:shd w:val="clear" w:color="auto" w:fill="FFFFFF"/>
          <w:lang w:val="en-US" w:eastAsia="zh-CN"/>
        </w:rPr>
        <w:t>企业</w:t>
      </w:r>
      <w:r>
        <w:rPr>
          <w:rFonts w:hint="eastAsia" w:ascii="宋体" w:hAnsi="宋体" w:eastAsia="宋体" w:cs="宋体"/>
          <w:sz w:val="24"/>
          <w:szCs w:val="24"/>
          <w:highlight w:val="none"/>
          <w:shd w:val="clear" w:color="auto" w:fill="FFFFFF"/>
        </w:rPr>
        <w:t>会计准则口径下的关联方为</w:t>
      </w:r>
      <w:r>
        <w:rPr>
          <w:rFonts w:hint="eastAsia" w:ascii="宋体" w:hAnsi="宋体" w:eastAsia="宋体" w:cs="宋体"/>
          <w:sz w:val="24"/>
          <w:szCs w:val="24"/>
          <w:highlight w:val="none"/>
          <w:shd w:val="clear" w:color="auto" w:fill="FFFFFF"/>
          <w:lang w:val="en-US" w:eastAsia="zh-CN"/>
        </w:rPr>
        <w:t>898</w:t>
      </w:r>
      <w:r>
        <w:rPr>
          <w:rFonts w:hint="eastAsia" w:ascii="宋体" w:hAnsi="宋体" w:eastAsia="宋体" w:cs="宋体"/>
          <w:sz w:val="24"/>
          <w:szCs w:val="24"/>
          <w:highlight w:val="none"/>
          <w:shd w:val="clear" w:color="auto" w:fill="FFFFFF"/>
        </w:rPr>
        <w:t>个，其中关联自然人</w:t>
      </w:r>
      <w:r>
        <w:rPr>
          <w:rFonts w:hint="eastAsia" w:ascii="宋体" w:hAnsi="宋体" w:eastAsia="宋体" w:cs="宋体"/>
          <w:sz w:val="24"/>
          <w:szCs w:val="24"/>
          <w:highlight w:val="none"/>
          <w:shd w:val="clear" w:color="auto" w:fill="FFFFFF"/>
          <w:lang w:val="en-US" w:eastAsia="zh-CN"/>
        </w:rPr>
        <w:t>294</w:t>
      </w:r>
      <w:r>
        <w:rPr>
          <w:rFonts w:hint="eastAsia" w:ascii="宋体" w:hAnsi="宋体" w:eastAsia="宋体" w:cs="宋体"/>
          <w:sz w:val="24"/>
          <w:szCs w:val="24"/>
          <w:highlight w:val="none"/>
          <w:shd w:val="clear" w:color="auto" w:fill="FFFFFF"/>
        </w:rPr>
        <w:t>名，关联法人</w:t>
      </w:r>
      <w:r>
        <w:rPr>
          <w:rFonts w:hint="eastAsia" w:ascii="宋体" w:hAnsi="宋体" w:eastAsia="宋体" w:cs="宋体"/>
          <w:sz w:val="24"/>
          <w:szCs w:val="24"/>
          <w:highlight w:val="none"/>
          <w:shd w:val="clear" w:color="auto" w:fill="FFFFFF"/>
          <w:lang w:val="en-US" w:eastAsia="zh-CN"/>
        </w:rPr>
        <w:t>604</w:t>
      </w:r>
      <w:r>
        <w:rPr>
          <w:rFonts w:hint="eastAsia" w:ascii="宋体" w:hAnsi="宋体" w:eastAsia="宋体" w:cs="宋体"/>
          <w:sz w:val="24"/>
          <w:szCs w:val="24"/>
          <w:highlight w:val="none"/>
          <w:shd w:val="clear" w:color="auto" w:fill="FFFFFF"/>
        </w:rPr>
        <w:t>家。</w:t>
      </w:r>
      <w:r>
        <w:rPr>
          <w:rFonts w:hint="eastAsia" w:ascii="宋体" w:hAnsi="宋体" w:eastAsia="宋体" w:cs="宋体"/>
          <w:sz w:val="24"/>
          <w:szCs w:val="24"/>
          <w:highlight w:val="none"/>
          <w:shd w:val="clear" w:color="auto" w:fill="FFFFFF"/>
          <w:lang w:val="en-US" w:eastAsia="zh-CN"/>
        </w:rPr>
        <w:t>公司关联法人主要包括持股5%以上主要股东及其关联方、向公司派驻董监高的法人股东及其关联方、公司董监高、内部人及其近亲属控制或共同控制、施加重大影响的企业。公司关联自然人主要包括公司董监高、分行高级管理人员、有权决定或者参与本行授信和资产转移的其他人员及其近亲属，公司主要股东的控股自然人股东、董监高等。</w:t>
      </w:r>
    </w:p>
    <w:p>
      <w:pPr>
        <w:keepNext w:val="0"/>
        <w:keepLines w:val="0"/>
        <w:pageBreakBefore w:val="0"/>
        <w:widowControl w:val="0"/>
        <w:numPr>
          <w:ilvl w:val="0"/>
          <w:numId w:val="24"/>
        </w:numPr>
        <w:kinsoku/>
        <w:wordWrap/>
        <w:overflowPunct/>
        <w:topLinePunct w:val="0"/>
        <w:autoSpaceDE/>
        <w:autoSpaceDN/>
        <w:bidi w:val="0"/>
        <w:adjustRightInd/>
        <w:snapToGrid w:val="0"/>
        <w:spacing w:line="360" w:lineRule="auto"/>
        <w:textAlignment w:val="auto"/>
        <w:rPr>
          <w:rFonts w:hint="eastAsia" w:ascii="宋体" w:hAnsi="宋体" w:eastAsia="宋体" w:cs="宋体"/>
          <w:sz w:val="24"/>
          <w:szCs w:val="24"/>
          <w:highlight w:val="none"/>
          <w:shd w:val="clear" w:color="auto" w:fill="FFFFFF"/>
        </w:rPr>
      </w:pPr>
      <w:r>
        <w:rPr>
          <w:rFonts w:hint="eastAsia" w:ascii="宋体" w:hAnsi="宋体" w:eastAsia="宋体" w:cs="宋体"/>
          <w:sz w:val="24"/>
          <w:szCs w:val="24"/>
          <w:highlight w:val="none"/>
          <w:shd w:val="clear" w:color="auto" w:fill="FFFFFF"/>
        </w:rPr>
        <w:t>关联交易年末数据</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shd w:val="clear" w:color="auto" w:fill="FFFFFF"/>
          <w:lang w:val="en-US"/>
        </w:rPr>
      </w:pPr>
      <w:r>
        <w:rPr>
          <w:rFonts w:hint="eastAsia" w:ascii="宋体" w:hAnsi="宋体" w:eastAsia="宋体" w:cs="宋体"/>
          <w:sz w:val="24"/>
          <w:szCs w:val="24"/>
          <w:highlight w:val="none"/>
          <w:shd w:val="clear" w:color="auto" w:fill="FFFFFF"/>
          <w:lang w:val="zh-CN"/>
        </w:rPr>
        <w:t>截至202</w:t>
      </w:r>
      <w:r>
        <w:rPr>
          <w:rFonts w:hint="eastAsia" w:ascii="宋体" w:hAnsi="宋体" w:eastAsia="宋体" w:cs="宋体"/>
          <w:sz w:val="24"/>
          <w:szCs w:val="24"/>
          <w:highlight w:val="none"/>
          <w:shd w:val="clear" w:color="auto" w:fill="FFFFFF"/>
          <w:lang w:val="en-US" w:eastAsia="zh-CN"/>
        </w:rPr>
        <w:t>1</w:t>
      </w:r>
      <w:r>
        <w:rPr>
          <w:rFonts w:hint="eastAsia" w:ascii="宋体" w:hAnsi="宋体" w:eastAsia="宋体" w:cs="宋体"/>
          <w:sz w:val="24"/>
          <w:szCs w:val="24"/>
          <w:highlight w:val="none"/>
          <w:shd w:val="clear" w:color="auto" w:fill="FFFFFF"/>
          <w:lang w:val="zh-CN"/>
        </w:rPr>
        <w:t>年末，</w:t>
      </w:r>
      <w:r>
        <w:rPr>
          <w:rFonts w:hint="eastAsia" w:ascii="宋体" w:hAnsi="宋体" w:eastAsia="宋体" w:cs="宋体"/>
          <w:sz w:val="24"/>
          <w:szCs w:val="24"/>
          <w:highlight w:val="none"/>
          <w:shd w:val="clear" w:color="auto" w:fill="FFFFFF"/>
        </w:rPr>
        <w:t>公</w:t>
      </w:r>
      <w:r>
        <w:rPr>
          <w:rFonts w:hint="eastAsia" w:ascii="宋体" w:hAnsi="宋体" w:eastAsia="宋体" w:cs="宋体"/>
          <w:sz w:val="24"/>
          <w:szCs w:val="24"/>
          <w:highlight w:val="none"/>
          <w:shd w:val="clear" w:color="auto" w:fill="FFFFFF"/>
          <w:lang w:val="zh-CN"/>
        </w:rPr>
        <w:t>司</w:t>
      </w:r>
      <w:r>
        <w:rPr>
          <w:rFonts w:hint="eastAsia" w:ascii="宋体" w:hAnsi="宋体" w:eastAsia="宋体" w:cs="宋体"/>
          <w:sz w:val="24"/>
          <w:szCs w:val="24"/>
          <w:highlight w:val="none"/>
          <w:shd w:val="clear" w:color="auto" w:fill="FFFFFF"/>
          <w:lang w:val="en-US" w:eastAsia="zh-CN"/>
        </w:rPr>
        <w:t>关联方授信余额情况如下：</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center"/>
        <w:textAlignment w:val="auto"/>
        <w:rPr>
          <w:rFonts w:hint="eastAsia" w:ascii="宋体" w:hAnsi="宋体" w:eastAsia="宋体" w:cs="宋体"/>
          <w:b/>
          <w:bCs/>
          <w:sz w:val="24"/>
          <w:szCs w:val="24"/>
          <w:highlight w:val="none"/>
          <w:shd w:val="clear" w:color="auto" w:fill="FFFFFF"/>
          <w:lang w:val="en-US" w:eastAsia="zh-CN"/>
        </w:rPr>
      </w:pPr>
      <w:r>
        <w:rPr>
          <w:rFonts w:hint="eastAsia" w:ascii="宋体" w:hAnsi="宋体" w:eastAsia="宋体" w:cs="宋体"/>
          <w:b/>
          <w:bCs/>
          <w:sz w:val="24"/>
          <w:szCs w:val="24"/>
          <w:highlight w:val="none"/>
          <w:shd w:val="clear" w:color="auto" w:fill="FFFFFF"/>
          <w:lang w:val="en-US" w:eastAsia="zh-CN"/>
        </w:rPr>
        <w:t>2021年度关联方授信余额情况表</w:t>
      </w:r>
    </w:p>
    <w:tbl>
      <w:tblPr>
        <w:tblStyle w:val="14"/>
        <w:tblW w:w="9178" w:type="dxa"/>
        <w:tblInd w:w="-1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48"/>
        <w:gridCol w:w="3142"/>
        <w:gridCol w:w="1718"/>
        <w:gridCol w:w="1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8"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关联方名称</w:t>
            </w:r>
          </w:p>
        </w:tc>
        <w:tc>
          <w:tcPr>
            <w:tcW w:w="3142"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授信类型</w:t>
            </w:r>
          </w:p>
        </w:tc>
        <w:tc>
          <w:tcPr>
            <w:tcW w:w="1718"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期末余额敞口</w:t>
            </w:r>
          </w:p>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（万元）</w:t>
            </w:r>
          </w:p>
        </w:tc>
        <w:tc>
          <w:tcPr>
            <w:tcW w:w="1670"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占资本净额比例（%）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8" w:type="dxa"/>
            <w:vMerge w:val="restart"/>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福建海西金融租赁有限责任公司</w:t>
            </w:r>
          </w:p>
        </w:tc>
        <w:tc>
          <w:tcPr>
            <w:tcW w:w="3142"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拆放同业</w:t>
            </w:r>
          </w:p>
        </w:tc>
        <w:tc>
          <w:tcPr>
            <w:tcW w:w="1718" w:type="dxa"/>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63000</w:t>
            </w:r>
          </w:p>
        </w:tc>
        <w:tc>
          <w:tcPr>
            <w:tcW w:w="1670" w:type="dxa"/>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2.077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8" w:type="dxa"/>
            <w:vMerge w:val="continue"/>
            <w:vAlign w:val="center"/>
          </w:tcPr>
          <w:p>
            <w:pPr>
              <w:jc w:val="both"/>
              <w:rPr>
                <w:rFonts w:hint="eastAsia" w:ascii="宋体" w:hAnsi="宋体" w:eastAsia="宋体" w:cs="宋体"/>
                <w:sz w:val="24"/>
                <w:szCs w:val="24"/>
                <w:highlight w:val="none"/>
                <w:shd w:val="clear" w:color="auto" w:fill="FFFFFF"/>
                <w:vertAlign w:val="baseline"/>
                <w:lang w:val="en-US" w:eastAsia="zh-CN"/>
              </w:rPr>
            </w:pPr>
          </w:p>
        </w:tc>
        <w:tc>
          <w:tcPr>
            <w:tcW w:w="3142"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公司非保本理财产品进行的授信</w:t>
            </w:r>
          </w:p>
        </w:tc>
        <w:tc>
          <w:tcPr>
            <w:tcW w:w="1718"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9000</w:t>
            </w:r>
          </w:p>
        </w:tc>
        <w:tc>
          <w:tcPr>
            <w:tcW w:w="1670"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0.297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8" w:type="dxa"/>
            <w:vMerge w:val="continue"/>
            <w:vAlign w:val="center"/>
          </w:tcPr>
          <w:p>
            <w:pPr>
              <w:jc w:val="both"/>
              <w:rPr>
                <w:rFonts w:hint="eastAsia" w:ascii="宋体" w:hAnsi="宋体" w:eastAsia="宋体" w:cs="宋体"/>
                <w:sz w:val="24"/>
                <w:szCs w:val="24"/>
                <w:highlight w:val="none"/>
                <w:shd w:val="clear" w:color="auto" w:fill="FFFFFF"/>
                <w:vertAlign w:val="baseline"/>
                <w:lang w:val="en-US" w:eastAsia="zh-CN"/>
              </w:rPr>
            </w:pPr>
          </w:p>
        </w:tc>
        <w:tc>
          <w:tcPr>
            <w:tcW w:w="3142"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信用证开立</w:t>
            </w:r>
          </w:p>
        </w:tc>
        <w:tc>
          <w:tcPr>
            <w:tcW w:w="1718" w:type="dxa"/>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2530</w:t>
            </w:r>
          </w:p>
        </w:tc>
        <w:tc>
          <w:tcPr>
            <w:tcW w:w="1670" w:type="dxa"/>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0.083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8" w:type="dxa"/>
            <w:vMerge w:val="restart"/>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厦门金圆投资集团有限公司及其关联企业</w:t>
            </w:r>
          </w:p>
        </w:tc>
        <w:tc>
          <w:tcPr>
            <w:tcW w:w="3142"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银行保函</w:t>
            </w:r>
          </w:p>
        </w:tc>
        <w:tc>
          <w:tcPr>
            <w:tcW w:w="1718" w:type="dxa"/>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16985.23746</w:t>
            </w:r>
          </w:p>
        </w:tc>
        <w:tc>
          <w:tcPr>
            <w:tcW w:w="1670" w:type="dxa"/>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0.560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8" w:type="dxa"/>
            <w:vMerge w:val="continue"/>
            <w:vAlign w:val="center"/>
          </w:tcPr>
          <w:p>
            <w:pPr>
              <w:jc w:val="both"/>
              <w:rPr>
                <w:rFonts w:hint="eastAsia" w:ascii="宋体" w:hAnsi="宋体" w:eastAsia="宋体" w:cs="宋体"/>
                <w:sz w:val="24"/>
                <w:szCs w:val="24"/>
                <w:highlight w:val="none"/>
                <w:shd w:val="clear" w:color="auto" w:fill="FFFFFF"/>
                <w:vertAlign w:val="baseline"/>
                <w:lang w:val="en-US" w:eastAsia="zh-CN"/>
              </w:rPr>
            </w:pPr>
          </w:p>
        </w:tc>
        <w:tc>
          <w:tcPr>
            <w:tcW w:w="3142"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债券投资</w:t>
            </w:r>
          </w:p>
        </w:tc>
        <w:tc>
          <w:tcPr>
            <w:tcW w:w="1718" w:type="dxa"/>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37854.749</w:t>
            </w:r>
          </w:p>
        </w:tc>
        <w:tc>
          <w:tcPr>
            <w:tcW w:w="1670" w:type="dxa"/>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1.248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8" w:type="dxa"/>
            <w:vMerge w:val="continue"/>
            <w:vAlign w:val="center"/>
          </w:tcPr>
          <w:p>
            <w:pPr>
              <w:jc w:val="both"/>
              <w:rPr>
                <w:rFonts w:hint="eastAsia" w:ascii="宋体" w:hAnsi="宋体" w:eastAsia="宋体" w:cs="宋体"/>
                <w:sz w:val="24"/>
                <w:szCs w:val="24"/>
                <w:highlight w:val="none"/>
                <w:shd w:val="clear" w:color="auto" w:fill="FFFFFF"/>
                <w:vertAlign w:val="baseline"/>
                <w:lang w:val="en-US" w:eastAsia="zh-CN"/>
              </w:rPr>
            </w:pPr>
          </w:p>
        </w:tc>
        <w:tc>
          <w:tcPr>
            <w:tcW w:w="3142" w:type="dxa"/>
            <w:vAlign w:val="center"/>
          </w:tcPr>
          <w:p>
            <w:pPr>
              <w:keepNext w:val="0"/>
              <w:keepLines w:val="0"/>
              <w:widowControl/>
              <w:suppressLineNumbers w:val="0"/>
              <w:jc w:val="left"/>
              <w:textAlignment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非保本理财产品</w:t>
            </w:r>
          </w:p>
        </w:tc>
        <w:tc>
          <w:tcPr>
            <w:tcW w:w="1718"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4000</w:t>
            </w:r>
          </w:p>
        </w:tc>
        <w:tc>
          <w:tcPr>
            <w:tcW w:w="1670" w:type="dxa"/>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0.132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8" w:type="dxa"/>
            <w:vMerge w:val="restart"/>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泉舜集团（厦门）房地产股份有限公司及其关联企业</w:t>
            </w:r>
          </w:p>
        </w:tc>
        <w:tc>
          <w:tcPr>
            <w:tcW w:w="3142"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银行承兑汇票敞口</w:t>
            </w:r>
          </w:p>
        </w:tc>
        <w:tc>
          <w:tcPr>
            <w:tcW w:w="1718"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0</w:t>
            </w:r>
          </w:p>
        </w:tc>
        <w:tc>
          <w:tcPr>
            <w:tcW w:w="1670"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8" w:type="dxa"/>
            <w:vMerge w:val="continue"/>
            <w:vAlign w:val="center"/>
          </w:tcPr>
          <w:p>
            <w:pPr>
              <w:jc w:val="both"/>
              <w:rPr>
                <w:rFonts w:hint="eastAsia" w:ascii="宋体" w:hAnsi="宋体" w:eastAsia="宋体" w:cs="宋体"/>
                <w:sz w:val="24"/>
                <w:szCs w:val="24"/>
                <w:highlight w:val="none"/>
                <w:shd w:val="clear" w:color="auto" w:fill="FFFFFF"/>
                <w:vertAlign w:val="baseline"/>
                <w:lang w:val="en-US" w:eastAsia="zh-CN"/>
              </w:rPr>
            </w:pPr>
          </w:p>
        </w:tc>
        <w:tc>
          <w:tcPr>
            <w:tcW w:w="3142"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项目贷款</w:t>
            </w:r>
          </w:p>
        </w:tc>
        <w:tc>
          <w:tcPr>
            <w:tcW w:w="1718"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19720</w:t>
            </w:r>
          </w:p>
        </w:tc>
        <w:tc>
          <w:tcPr>
            <w:tcW w:w="1670"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0.650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8" w:type="dxa"/>
            <w:vMerge w:val="continue"/>
            <w:vAlign w:val="center"/>
          </w:tcPr>
          <w:p>
            <w:pPr>
              <w:jc w:val="both"/>
              <w:rPr>
                <w:rFonts w:hint="eastAsia" w:ascii="宋体" w:hAnsi="宋体" w:eastAsia="宋体" w:cs="宋体"/>
                <w:sz w:val="24"/>
                <w:szCs w:val="24"/>
                <w:highlight w:val="none"/>
                <w:shd w:val="clear" w:color="auto" w:fill="FFFFFF"/>
                <w:vertAlign w:val="baseline"/>
                <w:lang w:val="en-US" w:eastAsia="zh-CN"/>
              </w:rPr>
            </w:pPr>
          </w:p>
        </w:tc>
        <w:tc>
          <w:tcPr>
            <w:tcW w:w="3142"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房地产开发贷款</w:t>
            </w:r>
          </w:p>
        </w:tc>
        <w:tc>
          <w:tcPr>
            <w:tcW w:w="1718"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44970</w:t>
            </w:r>
          </w:p>
        </w:tc>
        <w:tc>
          <w:tcPr>
            <w:tcW w:w="1670"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1.482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8" w:type="dxa"/>
            <w:vMerge w:val="restart"/>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大洲控股集团有限公司及其关联企业</w:t>
            </w:r>
          </w:p>
        </w:tc>
        <w:tc>
          <w:tcPr>
            <w:tcW w:w="3142"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投资信用风险产品</w:t>
            </w:r>
          </w:p>
        </w:tc>
        <w:tc>
          <w:tcPr>
            <w:tcW w:w="1718"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20851</w:t>
            </w:r>
          </w:p>
        </w:tc>
        <w:tc>
          <w:tcPr>
            <w:tcW w:w="1670"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0.687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8" w:type="dxa"/>
            <w:vMerge w:val="continue"/>
            <w:vAlign w:val="center"/>
          </w:tcPr>
          <w:p>
            <w:pPr>
              <w:jc w:val="both"/>
              <w:rPr>
                <w:rFonts w:hint="eastAsia" w:ascii="宋体" w:hAnsi="宋体" w:eastAsia="宋体" w:cs="宋体"/>
                <w:sz w:val="24"/>
                <w:szCs w:val="24"/>
                <w:highlight w:val="none"/>
                <w:shd w:val="clear" w:color="auto" w:fill="FFFFFF"/>
                <w:vertAlign w:val="baseline"/>
                <w:lang w:val="en-US" w:eastAsia="zh-CN"/>
              </w:rPr>
            </w:pPr>
          </w:p>
        </w:tc>
        <w:tc>
          <w:tcPr>
            <w:tcW w:w="3142"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项目贷款</w:t>
            </w:r>
          </w:p>
        </w:tc>
        <w:tc>
          <w:tcPr>
            <w:tcW w:w="1718"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8600</w:t>
            </w:r>
          </w:p>
        </w:tc>
        <w:tc>
          <w:tcPr>
            <w:tcW w:w="1670"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0.284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8"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佛山电器照明股份有限公司及其关联企业</w:t>
            </w:r>
          </w:p>
        </w:tc>
        <w:tc>
          <w:tcPr>
            <w:tcW w:w="3142"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流动资金贷款</w:t>
            </w:r>
          </w:p>
        </w:tc>
        <w:tc>
          <w:tcPr>
            <w:tcW w:w="1718"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9888</w:t>
            </w:r>
          </w:p>
        </w:tc>
        <w:tc>
          <w:tcPr>
            <w:tcW w:w="1670"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0.326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8" w:type="dxa"/>
            <w:vMerge w:val="restart"/>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福建七匹狼集团有限公司及其关联企业</w:t>
            </w:r>
          </w:p>
        </w:tc>
        <w:tc>
          <w:tcPr>
            <w:tcW w:w="3142"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债券投资</w:t>
            </w:r>
          </w:p>
        </w:tc>
        <w:tc>
          <w:tcPr>
            <w:tcW w:w="1718"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14857.8443</w:t>
            </w:r>
          </w:p>
        </w:tc>
        <w:tc>
          <w:tcPr>
            <w:tcW w:w="1670"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0.490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8" w:type="dxa"/>
            <w:vMerge w:val="continue"/>
            <w:vAlign w:val="center"/>
          </w:tcPr>
          <w:p>
            <w:pPr>
              <w:jc w:val="both"/>
              <w:rPr>
                <w:rFonts w:hint="eastAsia" w:ascii="宋体" w:hAnsi="宋体" w:eastAsia="宋体" w:cs="宋体"/>
                <w:sz w:val="24"/>
                <w:szCs w:val="24"/>
                <w:highlight w:val="none"/>
                <w:shd w:val="clear" w:color="auto" w:fill="FFFFFF"/>
                <w:vertAlign w:val="baseline"/>
                <w:lang w:val="en-US" w:eastAsia="zh-CN"/>
              </w:rPr>
            </w:pPr>
          </w:p>
        </w:tc>
        <w:tc>
          <w:tcPr>
            <w:tcW w:w="3142"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流动资金贷款</w:t>
            </w:r>
          </w:p>
        </w:tc>
        <w:tc>
          <w:tcPr>
            <w:tcW w:w="1718"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35800</w:t>
            </w:r>
          </w:p>
        </w:tc>
        <w:tc>
          <w:tcPr>
            <w:tcW w:w="1670"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1.180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2648" w:type="dxa"/>
            <w:vMerge w:val="continue"/>
            <w:vAlign w:val="center"/>
          </w:tcPr>
          <w:p>
            <w:pPr>
              <w:jc w:val="both"/>
              <w:rPr>
                <w:rFonts w:hint="eastAsia" w:ascii="宋体" w:hAnsi="宋体" w:eastAsia="宋体" w:cs="宋体"/>
                <w:sz w:val="24"/>
                <w:szCs w:val="24"/>
                <w:highlight w:val="none"/>
                <w:shd w:val="clear" w:color="auto" w:fill="FFFFFF"/>
                <w:vertAlign w:val="baseline"/>
                <w:lang w:val="en-US" w:eastAsia="zh-CN"/>
              </w:rPr>
            </w:pPr>
          </w:p>
        </w:tc>
        <w:tc>
          <w:tcPr>
            <w:tcW w:w="3142"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公司非保本理财产品进行的授信</w:t>
            </w:r>
          </w:p>
        </w:tc>
        <w:tc>
          <w:tcPr>
            <w:tcW w:w="1718"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7000</w:t>
            </w:r>
          </w:p>
        </w:tc>
        <w:tc>
          <w:tcPr>
            <w:tcW w:w="1670"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0.231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2648" w:type="dxa"/>
            <w:vMerge w:val="continue"/>
            <w:vAlign w:val="center"/>
          </w:tcPr>
          <w:p>
            <w:pPr>
              <w:jc w:val="both"/>
              <w:rPr>
                <w:rFonts w:hint="eastAsia" w:ascii="宋体" w:hAnsi="宋体" w:eastAsia="宋体" w:cs="宋体"/>
                <w:sz w:val="24"/>
                <w:szCs w:val="24"/>
                <w:highlight w:val="none"/>
                <w:shd w:val="clear" w:color="auto" w:fill="FFFFFF"/>
                <w:vertAlign w:val="baseline"/>
                <w:lang w:val="en-US" w:eastAsia="zh-CN"/>
              </w:rPr>
            </w:pPr>
          </w:p>
        </w:tc>
        <w:tc>
          <w:tcPr>
            <w:tcW w:w="3142"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银行承兑汇票</w:t>
            </w:r>
          </w:p>
        </w:tc>
        <w:tc>
          <w:tcPr>
            <w:tcW w:w="1718"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714</w:t>
            </w:r>
          </w:p>
        </w:tc>
        <w:tc>
          <w:tcPr>
            <w:tcW w:w="1670"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0.024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2648"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厦门国贸集团股份有限公司</w:t>
            </w:r>
          </w:p>
        </w:tc>
        <w:tc>
          <w:tcPr>
            <w:tcW w:w="3142"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非保本理财产品</w:t>
            </w:r>
          </w:p>
        </w:tc>
        <w:tc>
          <w:tcPr>
            <w:tcW w:w="1718"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20000</w:t>
            </w:r>
          </w:p>
        </w:tc>
        <w:tc>
          <w:tcPr>
            <w:tcW w:w="1670"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0.659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2648"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厦门湾海上旅游客运有限公司</w:t>
            </w:r>
          </w:p>
        </w:tc>
        <w:tc>
          <w:tcPr>
            <w:tcW w:w="3142"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流动资金贷款</w:t>
            </w:r>
          </w:p>
        </w:tc>
        <w:tc>
          <w:tcPr>
            <w:tcW w:w="1718"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399.919761</w:t>
            </w:r>
          </w:p>
        </w:tc>
        <w:tc>
          <w:tcPr>
            <w:tcW w:w="1670"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0.013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2648"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厦门建发股份有限公司</w:t>
            </w:r>
          </w:p>
        </w:tc>
        <w:tc>
          <w:tcPr>
            <w:tcW w:w="3142"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信用证开立</w:t>
            </w:r>
          </w:p>
        </w:tc>
        <w:tc>
          <w:tcPr>
            <w:tcW w:w="1718"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6375.7</w:t>
            </w:r>
          </w:p>
        </w:tc>
        <w:tc>
          <w:tcPr>
            <w:tcW w:w="1670"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0.210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2648"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关联自然人</w:t>
            </w:r>
          </w:p>
        </w:tc>
        <w:tc>
          <w:tcPr>
            <w:tcW w:w="3142" w:type="dxa"/>
            <w:vAlign w:val="center"/>
          </w:tcPr>
          <w:p>
            <w:pPr>
              <w:jc w:val="both"/>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贷款及信用卡</w:t>
            </w:r>
          </w:p>
        </w:tc>
        <w:tc>
          <w:tcPr>
            <w:tcW w:w="1718"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23201.71815</w:t>
            </w:r>
          </w:p>
        </w:tc>
        <w:tc>
          <w:tcPr>
            <w:tcW w:w="1670"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0.765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2648" w:type="dxa"/>
          </w:tcPr>
          <w:p>
            <w:pP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b/>
                <w:bCs/>
                <w:sz w:val="24"/>
                <w:szCs w:val="24"/>
                <w:highlight w:val="none"/>
                <w:shd w:val="clear" w:color="auto" w:fill="FFFFFF"/>
                <w:vertAlign w:val="baseline"/>
                <w:lang w:val="en-US" w:eastAsia="zh-CN"/>
              </w:rPr>
              <w:t>合计</w:t>
            </w:r>
          </w:p>
        </w:tc>
        <w:tc>
          <w:tcPr>
            <w:tcW w:w="3142" w:type="dxa"/>
          </w:tcPr>
          <w:p>
            <w:pPr>
              <w:rPr>
                <w:rFonts w:hint="eastAsia" w:ascii="宋体" w:hAnsi="宋体" w:eastAsia="宋体" w:cs="宋体"/>
                <w:sz w:val="24"/>
                <w:szCs w:val="24"/>
                <w:highlight w:val="none"/>
                <w:shd w:val="clear" w:color="auto" w:fill="FFFFFF"/>
                <w:vertAlign w:val="baseline"/>
                <w:lang w:val="en-US" w:eastAsia="zh-CN"/>
              </w:rPr>
            </w:pPr>
          </w:p>
        </w:tc>
        <w:tc>
          <w:tcPr>
            <w:tcW w:w="1718" w:type="dxa"/>
            <w:vAlign w:val="center"/>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345748.1687</w:t>
            </w:r>
          </w:p>
        </w:tc>
        <w:tc>
          <w:tcPr>
            <w:tcW w:w="1670" w:type="dxa"/>
          </w:tcPr>
          <w:p>
            <w:pPr>
              <w:jc w:val="center"/>
              <w:rPr>
                <w:rFonts w:hint="eastAsia" w:ascii="宋体" w:hAnsi="宋体" w:eastAsia="宋体" w:cs="宋体"/>
                <w:sz w:val="24"/>
                <w:szCs w:val="24"/>
                <w:highlight w:val="none"/>
                <w:shd w:val="clear" w:color="auto" w:fill="FFFFFF"/>
                <w:vertAlign w:val="baseline"/>
                <w:lang w:val="en-US" w:eastAsia="zh-CN"/>
              </w:rPr>
            </w:pPr>
            <w:r>
              <w:rPr>
                <w:rFonts w:hint="eastAsia" w:ascii="宋体" w:hAnsi="宋体" w:eastAsia="宋体" w:cs="宋体"/>
                <w:sz w:val="24"/>
                <w:szCs w:val="24"/>
                <w:highlight w:val="none"/>
                <w:shd w:val="clear" w:color="auto" w:fill="FFFFFF"/>
                <w:vertAlign w:val="baseline"/>
                <w:lang w:val="en-US" w:eastAsia="zh-CN"/>
              </w:rPr>
              <w:t>11.398</w:t>
            </w:r>
          </w:p>
        </w:tc>
      </w:tr>
    </w:tbl>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sz w:val="24"/>
          <w:szCs w:val="24"/>
          <w:highlight w:val="none"/>
          <w:shd w:val="clear" w:color="auto" w:fill="FFFFFF"/>
          <w:lang w:val="zh-CN"/>
        </w:rPr>
        <w:t>表内外授信类关联交易净额（含表内贷款、表内投资及表外授信，扣除保证金、银行存单、国债）</w:t>
      </w:r>
      <w:r>
        <w:rPr>
          <w:rFonts w:hint="eastAsia" w:ascii="宋体" w:hAnsi="宋体" w:eastAsia="宋体" w:cs="宋体"/>
          <w:sz w:val="24"/>
          <w:szCs w:val="24"/>
          <w:highlight w:val="none"/>
          <w:shd w:val="clear" w:color="auto" w:fill="FFFFFF"/>
          <w:lang w:val="en-US" w:eastAsia="zh-CN"/>
        </w:rPr>
        <w:t>345748.1687万</w:t>
      </w:r>
      <w:r>
        <w:rPr>
          <w:rFonts w:hint="eastAsia" w:ascii="宋体" w:hAnsi="宋体" w:eastAsia="宋体" w:cs="宋体"/>
          <w:sz w:val="24"/>
          <w:szCs w:val="24"/>
          <w:highlight w:val="none"/>
          <w:shd w:val="clear" w:color="auto" w:fill="FFFFFF"/>
          <w:lang w:val="zh-CN"/>
        </w:rPr>
        <w:t>元，占</w:t>
      </w:r>
      <w:r>
        <w:rPr>
          <w:rFonts w:hint="eastAsia" w:ascii="宋体" w:hAnsi="宋体" w:eastAsia="宋体" w:cs="宋体"/>
          <w:sz w:val="24"/>
          <w:szCs w:val="24"/>
          <w:highlight w:val="none"/>
          <w:shd w:val="clear" w:color="auto" w:fill="FFFFFF"/>
          <w:lang w:val="en-US" w:eastAsia="zh-CN"/>
        </w:rPr>
        <w:t>公司</w:t>
      </w:r>
      <w:r>
        <w:rPr>
          <w:rFonts w:hint="eastAsia" w:ascii="宋体" w:hAnsi="宋体" w:eastAsia="宋体" w:cs="宋体"/>
          <w:sz w:val="24"/>
          <w:szCs w:val="24"/>
          <w:highlight w:val="none"/>
          <w:shd w:val="clear" w:color="auto" w:fill="FFFFFF"/>
          <w:lang w:val="zh-CN"/>
        </w:rPr>
        <w:t>资本净</w:t>
      </w:r>
      <w:r>
        <w:rPr>
          <w:rFonts w:hint="eastAsia" w:ascii="宋体" w:hAnsi="宋体" w:eastAsia="宋体" w:cs="宋体"/>
          <w:color w:val="auto"/>
          <w:sz w:val="24"/>
          <w:szCs w:val="24"/>
          <w:highlight w:val="none"/>
          <w:shd w:val="clear" w:color="auto" w:fill="FFFFFF"/>
          <w:lang w:val="zh-CN"/>
        </w:rPr>
        <w:t>额</w:t>
      </w:r>
      <w:r>
        <w:rPr>
          <w:rFonts w:hint="eastAsia" w:ascii="宋体" w:hAnsi="宋体" w:eastAsia="宋体" w:cs="宋体"/>
          <w:color w:val="auto"/>
          <w:sz w:val="24"/>
          <w:szCs w:val="24"/>
          <w:highlight w:val="none"/>
          <w:shd w:val="clear" w:color="auto" w:fill="FFFFFF"/>
          <w:lang w:val="en-US" w:eastAsia="zh-CN"/>
        </w:rPr>
        <w:t>的11.398</w:t>
      </w:r>
      <w:r>
        <w:rPr>
          <w:rFonts w:hint="eastAsia" w:ascii="宋体" w:hAnsi="宋体" w:eastAsia="宋体" w:cs="宋体"/>
          <w:color w:val="auto"/>
          <w:sz w:val="24"/>
          <w:szCs w:val="24"/>
          <w:highlight w:val="none"/>
          <w:shd w:val="clear" w:color="auto" w:fill="FFFFFF"/>
          <w:lang w:val="zh-CN"/>
        </w:rPr>
        <w:t>%，</w:t>
      </w:r>
      <w:r>
        <w:rPr>
          <w:rFonts w:hint="eastAsia" w:ascii="宋体" w:hAnsi="宋体" w:eastAsia="宋体" w:cs="宋体"/>
          <w:color w:val="auto"/>
          <w:sz w:val="24"/>
          <w:szCs w:val="24"/>
          <w:highlight w:val="none"/>
          <w:shd w:val="clear" w:color="auto" w:fill="FFFFFF"/>
          <w:lang w:val="en-US" w:eastAsia="zh-CN"/>
        </w:rPr>
        <w:t>占比未超过50%的监管限额要求。</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shd w:val="clear" w:color="auto" w:fill="FFFFFF"/>
          <w:lang w:val="en-US" w:eastAsia="zh-CN"/>
        </w:rPr>
      </w:pPr>
      <w:r>
        <w:rPr>
          <w:rFonts w:hint="eastAsia" w:ascii="宋体" w:hAnsi="宋体" w:eastAsia="宋体" w:cs="宋体"/>
          <w:sz w:val="24"/>
          <w:szCs w:val="24"/>
          <w:highlight w:val="none"/>
          <w:shd w:val="clear" w:color="auto" w:fill="FFFFFF"/>
          <w:lang w:val="zh-CN"/>
        </w:rPr>
        <w:t>此外，四季度</w:t>
      </w:r>
      <w:r>
        <w:rPr>
          <w:rFonts w:hint="eastAsia" w:ascii="宋体" w:hAnsi="宋体" w:eastAsia="宋体" w:cs="宋体"/>
          <w:sz w:val="24"/>
          <w:szCs w:val="24"/>
          <w:highlight w:val="none"/>
          <w:shd w:val="clear" w:color="auto" w:fill="FFFFFF"/>
          <w:lang w:val="en-US" w:eastAsia="zh-CN"/>
        </w:rPr>
        <w:t>公司</w:t>
      </w:r>
      <w:r>
        <w:rPr>
          <w:rFonts w:hint="eastAsia" w:ascii="宋体" w:hAnsi="宋体" w:eastAsia="宋体" w:cs="宋体"/>
          <w:sz w:val="24"/>
          <w:szCs w:val="24"/>
          <w:highlight w:val="none"/>
          <w:shd w:val="clear" w:color="auto" w:fill="FFFFFF"/>
          <w:lang w:val="zh-CN"/>
        </w:rPr>
        <w:t>与关联方</w:t>
      </w:r>
      <w:r>
        <w:rPr>
          <w:rFonts w:hint="eastAsia" w:ascii="宋体" w:hAnsi="宋体" w:eastAsia="宋体" w:cs="宋体"/>
          <w:sz w:val="24"/>
          <w:szCs w:val="24"/>
          <w:highlight w:val="none"/>
          <w:shd w:val="clear" w:color="auto" w:fill="FFFFFF"/>
          <w:lang w:val="en-US" w:eastAsia="zh-CN"/>
        </w:rPr>
        <w:t>发生服务类</w:t>
      </w:r>
      <w:r>
        <w:rPr>
          <w:rFonts w:hint="eastAsia" w:ascii="宋体" w:hAnsi="宋体" w:eastAsia="宋体" w:cs="宋体"/>
          <w:sz w:val="24"/>
          <w:szCs w:val="24"/>
          <w:highlight w:val="none"/>
          <w:shd w:val="clear" w:color="auto" w:fill="FFFFFF"/>
          <w:lang w:val="zh-CN"/>
        </w:rPr>
        <w:t>关联交易</w:t>
      </w:r>
      <w:r>
        <w:rPr>
          <w:rFonts w:hint="eastAsia" w:ascii="宋体" w:hAnsi="宋体" w:eastAsia="宋体" w:cs="宋体"/>
          <w:sz w:val="24"/>
          <w:szCs w:val="24"/>
          <w:highlight w:val="none"/>
          <w:shd w:val="clear" w:color="auto" w:fill="FFFFFF"/>
          <w:lang w:val="en-US" w:eastAsia="zh-CN"/>
        </w:rPr>
        <w:t>476.4</w:t>
      </w:r>
      <w:r>
        <w:rPr>
          <w:rFonts w:hint="eastAsia" w:ascii="宋体" w:hAnsi="宋体" w:eastAsia="宋体" w:cs="宋体"/>
          <w:sz w:val="24"/>
          <w:szCs w:val="24"/>
          <w:highlight w:val="none"/>
          <w:shd w:val="clear" w:color="auto" w:fill="FFFFFF"/>
          <w:lang w:val="zh-CN"/>
        </w:rPr>
        <w:t>万元，</w:t>
      </w:r>
      <w:r>
        <w:rPr>
          <w:rFonts w:hint="eastAsia" w:ascii="宋体" w:hAnsi="宋体" w:eastAsia="宋体" w:cs="宋体"/>
          <w:sz w:val="24"/>
          <w:szCs w:val="24"/>
          <w:highlight w:val="none"/>
          <w:shd w:val="clear" w:color="auto" w:fill="FFFFFF"/>
          <w:lang w:val="en-US" w:eastAsia="zh-CN"/>
        </w:rPr>
        <w:t>其他类关联交易69999.7万元，具体为认购圆信永丰基金管理有限公司投资基金</w:t>
      </w:r>
      <w:r>
        <w:rPr>
          <w:rFonts w:hint="eastAsia" w:ascii="宋体" w:hAnsi="宋体" w:eastAsia="宋体" w:cs="宋体"/>
          <w:sz w:val="24"/>
          <w:szCs w:val="24"/>
          <w:highlight w:val="none"/>
          <w:shd w:val="clear" w:color="auto" w:fill="FFFFFF"/>
          <w:lang w:val="zh-CN"/>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shd w:val="clear" w:color="auto" w:fill="FFFFFF"/>
          <w:lang w:val="en-US" w:eastAsia="zh-CN"/>
        </w:rPr>
      </w:pPr>
      <w:r>
        <w:rPr>
          <w:rFonts w:hint="eastAsia" w:ascii="宋体" w:hAnsi="宋体" w:eastAsia="宋体" w:cs="宋体"/>
          <w:sz w:val="24"/>
          <w:szCs w:val="24"/>
          <w:highlight w:val="none"/>
          <w:shd w:val="clear" w:color="auto" w:fill="FFFFFF"/>
          <w:lang w:val="en-US" w:eastAsia="zh-CN"/>
        </w:rPr>
        <w:t>公司</w:t>
      </w:r>
      <w:r>
        <w:rPr>
          <w:rFonts w:hint="eastAsia" w:ascii="宋体" w:hAnsi="宋体" w:eastAsia="宋体" w:cs="宋体"/>
          <w:sz w:val="24"/>
          <w:szCs w:val="24"/>
          <w:highlight w:val="none"/>
          <w:shd w:val="clear" w:color="auto" w:fill="FFFFFF"/>
          <w:lang w:val="zh-CN"/>
        </w:rPr>
        <w:t>关联交易</w:t>
      </w:r>
      <w:r>
        <w:rPr>
          <w:rFonts w:hint="eastAsia" w:ascii="宋体" w:hAnsi="宋体" w:eastAsia="宋体" w:cs="宋体"/>
          <w:sz w:val="24"/>
          <w:szCs w:val="24"/>
          <w:highlight w:val="none"/>
          <w:shd w:val="clear" w:color="auto" w:fill="FFFFFF"/>
          <w:lang w:val="en-US" w:eastAsia="zh-CN"/>
        </w:rPr>
        <w:t>定价均遵循市场价格原则，按照与关联交易类型的不同确定定价，并在合同协议中明确。针对授信类关联交易，公司根据授信定价管理政策确定价格；针对非授信类关联交易，公司参照同类服务市场价格进行定价。</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highlight w:val="none"/>
          <w:shd w:val="clear" w:color="auto" w:fill="FFFFFF"/>
          <w:lang w:val="en-US" w:eastAsia="zh-CN"/>
        </w:rPr>
        <w:t>报告期内，公司关联交易</w:t>
      </w:r>
      <w:r>
        <w:rPr>
          <w:rFonts w:hint="eastAsia" w:ascii="宋体" w:hAnsi="宋体" w:eastAsia="宋体" w:cs="宋体"/>
          <w:sz w:val="24"/>
          <w:szCs w:val="24"/>
          <w:highlight w:val="none"/>
          <w:shd w:val="clear" w:color="auto" w:fill="FFFFFF"/>
          <w:lang w:val="zh-CN"/>
        </w:rPr>
        <w:t>均</w:t>
      </w:r>
      <w:r>
        <w:rPr>
          <w:rFonts w:hint="eastAsia" w:ascii="宋体" w:hAnsi="宋体" w:eastAsia="宋体" w:cs="宋体"/>
          <w:sz w:val="24"/>
          <w:szCs w:val="24"/>
          <w:highlight w:val="none"/>
          <w:shd w:val="clear" w:color="auto" w:fill="FFFFFF"/>
          <w:lang w:val="en-US" w:eastAsia="zh-CN"/>
        </w:rPr>
        <w:t>以不优于对非关联方同类交易的条件进行，做到公正、公平、公开，不存在给其他股东合法利益造成损害的情形，具备合法性与公允性。</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lang w:val="en-US" w:eastAsia="zh-CN"/>
        </w:rPr>
      </w:pP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宋体" w:hAnsi="宋体" w:eastAsia="宋体" w:cs="宋体"/>
          <w:sz w:val="24"/>
          <w:szCs w:val="20"/>
          <w:lang w:val="en-US" w:eastAsia="zh-CN"/>
        </w:rPr>
      </w:pPr>
      <w:r>
        <w:rPr>
          <w:rFonts w:hint="eastAsia" w:ascii="宋体" w:hAnsi="宋体" w:eastAsia="宋体" w:cs="宋体"/>
          <w:sz w:val="24"/>
          <w:szCs w:val="24"/>
        </w:rPr>
        <w:t>本议案已经第八届董事会第十</w:t>
      </w:r>
      <w:r>
        <w:rPr>
          <w:rFonts w:hint="eastAsia" w:ascii="宋体" w:hAnsi="宋体" w:eastAsia="宋体" w:cs="宋体"/>
          <w:sz w:val="24"/>
          <w:szCs w:val="24"/>
          <w:lang w:val="en-US" w:eastAsia="zh-CN"/>
        </w:rPr>
        <w:t>六</w:t>
      </w:r>
      <w:r>
        <w:rPr>
          <w:rFonts w:hint="eastAsia" w:ascii="宋体" w:hAnsi="宋体" w:eastAsia="宋体" w:cs="宋体"/>
          <w:sz w:val="24"/>
          <w:szCs w:val="24"/>
        </w:rPr>
        <w:t>次会议、第八届监事会第十</w:t>
      </w:r>
      <w:r>
        <w:rPr>
          <w:rFonts w:hint="eastAsia" w:ascii="宋体" w:hAnsi="宋体" w:eastAsia="宋体" w:cs="宋体"/>
          <w:sz w:val="24"/>
          <w:szCs w:val="24"/>
          <w:lang w:val="en-US" w:eastAsia="zh-CN"/>
        </w:rPr>
        <w:t>一</w:t>
      </w:r>
      <w:r>
        <w:rPr>
          <w:rFonts w:hint="eastAsia" w:ascii="宋体" w:hAnsi="宋体" w:eastAsia="宋体" w:cs="宋体"/>
          <w:sz w:val="24"/>
          <w:szCs w:val="24"/>
        </w:rPr>
        <w:t>次会议审议通过。</w:t>
      </w:r>
      <w:r>
        <w:rPr>
          <w:rFonts w:hint="eastAsia" w:ascii="宋体" w:hAnsi="宋体" w:eastAsia="宋体" w:cs="宋体"/>
          <w:sz w:val="24"/>
          <w:szCs w:val="24"/>
          <w:lang w:val="en-US" w:eastAsia="zh-CN"/>
        </w:rPr>
        <w:t>特此报告。</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ascii="宋体" w:hAnsi="宋体" w:eastAsia="宋体" w:cs="宋体"/>
          <w:sz w:val="24"/>
          <w:szCs w:val="20"/>
        </w:rPr>
      </w:pP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ascii="宋体" w:hAnsi="宋体" w:eastAsia="宋体" w:cs="宋体"/>
          <w:sz w:val="24"/>
          <w:szCs w:val="20"/>
        </w:rPr>
      </w:pPr>
    </w:p>
    <w:p>
      <w:pPr>
        <w:pStyle w:val="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right"/>
        <w:textAlignment w:val="auto"/>
        <w:rPr>
          <w:rFonts w:hAnsi="宋体" w:eastAsia="宋体" w:cs="宋体"/>
          <w:sz w:val="24"/>
          <w:szCs w:val="24"/>
        </w:rPr>
      </w:pPr>
      <w:r>
        <w:rPr>
          <w:rFonts w:hint="eastAsia" w:hAnsi="宋体" w:eastAsia="宋体" w:cs="宋体"/>
          <w:sz w:val="24"/>
          <w:szCs w:val="24"/>
        </w:rPr>
        <w:t>厦门银行股份有限公司</w:t>
      </w:r>
    </w:p>
    <w:p>
      <w:pPr>
        <w:pStyle w:val="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right"/>
        <w:textAlignment w:val="auto"/>
        <w:rPr>
          <w:rFonts w:hint="eastAsia" w:hAnsi="宋体" w:eastAsia="宋体" w:cs="宋体"/>
          <w:sz w:val="24"/>
          <w:szCs w:val="24"/>
        </w:rPr>
      </w:pPr>
      <w:r>
        <w:rPr>
          <w:rFonts w:hint="eastAsia" w:hAnsi="宋体" w:eastAsia="宋体" w:cs="宋体"/>
          <w:sz w:val="24"/>
          <w:szCs w:val="24"/>
        </w:rPr>
        <w:t>202</w:t>
      </w:r>
      <w:r>
        <w:rPr>
          <w:rFonts w:hint="eastAsia" w:hAnsi="宋体" w:eastAsia="宋体" w:cs="宋体"/>
          <w:sz w:val="24"/>
          <w:szCs w:val="24"/>
          <w:lang w:val="en-US" w:eastAsia="zh-CN"/>
        </w:rPr>
        <w:t>2</w:t>
      </w:r>
      <w:r>
        <w:rPr>
          <w:rFonts w:hint="eastAsia" w:hAnsi="宋体" w:eastAsia="宋体" w:cs="宋体"/>
          <w:sz w:val="24"/>
          <w:szCs w:val="24"/>
        </w:rPr>
        <w:t>年</w:t>
      </w:r>
      <w:r>
        <w:rPr>
          <w:rFonts w:hint="eastAsia" w:hAnsi="宋体" w:eastAsia="宋体" w:cs="宋体"/>
          <w:sz w:val="24"/>
          <w:szCs w:val="24"/>
          <w:lang w:val="en-US" w:eastAsia="zh-CN"/>
        </w:rPr>
        <w:t>6</w:t>
      </w:r>
      <w:r>
        <w:rPr>
          <w:rFonts w:hint="eastAsia" w:hAnsi="宋体" w:eastAsia="宋体" w:cs="宋体"/>
          <w:sz w:val="24"/>
          <w:szCs w:val="24"/>
        </w:rPr>
        <w:t>月</w:t>
      </w:r>
      <w:r>
        <w:rPr>
          <w:rFonts w:hint="eastAsia" w:hAnsi="宋体" w:eastAsia="宋体" w:cs="宋体"/>
          <w:sz w:val="24"/>
          <w:szCs w:val="24"/>
          <w:lang w:val="en-US" w:eastAsia="zh-CN"/>
        </w:rPr>
        <w:t>2</w:t>
      </w:r>
      <w:r>
        <w:rPr>
          <w:rFonts w:hint="eastAsia" w:hAnsi="宋体" w:eastAsia="宋体" w:cs="宋体"/>
          <w:sz w:val="24"/>
          <w:szCs w:val="24"/>
        </w:rPr>
        <w:t>日</w:t>
      </w:r>
    </w:p>
    <w:p>
      <w:pPr>
        <w:rPr>
          <w:rFonts w:hint="eastAsia" w:hAnsi="宋体" w:eastAsia="宋体" w:cs="宋体"/>
          <w:sz w:val="24"/>
          <w:szCs w:val="24"/>
        </w:rPr>
      </w:pPr>
      <w:r>
        <w:rPr>
          <w:rFonts w:hint="eastAsia" w:hAnsi="宋体" w:eastAsia="宋体" w:cs="宋体"/>
          <w:sz w:val="24"/>
          <w:szCs w:val="24"/>
        </w:rPr>
        <w:br w:type="page"/>
      </w:r>
    </w:p>
    <w:p>
      <w:pPr>
        <w:pStyle w:val="19"/>
      </w:pPr>
    </w:p>
    <w:p>
      <w:pPr>
        <w:spacing w:line="360" w:lineRule="auto"/>
        <w:jc w:val="center"/>
        <w:rPr>
          <w:rFonts w:ascii="宋体" w:hAnsi="宋体" w:eastAsia="宋体" w:cs="宋体"/>
          <w:b/>
          <w:bCs/>
          <w:sz w:val="28"/>
          <w:szCs w:val="36"/>
        </w:rPr>
      </w:pPr>
      <w:r>
        <w:rPr>
          <w:rFonts w:hint="eastAsia" w:ascii="宋体" w:hAnsi="宋体" w:eastAsia="宋体" w:cs="宋体"/>
          <w:b/>
          <w:bCs/>
          <w:color w:val="000000"/>
          <w:sz w:val="30"/>
          <w:szCs w:val="30"/>
        </w:rPr>
        <mc:AlternateContent>
          <mc:Choice Requires="wps">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2494915" cy="676275"/>
                <wp:effectExtent l="5080" t="4445" r="14605" b="5080"/>
                <wp:wrapNone/>
                <wp:docPr id="18" name="文本框 3"/>
                <wp:cNvGraphicFramePr/>
                <a:graphic xmlns:a="http://schemas.openxmlformats.org/drawingml/2006/main">
                  <a:graphicData uri="http://schemas.microsoft.com/office/word/2010/wordprocessingShape">
                    <wps:wsp>
                      <wps:cNvSpPr txBox="1"/>
                      <wps:spPr>
                        <a:xfrm>
                          <a:off x="0" y="0"/>
                          <a:ext cx="2494915" cy="676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lang w:val="en-US" w:eastAsia="zh-CN"/>
                              </w:rPr>
                              <w:t>报告2</w:t>
                            </w:r>
                          </w:p>
                        </w:txbxContent>
                      </wps:txbx>
                      <wps:bodyPr wrap="square" upright="1"/>
                    </wps:wsp>
                  </a:graphicData>
                </a:graphic>
              </wp:anchor>
            </w:drawing>
          </mc:Choice>
          <mc:Fallback>
            <w:pict>
              <v:shape id="文本框 3" o:spid="_x0000_s1026" o:spt="202" type="#_x0000_t202" style="position:absolute;left:0pt;margin-left:0pt;margin-top:0pt;height:53.25pt;width:196.45pt;z-index:251676672;mso-width-relative:page;mso-height-relative:page;" fillcolor="#FFFFFF" filled="t" stroked="t" coordsize="21600,21600" o:gfxdata="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hXBbWAAAABQEAAA8AAAAAAAAAAQAgAAAAIgAAAGRycy9kb3ducmV2Lnht&#10;bFBLAQIUABQAAAAIAIdO4kDRTmHg+wEAAPcDAAAOAAAAAAAAAAEAIAAAACUBAABkcnMvZTJvRG9j&#10;LnhtbFBLBQYAAAAABgAGAFkBAACSBQ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lang w:val="en-US" w:eastAsia="zh-CN"/>
                        </w:rPr>
                        <w:t>报告2</w:t>
                      </w:r>
                    </w:p>
                  </w:txbxContent>
                </v:textbox>
              </v:shape>
            </w:pict>
          </mc:Fallback>
        </mc:AlternateContent>
      </w:r>
    </w:p>
    <w:p>
      <w:pPr>
        <w:spacing w:line="360" w:lineRule="auto"/>
        <w:jc w:val="center"/>
        <w:rPr>
          <w:rFonts w:ascii="宋体" w:hAnsi="宋体" w:eastAsia="宋体" w:cs="宋体"/>
          <w:b/>
          <w:bCs/>
          <w:sz w:val="28"/>
          <w:szCs w:val="36"/>
        </w:rPr>
      </w:pPr>
    </w:p>
    <w:p>
      <w:pPr>
        <w:spacing w:line="360" w:lineRule="auto"/>
        <w:jc w:val="center"/>
        <w:outlineLvl w:val="0"/>
        <w:rPr>
          <w:rFonts w:ascii="宋体" w:hAnsi="宋体" w:eastAsia="宋体" w:cs="宋体"/>
          <w:bCs/>
          <w:color w:val="000000"/>
          <w:kern w:val="36"/>
          <w:sz w:val="24"/>
        </w:rPr>
      </w:pPr>
      <w:r>
        <w:rPr>
          <w:rFonts w:hint="eastAsia" w:ascii="宋体" w:hAnsi="宋体" w:eastAsia="宋体" w:cs="宋体"/>
          <w:b/>
          <w:bCs/>
          <w:sz w:val="28"/>
          <w:szCs w:val="36"/>
        </w:rPr>
        <w:t>厦门银行股份有限公司2021年度独立董事述职报告</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Cs/>
          <w:color w:val="000000"/>
          <w:kern w:val="36"/>
          <w:sz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sz w:val="24"/>
        </w:rPr>
      </w:pPr>
      <w:r>
        <w:rPr>
          <w:rFonts w:hint="eastAsia" w:ascii="宋体" w:hAnsi="宋体" w:eastAsia="宋体" w:cs="宋体"/>
          <w:bCs/>
          <w:color w:val="000000"/>
          <w:kern w:val="36"/>
          <w:sz w:val="24"/>
        </w:rPr>
        <w:t>尊敬的各位</w:t>
      </w:r>
      <w:r>
        <w:rPr>
          <w:rFonts w:hint="eastAsia" w:ascii="宋体" w:hAnsi="宋体" w:eastAsia="宋体" w:cs="宋体"/>
          <w:sz w:val="24"/>
        </w:rPr>
        <w:t>股东</w:t>
      </w:r>
      <w:r>
        <w:rPr>
          <w:rFonts w:hint="eastAsia" w:ascii="宋体" w:hAnsi="宋体" w:eastAsia="宋体" w:cs="宋体"/>
          <w:bCs/>
          <w:color w:val="000000"/>
          <w:kern w:val="36"/>
          <w:sz w:val="24"/>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bCs/>
          <w:i w:val="0"/>
          <w:caps w:val="0"/>
          <w:spacing w:val="0"/>
          <w:sz w:val="24"/>
          <w:szCs w:val="24"/>
          <w:shd w:val="clear" w:color="auto" w:fill="FFFFFF"/>
          <w:lang w:val="en-US" w:eastAsia="zh-CN"/>
        </w:rPr>
      </w:pPr>
      <w:r>
        <w:rPr>
          <w:rFonts w:hint="eastAsia" w:ascii="宋体" w:hAnsi="宋体" w:eastAsia="宋体" w:cs="宋体"/>
          <w:i w:val="0"/>
          <w:caps w:val="0"/>
          <w:spacing w:val="0"/>
          <w:sz w:val="24"/>
          <w:szCs w:val="24"/>
          <w:shd w:val="clear" w:color="auto" w:fill="FFFFFF"/>
        </w:rPr>
        <w:t>20</w:t>
      </w:r>
      <w:r>
        <w:rPr>
          <w:rFonts w:hint="eastAsia" w:ascii="宋体" w:hAnsi="宋体" w:eastAsia="宋体" w:cs="宋体"/>
          <w:i w:val="0"/>
          <w:caps w:val="0"/>
          <w:spacing w:val="0"/>
          <w:sz w:val="24"/>
          <w:szCs w:val="24"/>
          <w:shd w:val="clear" w:color="auto" w:fill="FFFFFF"/>
          <w:lang w:val="en-US" w:eastAsia="zh-CN"/>
        </w:rPr>
        <w:t>21</w:t>
      </w:r>
      <w:r>
        <w:rPr>
          <w:rFonts w:hint="eastAsia" w:ascii="宋体" w:hAnsi="宋体" w:eastAsia="宋体" w:cs="宋体"/>
          <w:i w:val="0"/>
          <w:caps w:val="0"/>
          <w:spacing w:val="0"/>
          <w:sz w:val="24"/>
          <w:szCs w:val="24"/>
          <w:shd w:val="clear" w:color="auto" w:fill="FFFFFF"/>
        </w:rPr>
        <w:t>年度</w:t>
      </w:r>
      <w:r>
        <w:rPr>
          <w:rFonts w:hint="eastAsia" w:ascii="宋体" w:hAnsi="宋体" w:eastAsia="宋体" w:cs="宋体"/>
          <w:i w:val="0"/>
          <w:caps w:val="0"/>
          <w:spacing w:val="0"/>
          <w:sz w:val="24"/>
          <w:szCs w:val="24"/>
          <w:shd w:val="clear" w:color="auto" w:fill="FFFFFF"/>
          <w:lang w:eastAsia="zh-CN"/>
        </w:rPr>
        <w:t>，</w:t>
      </w:r>
      <w:r>
        <w:rPr>
          <w:rFonts w:hint="eastAsia" w:ascii="宋体" w:hAnsi="宋体" w:eastAsia="宋体" w:cs="宋体"/>
          <w:i w:val="0"/>
          <w:caps w:val="0"/>
          <w:spacing w:val="0"/>
          <w:sz w:val="24"/>
          <w:szCs w:val="24"/>
          <w:shd w:val="clear" w:color="auto" w:fill="FFFFFF"/>
          <w:lang w:val="en-US" w:eastAsia="zh-CN"/>
        </w:rPr>
        <w:t>公司</w:t>
      </w:r>
      <w:r>
        <w:rPr>
          <w:rFonts w:hint="eastAsia" w:ascii="宋体" w:hAnsi="宋体" w:eastAsia="宋体" w:cs="宋体"/>
          <w:i w:val="0"/>
          <w:caps w:val="0"/>
          <w:spacing w:val="0"/>
          <w:sz w:val="24"/>
          <w:szCs w:val="24"/>
          <w:shd w:val="clear" w:color="auto" w:fill="FFFFFF"/>
        </w:rPr>
        <w:t>独立董事严格按</w:t>
      </w:r>
      <w:r>
        <w:rPr>
          <w:rFonts w:hint="eastAsia" w:ascii="宋体" w:hAnsi="宋体" w:eastAsia="宋体" w:cs="宋体"/>
          <w:i w:val="0"/>
          <w:caps w:val="0"/>
          <w:spacing w:val="0"/>
          <w:sz w:val="24"/>
          <w:szCs w:val="24"/>
          <w:highlight w:val="none"/>
          <w:shd w:val="clear" w:color="auto" w:fill="FFFFFF"/>
        </w:rPr>
        <w:t>照《中华人民共和国公司法》《上海证券交易所股票上市规则》</w:t>
      </w:r>
      <w:r>
        <w:rPr>
          <w:rFonts w:hint="eastAsia" w:ascii="宋体" w:hAnsi="宋体" w:eastAsia="宋体" w:cs="宋体"/>
          <w:i w:val="0"/>
          <w:caps w:val="0"/>
          <w:spacing w:val="0"/>
          <w:sz w:val="24"/>
          <w:szCs w:val="24"/>
          <w:highlight w:val="none"/>
          <w:shd w:val="clear" w:color="auto" w:fill="FFFFFF"/>
          <w:lang w:eastAsia="zh-CN"/>
        </w:rPr>
        <w:t>《上</w:t>
      </w:r>
      <w:r>
        <w:rPr>
          <w:rFonts w:hint="eastAsia" w:ascii="宋体" w:hAnsi="宋体" w:eastAsia="宋体" w:cs="宋体"/>
          <w:i w:val="0"/>
          <w:caps w:val="0"/>
          <w:spacing w:val="0"/>
          <w:sz w:val="24"/>
          <w:szCs w:val="24"/>
          <w:highlight w:val="none"/>
          <w:shd w:val="clear" w:color="auto" w:fill="FFFFFF"/>
        </w:rPr>
        <w:t>市公司治理准则》《关于在上市公司建立独立董事制度的指导意见》</w:t>
      </w:r>
      <w:r>
        <w:rPr>
          <w:rStyle w:val="18"/>
          <w:rFonts w:hint="eastAsia" w:ascii="宋体" w:hAnsi="宋体" w:eastAsia="宋体" w:cs="宋体"/>
          <w:i w:val="0"/>
          <w:caps w:val="0"/>
          <w:spacing w:val="0"/>
          <w:sz w:val="24"/>
          <w:szCs w:val="24"/>
          <w:highlight w:val="none"/>
          <w:shd w:val="clear" w:color="auto" w:fill="FFFFFF"/>
        </w:rPr>
        <w:footnoteReference w:id="7"/>
      </w:r>
      <w:r>
        <w:rPr>
          <w:rFonts w:hint="eastAsia" w:ascii="宋体" w:hAnsi="宋体" w:eastAsia="宋体" w:cs="宋体"/>
          <w:i w:val="0"/>
          <w:caps w:val="0"/>
          <w:spacing w:val="0"/>
          <w:sz w:val="24"/>
          <w:szCs w:val="24"/>
          <w:shd w:val="clear" w:color="auto" w:fill="FFFFFF"/>
        </w:rPr>
        <w:t>等</w:t>
      </w:r>
      <w:r>
        <w:rPr>
          <w:rFonts w:hint="eastAsia" w:ascii="宋体" w:hAnsi="宋体" w:eastAsia="宋体" w:cs="宋体"/>
          <w:i w:val="0"/>
          <w:caps w:val="0"/>
          <w:spacing w:val="0"/>
          <w:sz w:val="24"/>
          <w:szCs w:val="24"/>
          <w:shd w:val="clear" w:color="auto" w:fill="FFFFFF"/>
          <w:lang w:val="en-US" w:eastAsia="zh-CN"/>
        </w:rPr>
        <w:t>相关</w:t>
      </w:r>
      <w:r>
        <w:rPr>
          <w:rFonts w:hint="eastAsia" w:ascii="宋体" w:hAnsi="宋体" w:eastAsia="宋体" w:cs="宋体"/>
          <w:i w:val="0"/>
          <w:caps w:val="0"/>
          <w:spacing w:val="0"/>
          <w:sz w:val="24"/>
          <w:szCs w:val="24"/>
          <w:shd w:val="clear" w:color="auto" w:fill="FFFFFF"/>
        </w:rPr>
        <w:t>法律法规</w:t>
      </w:r>
      <w:r>
        <w:rPr>
          <w:rFonts w:hint="eastAsia" w:ascii="宋体" w:hAnsi="宋体" w:eastAsia="宋体" w:cs="宋体"/>
          <w:i w:val="0"/>
          <w:caps w:val="0"/>
          <w:spacing w:val="0"/>
          <w:sz w:val="24"/>
          <w:szCs w:val="24"/>
          <w:shd w:val="clear" w:color="auto" w:fill="FFFFFF"/>
          <w:lang w:eastAsia="zh-CN"/>
        </w:rPr>
        <w:t>以及</w:t>
      </w:r>
      <w:r>
        <w:rPr>
          <w:rFonts w:hint="eastAsia" w:ascii="宋体" w:hAnsi="宋体" w:eastAsia="宋体" w:cs="宋体"/>
          <w:i w:val="0"/>
          <w:caps w:val="0"/>
          <w:spacing w:val="0"/>
          <w:sz w:val="24"/>
          <w:szCs w:val="24"/>
          <w:highlight w:val="none"/>
          <w:shd w:val="clear" w:color="auto" w:fill="FFFFFF"/>
        </w:rPr>
        <w:t>《公司章程》</w:t>
      </w:r>
      <w:r>
        <w:rPr>
          <w:rFonts w:hint="eastAsia" w:ascii="宋体" w:hAnsi="宋体" w:eastAsia="宋体" w:cs="宋体"/>
          <w:i w:val="0"/>
          <w:caps w:val="0"/>
          <w:spacing w:val="0"/>
          <w:sz w:val="24"/>
          <w:szCs w:val="24"/>
          <w:shd w:val="clear" w:color="auto" w:fill="FFFFFF"/>
        </w:rPr>
        <w:t>的有关规定，</w:t>
      </w:r>
      <w:r>
        <w:rPr>
          <w:rFonts w:hint="eastAsia" w:ascii="宋体" w:hAnsi="宋体" w:eastAsia="宋体" w:cs="宋体"/>
          <w:i w:val="0"/>
          <w:caps w:val="0"/>
          <w:spacing w:val="0"/>
          <w:sz w:val="24"/>
          <w:szCs w:val="24"/>
          <w:shd w:val="clear" w:color="auto" w:fill="FFFFFF"/>
          <w:lang w:eastAsia="zh-CN"/>
        </w:rPr>
        <w:t>基于独立客观的立场，本着审慎负责的态度，</w:t>
      </w:r>
      <w:r>
        <w:rPr>
          <w:rFonts w:hint="eastAsia" w:ascii="宋体" w:hAnsi="宋体" w:eastAsia="宋体" w:cs="宋体"/>
          <w:i w:val="0"/>
          <w:caps w:val="0"/>
          <w:spacing w:val="0"/>
          <w:sz w:val="24"/>
          <w:szCs w:val="24"/>
          <w:shd w:val="clear" w:color="auto" w:fill="FFFFFF"/>
        </w:rPr>
        <w:t>充分发挥独立董事作用，切实维护</w:t>
      </w:r>
      <w:r>
        <w:rPr>
          <w:rFonts w:hint="eastAsia" w:ascii="宋体" w:hAnsi="宋体" w:eastAsia="宋体" w:cs="宋体"/>
          <w:i w:val="0"/>
          <w:caps w:val="0"/>
          <w:spacing w:val="0"/>
          <w:sz w:val="24"/>
          <w:szCs w:val="24"/>
          <w:shd w:val="clear" w:color="auto" w:fill="FFFFFF"/>
          <w:lang w:val="en-US" w:eastAsia="zh-CN"/>
        </w:rPr>
        <w:t>公司</w:t>
      </w:r>
      <w:r>
        <w:rPr>
          <w:rFonts w:hint="eastAsia" w:ascii="宋体" w:hAnsi="宋体" w:eastAsia="宋体" w:cs="宋体"/>
          <w:i w:val="0"/>
          <w:caps w:val="0"/>
          <w:spacing w:val="0"/>
          <w:sz w:val="24"/>
          <w:szCs w:val="24"/>
          <w:shd w:val="clear" w:color="auto" w:fill="FFFFFF"/>
        </w:rPr>
        <w:t>的整体利益和中小股东的合法权益。</w:t>
      </w:r>
      <w:r>
        <w:rPr>
          <w:rFonts w:hint="eastAsia" w:ascii="宋体" w:hAnsi="宋体" w:eastAsia="宋体" w:cs="宋体"/>
          <w:i w:val="0"/>
          <w:caps w:val="0"/>
          <w:spacing w:val="0"/>
          <w:sz w:val="24"/>
          <w:szCs w:val="24"/>
          <w:shd w:val="clear" w:color="auto" w:fill="FFFFFF"/>
          <w:lang w:eastAsia="zh-CN"/>
        </w:rPr>
        <w:t>现将</w:t>
      </w:r>
      <w:r>
        <w:rPr>
          <w:rFonts w:hint="eastAsia" w:ascii="宋体" w:hAnsi="宋体" w:eastAsia="宋体" w:cs="宋体"/>
          <w:i w:val="0"/>
          <w:caps w:val="0"/>
          <w:spacing w:val="0"/>
          <w:sz w:val="24"/>
          <w:szCs w:val="24"/>
          <w:shd w:val="clear" w:color="auto" w:fill="FFFFFF"/>
          <w:lang w:val="en-US" w:eastAsia="zh-CN"/>
        </w:rPr>
        <w:t>2021年度独立董事履职情况报告如下：</w:t>
      </w:r>
    </w:p>
    <w:p>
      <w:pPr>
        <w:keepNext w:val="0"/>
        <w:keepLines w:val="0"/>
        <w:pageBreakBefore w:val="0"/>
        <w:widowControl w:val="0"/>
        <w:numPr>
          <w:ilvl w:val="0"/>
          <w:numId w:val="25"/>
        </w:numPr>
        <w:kinsoku/>
        <w:wordWrap/>
        <w:overflowPunct/>
        <w:topLinePunct w:val="0"/>
        <w:autoSpaceDE/>
        <w:autoSpaceDN/>
        <w:bidi w:val="0"/>
        <w:adjustRightInd/>
        <w:snapToGrid w:val="0"/>
        <w:spacing w:line="360" w:lineRule="auto"/>
        <w:ind w:left="-2" w:leftChars="0" w:firstLine="422" w:firstLineChars="0"/>
        <w:textAlignment w:val="auto"/>
        <w:rPr>
          <w:rFonts w:hint="eastAsia" w:ascii="宋体" w:hAnsi="宋体" w:eastAsia="宋体" w:cs="宋体"/>
          <w:b/>
          <w:bCs/>
          <w:i w:val="0"/>
          <w:caps w:val="0"/>
          <w:spacing w:val="0"/>
          <w:sz w:val="24"/>
          <w:szCs w:val="24"/>
          <w:shd w:val="clear" w:color="auto" w:fill="FFFFFF"/>
          <w:lang w:val="en-US" w:eastAsia="zh-CN"/>
        </w:rPr>
      </w:pPr>
      <w:r>
        <w:rPr>
          <w:rFonts w:hint="eastAsia" w:ascii="宋体" w:hAnsi="宋体" w:eastAsia="宋体" w:cs="宋体"/>
          <w:b/>
          <w:bCs/>
          <w:i w:val="0"/>
          <w:caps w:val="0"/>
          <w:spacing w:val="0"/>
          <w:sz w:val="24"/>
          <w:szCs w:val="24"/>
          <w:shd w:val="clear" w:color="auto" w:fill="FFFFFF"/>
          <w:lang w:val="en-US" w:eastAsia="zh-CN"/>
        </w:rPr>
        <w:t>独立董事基本情况</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i w:val="0"/>
          <w:caps w:val="0"/>
          <w:spacing w:val="0"/>
          <w:sz w:val="24"/>
          <w:szCs w:val="24"/>
          <w:shd w:val="clear" w:color="auto" w:fill="FFFFFF"/>
          <w:lang w:val="en-US" w:eastAsia="zh-CN"/>
        </w:rPr>
        <w:t>截至2021年12月31日，公司第</w:t>
      </w:r>
      <w:r>
        <w:rPr>
          <w:rFonts w:hint="eastAsia" w:ascii="宋体" w:hAnsi="宋体" w:eastAsia="宋体" w:cs="宋体"/>
          <w:i w:val="0"/>
          <w:caps w:val="0"/>
          <w:spacing w:val="0"/>
          <w:sz w:val="24"/>
          <w:szCs w:val="24"/>
          <w:highlight w:val="none"/>
          <w:shd w:val="clear" w:color="auto" w:fill="FFFFFF"/>
          <w:lang w:val="en-US" w:eastAsia="zh-CN"/>
        </w:rPr>
        <w:t>八</w:t>
      </w:r>
      <w:r>
        <w:rPr>
          <w:rFonts w:hint="eastAsia" w:ascii="宋体" w:hAnsi="宋体" w:eastAsia="宋体" w:cs="宋体"/>
          <w:i w:val="0"/>
          <w:caps w:val="0"/>
          <w:spacing w:val="0"/>
          <w:sz w:val="24"/>
          <w:szCs w:val="24"/>
          <w:shd w:val="clear" w:color="auto" w:fill="FFFFFF"/>
          <w:lang w:val="en-US" w:eastAsia="zh-CN"/>
        </w:rPr>
        <w:t>届董事会由</w:t>
      </w:r>
      <w:r>
        <w:rPr>
          <w:rFonts w:hint="eastAsia" w:ascii="宋体" w:hAnsi="宋体" w:eastAsia="宋体" w:cs="宋体"/>
          <w:i w:val="0"/>
          <w:caps w:val="0"/>
          <w:spacing w:val="0"/>
          <w:sz w:val="24"/>
          <w:szCs w:val="24"/>
          <w:highlight w:val="none"/>
          <w:shd w:val="clear" w:color="auto" w:fill="FFFFFF"/>
          <w:lang w:val="en-US" w:eastAsia="zh-CN"/>
        </w:rPr>
        <w:t>13</w:t>
      </w:r>
      <w:r>
        <w:rPr>
          <w:rFonts w:hint="eastAsia" w:ascii="宋体" w:hAnsi="宋体" w:eastAsia="宋体" w:cs="宋体"/>
          <w:i w:val="0"/>
          <w:caps w:val="0"/>
          <w:spacing w:val="0"/>
          <w:sz w:val="24"/>
          <w:szCs w:val="24"/>
          <w:shd w:val="clear" w:color="auto" w:fill="FFFFFF"/>
          <w:lang w:val="en-US" w:eastAsia="zh-CN"/>
        </w:rPr>
        <w:t>名成员组成，其中独立董事</w:t>
      </w:r>
      <w:r>
        <w:rPr>
          <w:rFonts w:hint="eastAsia" w:ascii="宋体" w:hAnsi="宋体" w:eastAsia="宋体" w:cs="宋体"/>
          <w:i w:val="0"/>
          <w:caps w:val="0"/>
          <w:spacing w:val="0"/>
          <w:sz w:val="24"/>
          <w:szCs w:val="24"/>
          <w:highlight w:val="none"/>
          <w:shd w:val="clear" w:color="auto" w:fill="FFFFFF"/>
          <w:lang w:val="en-US" w:eastAsia="zh-CN"/>
        </w:rPr>
        <w:t>5</w:t>
      </w:r>
      <w:r>
        <w:rPr>
          <w:rFonts w:hint="eastAsia" w:ascii="宋体" w:hAnsi="宋体" w:eastAsia="宋体" w:cs="宋体"/>
          <w:i w:val="0"/>
          <w:caps w:val="0"/>
          <w:spacing w:val="0"/>
          <w:sz w:val="24"/>
          <w:szCs w:val="24"/>
          <w:shd w:val="clear" w:color="auto" w:fill="FFFFFF"/>
          <w:lang w:val="en-US" w:eastAsia="zh-CN"/>
        </w:rPr>
        <w:t>名，在董事会成员中占比超过三分之一，独立董事的资格、人数和比例符合相关法律法规及公司章程的规定。</w:t>
      </w:r>
      <w:r>
        <w:rPr>
          <w:rFonts w:hint="eastAsia" w:ascii="宋体" w:hAnsi="宋体" w:eastAsia="宋体" w:cs="宋体"/>
          <w:i w:val="0"/>
          <w:caps w:val="0"/>
          <w:spacing w:val="0"/>
          <w:sz w:val="24"/>
          <w:szCs w:val="24"/>
          <w:highlight w:val="none"/>
          <w:shd w:val="clear" w:color="auto" w:fill="FFFFFF"/>
          <w:lang w:val="en-US" w:eastAsia="zh-CN"/>
        </w:rPr>
        <w:t>公司提名委员会、薪酬委员会、审计与消费者权益保护委员会、风险控制与关联交易管理委员会均由独立董事担任主任委员。</w:t>
      </w:r>
      <w:r>
        <w:rPr>
          <w:rFonts w:hint="eastAsia" w:ascii="宋体" w:hAnsi="宋体" w:eastAsia="宋体" w:cs="宋体"/>
          <w:i w:val="0"/>
          <w:caps w:val="0"/>
          <w:spacing w:val="0"/>
          <w:sz w:val="24"/>
          <w:szCs w:val="24"/>
          <w:shd w:val="clear" w:color="auto" w:fill="FFFFFF"/>
          <w:lang w:val="en-US" w:eastAsia="zh-CN"/>
        </w:rPr>
        <w:t>公司独立董事具备与其行使职权相适应的任职条件，具备行政法规及其他有关规定担任上市公司董事的资格，具备上市公司运作的基本知识，熟悉相关法律、行政法规、规章及规则。公司独立董事在公司及公司子公司不拥有任何业务或财务利益，也不担任公司的任何管理职务，独立性符合</w:t>
      </w:r>
      <w:r>
        <w:rPr>
          <w:rFonts w:hint="eastAsia" w:ascii="宋体" w:hAnsi="宋体" w:eastAsia="宋体" w:cs="宋体"/>
          <w:b w:val="0"/>
          <w:bCs w:val="0"/>
          <w:i w:val="0"/>
          <w:caps w:val="0"/>
          <w:spacing w:val="0"/>
          <w:sz w:val="24"/>
          <w:szCs w:val="24"/>
          <w:shd w:val="clear" w:color="auto" w:fill="FFFFFF"/>
          <w:lang w:val="en-US" w:eastAsia="zh-CN"/>
        </w:rPr>
        <w:t>有关监管要求。公司独立董事的主要工作经历和在其他单位任职或兼职情况如下：</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宁向东，</w:t>
      </w:r>
      <w:r>
        <w:rPr>
          <w:rFonts w:hint="eastAsia" w:ascii="宋体" w:hAnsi="宋体" w:eastAsia="宋体" w:cs="宋体"/>
          <w:sz w:val="24"/>
          <w:szCs w:val="24"/>
          <w:lang w:val="en-US" w:eastAsia="zh-Hans"/>
        </w:rPr>
        <w:t>1965年5月出生，中国国籍，研究生学历，博士学位。历任清华大学助教、讲师、副教授，清华大学中国经济研究中心常务副主任，哈佛商学院、伊利诺大学、新南威尔士大学、悉尼大学、香港中文大学访问学者</w:t>
      </w:r>
      <w:r>
        <w:rPr>
          <w:rFonts w:hint="eastAsia" w:ascii="宋体" w:hAnsi="宋体" w:eastAsia="宋体" w:cs="宋体"/>
          <w:sz w:val="24"/>
          <w:szCs w:val="24"/>
          <w:lang w:val="en-US" w:eastAsia="zh-CN"/>
        </w:rPr>
        <w:t>等职务</w:t>
      </w:r>
      <w:r>
        <w:rPr>
          <w:rFonts w:hint="eastAsia" w:ascii="宋体" w:hAnsi="宋体" w:eastAsia="宋体" w:cs="宋体"/>
          <w:sz w:val="24"/>
          <w:szCs w:val="24"/>
          <w:lang w:val="en-US" w:eastAsia="zh-Hans"/>
        </w:rPr>
        <w:t>。现任清华大学经济管理学院教授、博士生导师</w:t>
      </w:r>
      <w:r>
        <w:rPr>
          <w:rFonts w:hint="eastAsia" w:ascii="宋体" w:hAnsi="宋体" w:eastAsia="宋体" w:cs="宋体"/>
          <w:sz w:val="24"/>
          <w:szCs w:val="24"/>
          <w:lang w:val="en-US" w:eastAsia="zh-CN"/>
        </w:rPr>
        <w:t>，</w:t>
      </w:r>
      <w:r>
        <w:rPr>
          <w:rFonts w:hint="eastAsia" w:ascii="宋体" w:hAnsi="宋体" w:eastAsia="宋体" w:cs="宋体"/>
          <w:sz w:val="24"/>
          <w:szCs w:val="24"/>
          <w:lang w:val="en-US" w:eastAsia="zh-Hans"/>
        </w:rPr>
        <w:t>兼任深圳光峰科技股份有限公司独立董事</w:t>
      </w:r>
      <w:r>
        <w:rPr>
          <w:rFonts w:hint="eastAsia" w:ascii="宋体" w:hAnsi="宋体" w:eastAsia="宋体" w:cs="宋体"/>
          <w:sz w:val="24"/>
          <w:szCs w:val="24"/>
          <w:lang w:val="en-US" w:eastAsia="zh-CN"/>
        </w:rPr>
        <w:t>等职务</w:t>
      </w:r>
      <w:r>
        <w:rPr>
          <w:rFonts w:hint="eastAsia" w:ascii="宋体" w:hAnsi="宋体" w:eastAsia="宋体" w:cs="宋体"/>
          <w:sz w:val="24"/>
          <w:szCs w:val="24"/>
          <w:lang w:val="en-US" w:eastAsia="zh-Hans"/>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戴亦一，1967年6月出生，中国国籍，研究生学历，博士学位。历任厦门大学EMBA中心副主任、主任、管理学院副院长。现任厦门大学管理学院经济学与金融学教授(国家二级)、博士生导师，兼任厦门大学金圆研究院理事长、美国西北大学凯洛格商学院等校访问学者、厦门建发股份有限公司独立董事、福建七匹狼实业股份有限公司独立董事、厦门国贸集团股份有限公司独立董事等职务。</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谢德仁，1972年1月出生，中国国籍，研究生学历，博士学位。历任清华大学讲师、副教授。现任清华大学经济管理学院教授、博士生导师，兼任财政部第三届企业会计准则咨询委员会委员、恒泰证券股份有限公司独立董事、北京经纬恒润科技股份有限公司独立董事、青岛创新奇智科技集团股份有限公司独立董事、清华控股有限公司监事会主席等职务。</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lang w:val="en-US" w:eastAsia="zh-Hans"/>
        </w:rPr>
      </w:pPr>
      <w:r>
        <w:rPr>
          <w:rFonts w:hint="eastAsia" w:ascii="宋体" w:hAnsi="宋体" w:eastAsia="宋体" w:cs="宋体"/>
          <w:sz w:val="24"/>
          <w:szCs w:val="24"/>
          <w:lang w:val="en-US" w:eastAsia="zh-CN"/>
        </w:rPr>
        <w:t>聂秀峰，</w:t>
      </w:r>
      <w:r>
        <w:rPr>
          <w:rFonts w:hint="eastAsia" w:ascii="宋体" w:hAnsi="宋体" w:eastAsia="宋体" w:cs="宋体"/>
          <w:sz w:val="24"/>
          <w:szCs w:val="24"/>
          <w:lang w:val="en-US" w:eastAsia="zh-Hans"/>
        </w:rPr>
        <w:t>196</w:t>
      </w:r>
      <w:r>
        <w:rPr>
          <w:rFonts w:hint="eastAsia" w:ascii="宋体" w:hAnsi="宋体" w:eastAsia="宋体" w:cs="宋体"/>
          <w:sz w:val="24"/>
          <w:szCs w:val="24"/>
          <w:lang w:val="en-US" w:eastAsia="zh-CN"/>
        </w:rPr>
        <w:t>0</w:t>
      </w:r>
      <w:r>
        <w:rPr>
          <w:rFonts w:hint="eastAsia" w:ascii="宋体" w:hAnsi="宋体" w:eastAsia="宋体" w:cs="宋体"/>
          <w:sz w:val="24"/>
          <w:szCs w:val="24"/>
          <w:lang w:val="en-US" w:eastAsia="zh-Hans"/>
        </w:rPr>
        <w:t>年</w:t>
      </w:r>
      <w:r>
        <w:rPr>
          <w:rFonts w:hint="eastAsia" w:ascii="宋体" w:hAnsi="宋体" w:eastAsia="宋体" w:cs="宋体"/>
          <w:sz w:val="24"/>
          <w:szCs w:val="24"/>
          <w:lang w:val="en-US" w:eastAsia="zh-CN"/>
        </w:rPr>
        <w:t>11</w:t>
      </w:r>
      <w:r>
        <w:rPr>
          <w:rFonts w:hint="eastAsia" w:ascii="宋体" w:hAnsi="宋体" w:eastAsia="宋体" w:cs="宋体"/>
          <w:sz w:val="24"/>
          <w:szCs w:val="24"/>
          <w:lang w:val="en-US" w:eastAsia="zh-Hans"/>
        </w:rPr>
        <w:t>月出生，中国国籍，</w:t>
      </w:r>
      <w:r>
        <w:rPr>
          <w:rFonts w:hint="eastAsia" w:ascii="宋体" w:hAnsi="宋体" w:eastAsia="宋体" w:cs="宋体"/>
          <w:sz w:val="24"/>
          <w:szCs w:val="24"/>
          <w:lang w:val="en-US" w:eastAsia="zh-CN"/>
        </w:rPr>
        <w:t>本科</w:t>
      </w:r>
      <w:r>
        <w:rPr>
          <w:rFonts w:hint="eastAsia" w:ascii="宋体" w:hAnsi="宋体" w:eastAsia="宋体" w:cs="宋体"/>
          <w:sz w:val="24"/>
          <w:szCs w:val="24"/>
          <w:lang w:val="en-US" w:eastAsia="zh-Hans"/>
        </w:rPr>
        <w:t>学历，</w:t>
      </w:r>
      <w:r>
        <w:rPr>
          <w:rFonts w:hint="eastAsia" w:ascii="宋体" w:hAnsi="宋体" w:eastAsia="宋体" w:cs="宋体"/>
          <w:sz w:val="24"/>
          <w:szCs w:val="24"/>
          <w:lang w:val="en-US" w:eastAsia="zh-CN"/>
        </w:rPr>
        <w:t>高级会计师</w:t>
      </w:r>
      <w:r>
        <w:rPr>
          <w:rFonts w:hint="eastAsia" w:ascii="宋体" w:hAnsi="宋体" w:eastAsia="宋体" w:cs="宋体"/>
          <w:sz w:val="24"/>
          <w:szCs w:val="24"/>
          <w:lang w:val="en-US" w:eastAsia="zh-Hans"/>
        </w:rPr>
        <w:t>。历任首钢集团有限公司计财部会计处、资金处主任科员、首钢集团有限公司计财部财务管理处副处长、首钢集团有限公司计财部资金处副处长、处长、通化钢铁股份有限公司总会计师、首钢集团财务有限公司董事总经理、首钢金融党委副书记、纪委书记，现任北京首钢基金副总经理。</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陈欣，1975年12月出生，中国国籍，</w:t>
      </w:r>
      <w:r>
        <w:rPr>
          <w:rFonts w:hint="eastAsia" w:ascii="宋体" w:hAnsi="宋体" w:eastAsia="宋体" w:cs="宋体"/>
          <w:sz w:val="24"/>
          <w:szCs w:val="24"/>
        </w:rPr>
        <w:t>研究生学历，</w:t>
      </w:r>
      <w:r>
        <w:rPr>
          <w:rFonts w:hint="eastAsia" w:ascii="宋体" w:hAnsi="宋体" w:eastAsia="宋体" w:cs="宋体"/>
          <w:kern w:val="0"/>
          <w:sz w:val="24"/>
          <w:szCs w:val="24"/>
        </w:rPr>
        <w:t>博士</w:t>
      </w:r>
      <w:r>
        <w:rPr>
          <w:rFonts w:hint="eastAsia" w:ascii="宋体" w:hAnsi="宋体" w:eastAsia="宋体" w:cs="宋体"/>
          <w:kern w:val="0"/>
          <w:sz w:val="24"/>
          <w:szCs w:val="24"/>
          <w:lang w:val="en-US" w:eastAsia="zh-CN"/>
        </w:rPr>
        <w:t>学位</w:t>
      </w:r>
      <w:r>
        <w:rPr>
          <w:rFonts w:hint="eastAsia" w:ascii="宋体" w:hAnsi="宋体" w:eastAsia="宋体" w:cs="宋体"/>
          <w:sz w:val="24"/>
          <w:szCs w:val="24"/>
          <w:lang w:val="en-US" w:eastAsia="zh-CN"/>
        </w:rPr>
        <w:t>。历任江西国际经济技术合作公司劳务处职员、中国人民大学商学院助理教授、上海交通大学安泰经管学院副教授、美国麻省理工学院访问学者、丹麦奥胡斯大学访问教授、云南省发展改革委员会主任助理（挂职）。现任上海交通大学上海高级金融学院教授，兼任浙江中控技术股份有限公司独立董事、云南省投资控股集团有限公司董事、江西金融租赁股份有限公司独立董事等职务。</w:t>
      </w:r>
    </w:p>
    <w:p>
      <w:pPr>
        <w:keepNext w:val="0"/>
        <w:keepLines w:val="0"/>
        <w:pageBreakBefore w:val="0"/>
        <w:widowControl w:val="0"/>
        <w:numPr>
          <w:ilvl w:val="0"/>
          <w:numId w:val="25"/>
        </w:numPr>
        <w:kinsoku/>
        <w:wordWrap/>
        <w:overflowPunct/>
        <w:topLinePunct w:val="0"/>
        <w:autoSpaceDE/>
        <w:autoSpaceDN/>
        <w:bidi w:val="0"/>
        <w:adjustRightInd/>
        <w:snapToGrid w:val="0"/>
        <w:spacing w:line="360" w:lineRule="auto"/>
        <w:ind w:left="-2" w:leftChars="0" w:firstLine="422" w:firstLineChars="0"/>
        <w:textAlignment w:val="auto"/>
        <w:rPr>
          <w:rFonts w:hint="eastAsia" w:ascii="宋体" w:hAnsi="宋体" w:eastAsia="宋体" w:cs="宋体"/>
          <w:b/>
          <w:bCs/>
          <w:i w:val="0"/>
          <w:caps w:val="0"/>
          <w:spacing w:val="0"/>
          <w:sz w:val="24"/>
          <w:szCs w:val="24"/>
          <w:shd w:val="clear" w:color="auto" w:fill="FFFFFF"/>
          <w:lang w:val="en-US" w:eastAsia="zh-CN"/>
        </w:rPr>
      </w:pPr>
      <w:r>
        <w:rPr>
          <w:rFonts w:hint="eastAsia" w:ascii="宋体" w:hAnsi="宋体" w:eastAsia="宋体" w:cs="宋体"/>
          <w:b/>
          <w:bCs/>
          <w:i w:val="0"/>
          <w:caps w:val="0"/>
          <w:spacing w:val="0"/>
          <w:sz w:val="24"/>
          <w:szCs w:val="24"/>
          <w:shd w:val="clear" w:color="auto" w:fill="FFFFFF"/>
          <w:lang w:val="en-US" w:eastAsia="zh-CN"/>
        </w:rPr>
        <w:t>独立董事2021年度履职概况</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highlight w:val="none"/>
          <w:shd w:val="clear" w:color="auto" w:fill="FFFFFF"/>
          <w:lang w:val="en-US" w:eastAsia="zh-CN"/>
        </w:rPr>
      </w:pPr>
      <w:r>
        <w:rPr>
          <w:rFonts w:hint="eastAsia" w:ascii="宋体" w:hAnsi="宋体" w:eastAsia="宋体" w:cs="宋体"/>
          <w:b w:val="0"/>
          <w:bCs w:val="0"/>
          <w:i w:val="0"/>
          <w:caps w:val="0"/>
          <w:spacing w:val="0"/>
          <w:sz w:val="24"/>
          <w:szCs w:val="24"/>
          <w:highlight w:val="none"/>
          <w:shd w:val="clear" w:color="auto" w:fill="FFFFFF"/>
          <w:lang w:val="en-US" w:eastAsia="zh-CN"/>
        </w:rPr>
        <w:t>（一）出席会议情况</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highlight w:val="none"/>
          <w:shd w:val="clear" w:color="auto" w:fill="FFFFFF"/>
          <w:lang w:val="en-US" w:eastAsia="zh-CN"/>
        </w:rPr>
      </w:pPr>
      <w:r>
        <w:rPr>
          <w:rFonts w:hint="eastAsia" w:ascii="宋体" w:hAnsi="宋体" w:eastAsia="宋体" w:cs="宋体"/>
          <w:b w:val="0"/>
          <w:bCs w:val="0"/>
          <w:i w:val="0"/>
          <w:caps w:val="0"/>
          <w:spacing w:val="0"/>
          <w:sz w:val="24"/>
          <w:szCs w:val="24"/>
          <w:highlight w:val="none"/>
          <w:shd w:val="clear" w:color="auto" w:fill="FFFFFF"/>
          <w:lang w:val="en-US" w:eastAsia="zh-CN"/>
        </w:rPr>
        <w:t>报告期内，公司共召开3次股东大会，其中年度股东大会1次，临时股东大会2次，共审议通过17项议案；董事会12次，其中现场会议6次，通讯表决会议6次，共审议听取各类议案报告90项；董事会专门委员会会议26次，其中</w:t>
      </w:r>
      <w:r>
        <w:rPr>
          <w:rFonts w:hint="eastAsia" w:ascii="宋体" w:hAnsi="宋体" w:eastAsia="宋体" w:cs="宋体"/>
          <w:b w:val="0"/>
          <w:bCs w:val="0"/>
          <w:i w:val="0"/>
          <w:caps w:val="0"/>
          <w:spacing w:val="0"/>
          <w:sz w:val="24"/>
          <w:szCs w:val="24"/>
          <w:highlight w:val="none"/>
          <w:shd w:val="clear" w:color="auto" w:fill="FFFFFF"/>
          <w:lang w:val="zh-CN" w:eastAsia="zh-CN"/>
        </w:rPr>
        <w:t>战略委员会</w:t>
      </w:r>
      <w:r>
        <w:rPr>
          <w:rFonts w:hint="eastAsia" w:ascii="宋体" w:hAnsi="宋体" w:eastAsia="宋体" w:cs="宋体"/>
          <w:b w:val="0"/>
          <w:bCs w:val="0"/>
          <w:i w:val="0"/>
          <w:caps w:val="0"/>
          <w:spacing w:val="0"/>
          <w:sz w:val="24"/>
          <w:szCs w:val="24"/>
          <w:highlight w:val="none"/>
          <w:shd w:val="clear" w:color="auto" w:fill="FFFFFF"/>
          <w:lang w:val="en-US" w:eastAsia="zh-CN"/>
        </w:rPr>
        <w:t>2次，</w:t>
      </w:r>
      <w:r>
        <w:rPr>
          <w:rFonts w:hint="eastAsia" w:ascii="宋体" w:hAnsi="宋体" w:eastAsia="宋体" w:cs="宋体"/>
          <w:b w:val="0"/>
          <w:bCs w:val="0"/>
          <w:i w:val="0"/>
          <w:caps w:val="0"/>
          <w:spacing w:val="0"/>
          <w:sz w:val="24"/>
          <w:szCs w:val="24"/>
          <w:highlight w:val="none"/>
          <w:shd w:val="clear" w:color="auto" w:fill="FFFFFF"/>
          <w:lang w:val="zh-CN" w:eastAsia="zh-CN"/>
        </w:rPr>
        <w:t>提名委员会</w:t>
      </w:r>
      <w:r>
        <w:rPr>
          <w:rFonts w:hint="eastAsia" w:ascii="宋体" w:hAnsi="宋体" w:eastAsia="宋体" w:cs="宋体"/>
          <w:b w:val="0"/>
          <w:bCs w:val="0"/>
          <w:i w:val="0"/>
          <w:caps w:val="0"/>
          <w:spacing w:val="0"/>
          <w:sz w:val="24"/>
          <w:szCs w:val="24"/>
          <w:highlight w:val="none"/>
          <w:shd w:val="clear" w:color="auto" w:fill="FFFFFF"/>
          <w:lang w:val="en-US" w:eastAsia="zh-CN"/>
        </w:rPr>
        <w:t>2次，</w:t>
      </w:r>
      <w:r>
        <w:rPr>
          <w:rFonts w:hint="eastAsia" w:ascii="宋体" w:hAnsi="宋体" w:eastAsia="宋体" w:cs="宋体"/>
          <w:b w:val="0"/>
          <w:bCs w:val="0"/>
          <w:i w:val="0"/>
          <w:caps w:val="0"/>
          <w:spacing w:val="0"/>
          <w:sz w:val="24"/>
          <w:szCs w:val="24"/>
          <w:highlight w:val="none"/>
          <w:shd w:val="clear" w:color="auto" w:fill="FFFFFF"/>
          <w:lang w:val="zh-CN" w:eastAsia="zh-CN"/>
        </w:rPr>
        <w:t>薪酬委员会</w:t>
      </w:r>
      <w:r>
        <w:rPr>
          <w:rFonts w:hint="eastAsia" w:ascii="宋体" w:hAnsi="宋体" w:eastAsia="宋体" w:cs="宋体"/>
          <w:b w:val="0"/>
          <w:bCs w:val="0"/>
          <w:i w:val="0"/>
          <w:caps w:val="0"/>
          <w:spacing w:val="0"/>
          <w:sz w:val="24"/>
          <w:szCs w:val="24"/>
          <w:highlight w:val="none"/>
          <w:shd w:val="clear" w:color="auto" w:fill="FFFFFF"/>
          <w:lang w:val="en-US" w:eastAsia="zh-CN"/>
        </w:rPr>
        <w:t>3次，</w:t>
      </w:r>
      <w:r>
        <w:rPr>
          <w:rFonts w:hint="eastAsia" w:ascii="宋体" w:hAnsi="宋体" w:eastAsia="宋体" w:cs="宋体"/>
          <w:b w:val="0"/>
          <w:bCs w:val="0"/>
          <w:i w:val="0"/>
          <w:caps w:val="0"/>
          <w:spacing w:val="0"/>
          <w:sz w:val="24"/>
          <w:szCs w:val="24"/>
          <w:highlight w:val="none"/>
          <w:shd w:val="clear" w:color="auto" w:fill="FFFFFF"/>
          <w:lang w:val="zh-CN" w:eastAsia="zh-CN"/>
        </w:rPr>
        <w:t>审计与消费者权益保护委员</w:t>
      </w:r>
      <w:r>
        <w:rPr>
          <w:rFonts w:hint="eastAsia" w:ascii="宋体" w:hAnsi="宋体" w:eastAsia="宋体" w:cs="宋体"/>
          <w:b w:val="0"/>
          <w:bCs w:val="0"/>
          <w:i w:val="0"/>
          <w:caps w:val="0"/>
          <w:spacing w:val="0"/>
          <w:sz w:val="24"/>
          <w:szCs w:val="24"/>
          <w:highlight w:val="none"/>
          <w:shd w:val="clear" w:color="auto" w:fill="FFFFFF"/>
          <w:lang w:val="en-US" w:eastAsia="zh-CN"/>
        </w:rPr>
        <w:t>会10</w:t>
      </w:r>
      <w:r>
        <w:rPr>
          <w:rFonts w:hint="eastAsia" w:ascii="宋体" w:hAnsi="宋体" w:eastAsia="宋体" w:cs="宋体"/>
          <w:b w:val="0"/>
          <w:bCs w:val="0"/>
          <w:i w:val="0"/>
          <w:caps w:val="0"/>
          <w:spacing w:val="0"/>
          <w:sz w:val="24"/>
          <w:szCs w:val="24"/>
          <w:highlight w:val="none"/>
          <w:shd w:val="clear" w:color="auto" w:fill="FFFFFF"/>
          <w:lang w:val="zh-CN" w:eastAsia="zh-CN"/>
        </w:rPr>
        <w:t>次</w:t>
      </w:r>
      <w:r>
        <w:rPr>
          <w:rFonts w:hint="eastAsia" w:ascii="宋体" w:hAnsi="宋体" w:eastAsia="宋体" w:cs="宋体"/>
          <w:b w:val="0"/>
          <w:bCs w:val="0"/>
          <w:i w:val="0"/>
          <w:caps w:val="0"/>
          <w:spacing w:val="0"/>
          <w:sz w:val="24"/>
          <w:szCs w:val="24"/>
          <w:highlight w:val="none"/>
          <w:shd w:val="clear" w:color="auto" w:fill="FFFFFF"/>
          <w:lang w:val="en-US" w:eastAsia="zh-CN"/>
        </w:rPr>
        <w:t>，</w:t>
      </w:r>
      <w:r>
        <w:rPr>
          <w:rFonts w:hint="eastAsia" w:ascii="宋体" w:hAnsi="宋体" w:eastAsia="宋体" w:cs="宋体"/>
          <w:b w:val="0"/>
          <w:bCs w:val="0"/>
          <w:i w:val="0"/>
          <w:caps w:val="0"/>
          <w:spacing w:val="0"/>
          <w:sz w:val="24"/>
          <w:szCs w:val="24"/>
          <w:highlight w:val="none"/>
          <w:shd w:val="clear" w:color="auto" w:fill="FFFFFF"/>
          <w:lang w:val="zh-CN" w:eastAsia="zh-CN"/>
        </w:rPr>
        <w:t>风险控制与关联交易管理委员会</w:t>
      </w:r>
      <w:r>
        <w:rPr>
          <w:rFonts w:hint="eastAsia" w:ascii="宋体" w:hAnsi="宋体" w:eastAsia="宋体" w:cs="宋体"/>
          <w:b w:val="0"/>
          <w:bCs w:val="0"/>
          <w:i w:val="0"/>
          <w:caps w:val="0"/>
          <w:spacing w:val="0"/>
          <w:sz w:val="24"/>
          <w:szCs w:val="24"/>
          <w:highlight w:val="none"/>
          <w:shd w:val="clear" w:color="auto" w:fill="FFFFFF"/>
          <w:lang w:val="en-US" w:eastAsia="zh-CN"/>
        </w:rPr>
        <w:t>9次，审议听取各类议案报告47项。公司独立董事在报告期内出席会议（包括通讯表决会议）的情况如下：</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highlight w:val="none"/>
          <w:shd w:val="clear" w:color="auto" w:fill="FFFFFF"/>
          <w:lang w:val="zh-CN" w:eastAsia="zh-CN"/>
        </w:rPr>
      </w:pPr>
      <w:r>
        <w:rPr>
          <w:rFonts w:hint="eastAsia" w:ascii="宋体" w:hAnsi="宋体" w:eastAsia="宋体" w:cs="宋体"/>
          <w:b w:val="0"/>
          <w:bCs w:val="0"/>
          <w:i w:val="0"/>
          <w:caps w:val="0"/>
          <w:spacing w:val="0"/>
          <w:sz w:val="24"/>
          <w:szCs w:val="24"/>
          <w:highlight w:val="none"/>
          <w:shd w:val="clear" w:color="auto" w:fill="FFFFFF"/>
          <w:lang w:val="en-US" w:eastAsia="zh-CN"/>
        </w:rPr>
        <w:t>1.</w:t>
      </w:r>
      <w:r>
        <w:rPr>
          <w:rFonts w:hint="eastAsia" w:ascii="宋体" w:hAnsi="宋体" w:eastAsia="宋体" w:cs="宋体"/>
          <w:b w:val="0"/>
          <w:bCs w:val="0"/>
          <w:i w:val="0"/>
          <w:caps w:val="0"/>
          <w:spacing w:val="0"/>
          <w:sz w:val="24"/>
          <w:szCs w:val="24"/>
          <w:highlight w:val="none"/>
          <w:shd w:val="clear" w:color="auto" w:fill="FFFFFF"/>
          <w:lang w:val="zh-CN" w:eastAsia="zh-CN"/>
        </w:rPr>
        <w:t>出席董事会会议情况</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独立董事</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姓名</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应出席</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次数</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亲自出席</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 xml:space="preserve">次数 </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委托出席</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次数</w:t>
            </w:r>
          </w:p>
        </w:tc>
        <w:tc>
          <w:tcPr>
            <w:tcW w:w="1421"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缺席</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次数</w:t>
            </w:r>
          </w:p>
        </w:tc>
        <w:tc>
          <w:tcPr>
            <w:tcW w:w="1421"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是否连续两次未亲自出席会议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宁向东</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12</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12</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0</w:t>
            </w:r>
          </w:p>
        </w:tc>
        <w:tc>
          <w:tcPr>
            <w:tcW w:w="1421"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0</w:t>
            </w:r>
          </w:p>
        </w:tc>
        <w:tc>
          <w:tcPr>
            <w:tcW w:w="1421"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戴亦一</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12</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12</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0</w:t>
            </w:r>
          </w:p>
        </w:tc>
        <w:tc>
          <w:tcPr>
            <w:tcW w:w="1421"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0</w:t>
            </w:r>
          </w:p>
        </w:tc>
        <w:tc>
          <w:tcPr>
            <w:tcW w:w="1421"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谢德仁</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12</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12</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0</w:t>
            </w:r>
          </w:p>
        </w:tc>
        <w:tc>
          <w:tcPr>
            <w:tcW w:w="1421"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0</w:t>
            </w:r>
          </w:p>
        </w:tc>
        <w:tc>
          <w:tcPr>
            <w:tcW w:w="1421"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聂秀峰</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12</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12</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0</w:t>
            </w:r>
          </w:p>
        </w:tc>
        <w:tc>
          <w:tcPr>
            <w:tcW w:w="1421"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0</w:t>
            </w:r>
          </w:p>
        </w:tc>
        <w:tc>
          <w:tcPr>
            <w:tcW w:w="1421"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陈  欣</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12</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12</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0</w:t>
            </w:r>
          </w:p>
        </w:tc>
        <w:tc>
          <w:tcPr>
            <w:tcW w:w="1421"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0</w:t>
            </w:r>
          </w:p>
        </w:tc>
        <w:tc>
          <w:tcPr>
            <w:tcW w:w="1421"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否</w:t>
            </w:r>
          </w:p>
        </w:tc>
      </w:tr>
    </w:tbl>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highlight w:val="none"/>
          <w:shd w:val="clear" w:color="auto" w:fill="FFFFFF"/>
          <w:lang w:val="en-US" w:eastAsia="zh-CN"/>
        </w:rPr>
      </w:pPr>
      <w:r>
        <w:rPr>
          <w:rFonts w:hint="eastAsia" w:ascii="宋体" w:hAnsi="宋体" w:eastAsia="宋体" w:cs="宋体"/>
          <w:b w:val="0"/>
          <w:bCs w:val="0"/>
          <w:i w:val="0"/>
          <w:caps w:val="0"/>
          <w:spacing w:val="0"/>
          <w:sz w:val="24"/>
          <w:szCs w:val="24"/>
          <w:highlight w:val="none"/>
          <w:shd w:val="clear" w:color="auto" w:fill="FFFFFF"/>
          <w:lang w:val="en-US" w:eastAsia="zh-CN"/>
        </w:rPr>
        <w:t>2.出席董事会专门委员会会议情况</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419"/>
        <w:gridCol w:w="1420"/>
        <w:gridCol w:w="1420"/>
        <w:gridCol w:w="1420"/>
        <w:gridCol w:w="1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独立董事</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姓名</w:t>
            </w:r>
          </w:p>
        </w:tc>
        <w:tc>
          <w:tcPr>
            <w:tcW w:w="1419"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战略</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委员</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会</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提名</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委员</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会</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薪酬</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委员</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会</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zh-CN" w:eastAsia="zh-CN"/>
              </w:rPr>
              <w:t>审计与消费者权益保护委员会</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zh-CN" w:eastAsia="zh-CN"/>
              </w:rPr>
              <w:t>风险控制与关联交易管理委员会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宁向东</w:t>
            </w:r>
          </w:p>
        </w:tc>
        <w:tc>
          <w:tcPr>
            <w:tcW w:w="1419"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2/2</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2/2</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戴亦一</w:t>
            </w:r>
          </w:p>
        </w:tc>
        <w:tc>
          <w:tcPr>
            <w:tcW w:w="1419"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2/2</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3/3</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谢德仁</w:t>
            </w:r>
          </w:p>
        </w:tc>
        <w:tc>
          <w:tcPr>
            <w:tcW w:w="1419"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3/3</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10/10</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聂秀峰</w:t>
            </w:r>
          </w:p>
        </w:tc>
        <w:tc>
          <w:tcPr>
            <w:tcW w:w="1419"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2/2</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10/10</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陈  欣</w:t>
            </w:r>
          </w:p>
        </w:tc>
        <w:tc>
          <w:tcPr>
            <w:tcW w:w="1419"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3/3</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10/10</w:t>
            </w:r>
          </w:p>
        </w:tc>
        <w:tc>
          <w:tcPr>
            <w:tcW w:w="142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b w:val="0"/>
                <w:bCs w:val="0"/>
                <w:i w:val="0"/>
                <w:caps w:val="0"/>
                <w:spacing w:val="0"/>
                <w:sz w:val="24"/>
                <w:szCs w:val="24"/>
                <w:highlight w:val="none"/>
                <w:shd w:val="clear" w:color="auto" w:fill="FFFFFF"/>
                <w:vertAlign w:val="baseline"/>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w:t>
            </w:r>
          </w:p>
        </w:tc>
      </w:tr>
    </w:tbl>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highlight w:val="none"/>
          <w:shd w:val="clear" w:color="auto" w:fill="FFFFFF"/>
          <w:vertAlign w:val="baseline"/>
          <w:lang w:val="en-US" w:eastAsia="zh-CN"/>
        </w:rPr>
        <w:t>注：</w:t>
      </w:r>
      <w:r>
        <w:rPr>
          <w:rFonts w:hint="eastAsia" w:ascii="宋体" w:hAnsi="宋体" w:eastAsia="宋体" w:cs="宋体"/>
          <w:b w:val="0"/>
          <w:bCs w:val="0"/>
          <w:i w:val="0"/>
          <w:caps w:val="0"/>
          <w:spacing w:val="0"/>
          <w:sz w:val="24"/>
          <w:szCs w:val="24"/>
          <w:shd w:val="clear" w:color="auto" w:fill="FFFFFF"/>
          <w:lang w:val="en-US" w:eastAsia="zh-CN"/>
        </w:rPr>
        <w:t>（1）上述数字为亲自出席数/应出席会议次数；</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b w:val="0"/>
          <w:bCs w:val="0"/>
          <w:i w:val="0"/>
          <w:caps w:val="0"/>
          <w:spacing w:val="0"/>
          <w:sz w:val="24"/>
          <w:szCs w:val="24"/>
          <w:highlight w:val="none"/>
          <w:shd w:val="clear" w:color="auto" w:fill="FFFFFF"/>
          <w:lang w:val="en-US" w:eastAsia="zh-CN"/>
        </w:rPr>
      </w:pPr>
      <w:r>
        <w:rPr>
          <w:rFonts w:hint="eastAsia" w:ascii="宋体" w:hAnsi="宋体" w:eastAsia="宋体" w:cs="宋体"/>
          <w:b w:val="0"/>
          <w:bCs w:val="0"/>
          <w:i w:val="0"/>
          <w:caps w:val="0"/>
          <w:spacing w:val="0"/>
          <w:sz w:val="24"/>
          <w:szCs w:val="24"/>
          <w:highlight w:val="none"/>
          <w:shd w:val="clear" w:color="auto" w:fill="FFFFFF"/>
          <w:lang w:val="en-US" w:eastAsia="zh-CN"/>
        </w:rPr>
        <w:t>（2）会议“亲自出席次数”包括现场出席和通过视频方式出席的会议次数；</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b w:val="0"/>
          <w:bCs w:val="0"/>
          <w:i w:val="0"/>
          <w:caps w:val="0"/>
          <w:spacing w:val="0"/>
          <w:sz w:val="24"/>
          <w:szCs w:val="24"/>
          <w:highlight w:val="none"/>
          <w:shd w:val="clear" w:color="auto" w:fill="FFFFFF"/>
          <w:lang w:val="en-US" w:eastAsia="zh-CN"/>
        </w:rPr>
      </w:pPr>
      <w:r>
        <w:rPr>
          <w:rFonts w:hint="eastAsia" w:ascii="宋体" w:hAnsi="宋体" w:eastAsia="宋体" w:cs="宋体"/>
          <w:b w:val="0"/>
          <w:bCs w:val="0"/>
          <w:i w:val="0"/>
          <w:caps w:val="0"/>
          <w:spacing w:val="0"/>
          <w:sz w:val="24"/>
          <w:szCs w:val="24"/>
          <w:highlight w:val="none"/>
          <w:shd w:val="clear" w:color="auto" w:fill="FFFFFF"/>
          <w:lang w:val="en-US" w:eastAsia="zh-CN"/>
        </w:rPr>
        <w:t>（3）戴亦一、谢德仁、聂秀峰、陈欣于2021年1月7日经公司2021年第一次临时股东大会选举成为公司第八届董事会独立董事。以上人员获得任职资格核准前均出席会议，但无表决权。</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报告期内，公司独立董事严格按照相关法律法规及公司章程的规定，会前认真审阅各项议案，按时出席会议，确保自己的意见能够在董事会上得到体现。独立董事关心公司战略部署执行情况，深入研究重大问题，提出有针对性的意见和建议，对公司的科学决策起到了积极的作用。</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highlight w:val="none"/>
          <w:shd w:val="clear" w:color="auto" w:fill="FFFFFF"/>
          <w:lang w:val="en-US" w:eastAsia="zh-CN"/>
        </w:rPr>
      </w:pPr>
      <w:r>
        <w:rPr>
          <w:rFonts w:hint="eastAsia" w:ascii="宋体" w:hAnsi="宋体" w:eastAsia="宋体" w:cs="宋体"/>
          <w:b w:val="0"/>
          <w:bCs w:val="0"/>
          <w:i w:val="0"/>
          <w:caps w:val="0"/>
          <w:spacing w:val="0"/>
          <w:sz w:val="24"/>
          <w:szCs w:val="24"/>
          <w:highlight w:val="none"/>
          <w:shd w:val="clear" w:color="auto" w:fill="FFFFFF"/>
          <w:lang w:val="en-US" w:eastAsia="zh-CN"/>
        </w:rPr>
        <w:t>（二）参加培训情况</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公司董事会注重独立董事持续专业发展，关注并积极组织独立董事参加培训。公司就公司治理规范及信息披露规范等向独立董事进行了专题介绍及培训，公司高管层定期向独立董事发送银行业监管新规及资本市场情况报告。此外，公司独立董事还积极参加监管机构组织的相关培训，不断提高履职能力。</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（三）发表独立意见情况</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根据</w:t>
      </w:r>
      <w:r>
        <w:rPr>
          <w:rFonts w:hint="eastAsia" w:ascii="宋体" w:hAnsi="宋体" w:eastAsia="宋体" w:cs="宋体"/>
          <w:i w:val="0"/>
          <w:caps w:val="0"/>
          <w:spacing w:val="0"/>
          <w:sz w:val="24"/>
          <w:szCs w:val="24"/>
          <w:highlight w:val="none"/>
          <w:shd w:val="clear" w:color="auto" w:fill="FFFFFF"/>
        </w:rPr>
        <w:t>《中华人民共和国公司法》《上海证券交易所股票上市规则》《关于在上市公司建立独立董事制度的指导意见</w:t>
      </w:r>
      <w:r>
        <w:rPr>
          <w:rFonts w:hint="eastAsia" w:ascii="宋体" w:hAnsi="宋体" w:eastAsia="宋体" w:cs="宋体"/>
          <w:i w:val="0"/>
          <w:caps w:val="0"/>
          <w:spacing w:val="0"/>
          <w:sz w:val="24"/>
          <w:szCs w:val="24"/>
          <w:highlight w:val="none"/>
          <w:shd w:val="clear" w:color="auto" w:fill="FFFFFF"/>
          <w:lang w:eastAsia="zh-CN"/>
        </w:rPr>
        <w:t>》《上</w:t>
      </w:r>
      <w:r>
        <w:rPr>
          <w:rFonts w:hint="eastAsia" w:ascii="宋体" w:hAnsi="宋体" w:eastAsia="宋体" w:cs="宋体"/>
          <w:i w:val="0"/>
          <w:caps w:val="0"/>
          <w:spacing w:val="0"/>
          <w:sz w:val="24"/>
          <w:szCs w:val="24"/>
          <w:highlight w:val="none"/>
          <w:shd w:val="clear" w:color="auto" w:fill="FFFFFF"/>
        </w:rPr>
        <w:t>市公司治理准则》《上海证券交易所股票上市规则》《厦门银行股份有限公司独立董事工作制度》</w:t>
      </w:r>
      <w:r>
        <w:rPr>
          <w:rFonts w:hint="eastAsia" w:ascii="宋体" w:hAnsi="宋体" w:eastAsia="宋体" w:cs="宋体"/>
          <w:b w:val="0"/>
          <w:bCs w:val="0"/>
          <w:i w:val="0"/>
          <w:caps w:val="0"/>
          <w:spacing w:val="0"/>
          <w:sz w:val="24"/>
          <w:szCs w:val="24"/>
          <w:shd w:val="clear" w:color="auto" w:fill="FFFFFF"/>
          <w:lang w:val="en-US" w:eastAsia="zh-CN"/>
        </w:rPr>
        <w:t>等相关法律法规及公司章程的规定，独立董事认真审议了公司2021年董事会和相关专门委员会的议案，对相关事项发表了独立意见。2021年度，总计签署独立意见20项。</w:t>
      </w:r>
    </w:p>
    <w:p>
      <w:pPr>
        <w:keepNext w:val="0"/>
        <w:keepLines w:val="0"/>
        <w:pageBreakBefore w:val="0"/>
        <w:widowControl w:val="0"/>
        <w:numPr>
          <w:ilvl w:val="0"/>
          <w:numId w:val="25"/>
        </w:numPr>
        <w:kinsoku/>
        <w:wordWrap/>
        <w:overflowPunct/>
        <w:topLinePunct w:val="0"/>
        <w:autoSpaceDE/>
        <w:autoSpaceDN/>
        <w:bidi w:val="0"/>
        <w:adjustRightInd/>
        <w:snapToGrid w:val="0"/>
        <w:spacing w:line="360" w:lineRule="auto"/>
        <w:ind w:left="-2" w:leftChars="0" w:firstLine="422" w:firstLineChars="0"/>
        <w:textAlignment w:val="auto"/>
        <w:rPr>
          <w:rFonts w:hint="eastAsia" w:ascii="宋体" w:hAnsi="宋体" w:eastAsia="宋体" w:cs="宋体"/>
          <w:b/>
          <w:bCs/>
          <w:i w:val="0"/>
          <w:caps w:val="0"/>
          <w:spacing w:val="0"/>
          <w:sz w:val="24"/>
          <w:szCs w:val="24"/>
          <w:shd w:val="clear" w:color="auto" w:fill="FFFFFF"/>
          <w:lang w:val="en-US" w:eastAsia="zh-CN"/>
        </w:rPr>
      </w:pPr>
      <w:r>
        <w:rPr>
          <w:rFonts w:hint="eastAsia" w:ascii="宋体" w:hAnsi="宋体" w:eastAsia="宋体" w:cs="宋体"/>
          <w:b/>
          <w:bCs/>
          <w:i w:val="0"/>
          <w:caps w:val="0"/>
          <w:spacing w:val="0"/>
          <w:sz w:val="24"/>
          <w:szCs w:val="24"/>
          <w:shd w:val="clear" w:color="auto" w:fill="FFFFFF"/>
          <w:lang w:val="en-US" w:eastAsia="zh-CN"/>
        </w:rPr>
        <w:t>年度履职重点关注事项的情况</w:t>
      </w:r>
    </w:p>
    <w:p>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0" w:leftChars="0" w:firstLine="420" w:firstLineChars="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关联交易管理情况</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2021年，公司独立董事高度重视关联交易控制与管理工作，就《中华人民共和国公司法》《中华人民共和国证券法》《上海证券交易所股票上市规则》《关于在上市公司建立独立董事制度的指导意见》《上市公司治理准则》《商业银行与内部人和股东关联交易管理办法》</w:t>
      </w:r>
      <w:r>
        <w:rPr>
          <w:rStyle w:val="18"/>
          <w:rFonts w:hint="eastAsia" w:ascii="宋体" w:hAnsi="宋体" w:eastAsia="宋体" w:cs="宋体"/>
          <w:b w:val="0"/>
          <w:bCs w:val="0"/>
          <w:i w:val="0"/>
          <w:caps w:val="0"/>
          <w:spacing w:val="0"/>
          <w:sz w:val="24"/>
          <w:szCs w:val="24"/>
          <w:shd w:val="clear" w:color="auto" w:fill="FFFFFF"/>
          <w:lang w:val="en-US" w:eastAsia="zh-CN"/>
        </w:rPr>
        <w:footnoteReference w:id="8"/>
      </w:r>
      <w:r>
        <w:rPr>
          <w:rFonts w:hint="eastAsia" w:ascii="宋体" w:hAnsi="宋体" w:eastAsia="宋体" w:cs="宋体"/>
          <w:b w:val="0"/>
          <w:bCs w:val="0"/>
          <w:i w:val="0"/>
          <w:caps w:val="0"/>
          <w:spacing w:val="0"/>
          <w:sz w:val="24"/>
          <w:szCs w:val="24"/>
          <w:shd w:val="clear" w:color="auto" w:fill="FFFFFF"/>
          <w:lang w:val="en-US" w:eastAsia="zh-CN"/>
        </w:rPr>
        <w:t>等相关法律法规及公司章程等有关规定进行了仔细的阅读，定期听取关联交易报告，加强对关联交易的审核监督，同时对重大关联交易事项发表事前认可声明及独立意见，指导规范关联交易依法合规进行，履行相应的审批程序。重大关联交易议案涉及的事项遵循公平、公正、公开的原则，具有合法性、公允性，符合公司和全体股东的利益，未对其他股东合法利益造成损害。</w:t>
      </w:r>
    </w:p>
    <w:p>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0" w:leftChars="0" w:firstLine="420" w:firstLineChars="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对外担保情况</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报告期内，公司严格执行对外担保的相关规定，不存在除中国人民银行和中国银保监会批准的正常业务以外违规提供对外担保的情况。</w:t>
      </w:r>
    </w:p>
    <w:p>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0" w:leftChars="0" w:firstLine="420" w:firstLineChars="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募集资金的使用情况</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公司建立了完善的募集资金管理和使用制度，募集资金均严格按照规定的用途使用。</w:t>
      </w:r>
      <w:r>
        <w:rPr>
          <w:rFonts w:hint="eastAsia" w:ascii="宋体" w:hAnsi="宋体" w:eastAsia="宋体" w:cs="宋体"/>
          <w:sz w:val="24"/>
          <w:shd w:val="clear" w:color="auto" w:fill="FFFFFF"/>
          <w:lang w:val="en-US" w:eastAsia="zh-CN"/>
        </w:rPr>
        <w:t>公司2020年</w:t>
      </w:r>
      <w:r>
        <w:rPr>
          <w:rFonts w:hint="eastAsia" w:ascii="宋体" w:hAnsi="宋体" w:eastAsia="宋体" w:cs="宋体"/>
          <w:sz w:val="24"/>
          <w:shd w:val="clear" w:color="auto" w:fill="FFFFFF"/>
        </w:rPr>
        <w:t>首次公开发行股票的募集资金净额</w:t>
      </w:r>
      <w:r>
        <w:rPr>
          <w:rFonts w:hint="eastAsia" w:ascii="宋体" w:hAnsi="宋体" w:eastAsia="宋体" w:cs="宋体"/>
          <w:sz w:val="24"/>
          <w:shd w:val="clear" w:color="auto" w:fill="FFFFFF"/>
          <w:lang w:val="en-US" w:eastAsia="zh-CN"/>
        </w:rPr>
        <w:t>已</w:t>
      </w:r>
      <w:r>
        <w:rPr>
          <w:rFonts w:hint="eastAsia" w:ascii="宋体" w:hAnsi="宋体" w:eastAsia="宋体" w:cs="宋体"/>
          <w:sz w:val="24"/>
          <w:shd w:val="clear" w:color="auto" w:fill="FFFFFF"/>
        </w:rPr>
        <w:t>全部用于补充</w:t>
      </w:r>
      <w:r>
        <w:rPr>
          <w:rFonts w:hint="eastAsia" w:ascii="宋体" w:hAnsi="宋体" w:eastAsia="宋体" w:cs="宋体"/>
          <w:sz w:val="24"/>
          <w:shd w:val="clear" w:color="auto" w:fill="FFFFFF"/>
          <w:lang w:val="en-US" w:eastAsia="zh-CN"/>
        </w:rPr>
        <w:t>公司资本金</w:t>
      </w:r>
      <w:r>
        <w:rPr>
          <w:rFonts w:hint="eastAsia" w:ascii="宋体" w:hAnsi="宋体" w:eastAsia="宋体" w:cs="宋体"/>
          <w:sz w:val="24"/>
          <w:shd w:val="clear" w:color="auto" w:fill="FFFFFF"/>
        </w:rPr>
        <w:t>。</w:t>
      </w:r>
    </w:p>
    <w:p>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0" w:leftChars="0" w:firstLine="420" w:firstLineChars="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现金分红及其他投资者回报情况</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公司在现金分红的过程中严格遵循相关法律法规关于利润分配和现金分红的相关规定，符合公司章程的规定及股东大会决议的要求，分红标准和比例清晰明确，决策程序和机制完备。拟定利润分配的方案的过程中，充分听取各方面意见和诉求，及时答复广大投资者关心的问题，分配方案既有利于保障内源性资本的持续补充以支持银行业务的持续健康发展，又同时兼顾投资者的合理投资回报要求，不存在损害全体股东特别是中小股东利益的情形。独立董事在利润分配方案的决策过程中履职尽责并发挥了应有的作用。</w:t>
      </w:r>
    </w:p>
    <w:p>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0" w:leftChars="0" w:firstLine="420" w:firstLineChars="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聘任或更换会计事务所情况</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highlight w:val="none"/>
          <w:shd w:val="clear" w:color="auto" w:fill="FFFFFF"/>
          <w:lang w:val="en-US" w:eastAsia="zh-CN"/>
        </w:rPr>
        <w:t>报告期内，独立董事根据年报工作的相关要求，与公司外部审计师保持充分沟通，切实履行相关责任和义务。独立董事认为公司所聘任的会计师事务所具备应有的专业胜任能力、投资者保护能力、独立性及良好的诚信状况，在审计过程中保持独立、客观、公正的执业准则，认真履行审计职责较好地完成了各项工作，同意续聘安永华明为公司2021年度财务报告及内部控制审计机构。</w:t>
      </w:r>
    </w:p>
    <w:p>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0" w:leftChars="0" w:firstLine="420" w:firstLineChars="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董事长及高级管理人员提名选举情况</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highlight w:val="none"/>
          <w:shd w:val="clear" w:color="auto" w:fill="FFFFFF"/>
          <w:lang w:val="en-US" w:eastAsia="zh-CN"/>
        </w:rPr>
        <w:t>2021年，公司董事会及董事会下设提名委员会认真审阅并通过了《厦门银行股份有限公司关于选举第八届董事会董事长的议案》《厦门银行股份有限公司关于聘任行长的议案》《厦门银行股份有限公司关于聘任副行长、行长助理、首席风险官、首席信息官的议案》《厦门银行股份有限公司关于聘任董事会秘书的议案》，公司独立董事对董事长及高级管理人员的选聘均发表了同意的独立意见。</w:t>
      </w:r>
    </w:p>
    <w:p>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0" w:leftChars="0" w:firstLine="420" w:firstLineChars="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业绩公告情况</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highlight w:val="none"/>
          <w:shd w:val="clear" w:color="auto" w:fill="FFFFFF"/>
          <w:lang w:val="en-US" w:eastAsia="zh-CN"/>
        </w:rPr>
        <w:t>报告期内</w:t>
      </w:r>
      <w:r>
        <w:rPr>
          <w:rFonts w:hint="eastAsia" w:ascii="宋体" w:hAnsi="宋体" w:eastAsia="宋体" w:cs="宋体"/>
          <w:b w:val="0"/>
          <w:bCs w:val="0"/>
          <w:i w:val="0"/>
          <w:caps w:val="0"/>
          <w:spacing w:val="0"/>
          <w:sz w:val="24"/>
          <w:szCs w:val="24"/>
          <w:shd w:val="clear" w:color="auto" w:fill="FFFFFF"/>
          <w:lang w:val="en-US" w:eastAsia="zh-CN"/>
        </w:rPr>
        <w:t>，公司独立董事认真审议有关业绩报告，确保报告的真实性、准确性和完整性，业绩报告不存在虚假记载、误导性陈述或重大遗漏。</w:t>
      </w:r>
    </w:p>
    <w:p>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0" w:leftChars="0" w:firstLine="420" w:firstLineChars="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公司及股东承诺履行情况</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highlight w:val="none"/>
          <w:shd w:val="clear" w:color="auto" w:fill="FFFFFF"/>
          <w:lang w:val="en-US" w:eastAsia="zh-CN"/>
        </w:rPr>
        <w:t>报告期内</w:t>
      </w:r>
      <w:r>
        <w:rPr>
          <w:rFonts w:hint="eastAsia" w:ascii="宋体" w:hAnsi="宋体" w:eastAsia="宋体" w:cs="宋体"/>
          <w:b w:val="0"/>
          <w:bCs w:val="0"/>
          <w:i w:val="0"/>
          <w:caps w:val="0"/>
          <w:spacing w:val="0"/>
          <w:sz w:val="24"/>
          <w:szCs w:val="24"/>
          <w:shd w:val="clear" w:color="auto" w:fill="FFFFFF"/>
          <w:lang w:val="en-US" w:eastAsia="zh-CN"/>
        </w:rPr>
        <w:t>，公司独立董事高度关注公司及公司股东承诺履行情况，所有承诺履行事项均按约定有效履行。</w:t>
      </w:r>
    </w:p>
    <w:p>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0" w:leftChars="0" w:firstLine="420" w:firstLineChars="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信息披露执行情况</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报告期内，公司所有信息披露的内容不存在虚假记载、误导性陈述或重大遗漏，严格按照相关法律法规及公司章程、各项信息披露管理制度等相关要求执行披露。独立董事积极履行年报编制和披露方面的职责，与外部审计师就年度审计工作进行了充分沟通和讨论，确保信息披露内容的准确、真实与完整。</w:t>
      </w:r>
    </w:p>
    <w:p>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0" w:leftChars="0" w:firstLine="420" w:firstLineChars="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内部控制执行情况</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报告期内，独立董事高度重视内部控制评价工作，对公司内部控制规范建设和实施起到关键作用。2021年的内部控制情况的评估过程中，未发现公司内部控制体系存在重大缺陷。</w:t>
      </w:r>
    </w:p>
    <w:p>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0" w:leftChars="0" w:firstLine="420" w:firstLineChars="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董事会及其专门委员会的运作情况</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公司董事会下设</w:t>
      </w:r>
      <w:r>
        <w:rPr>
          <w:rFonts w:hint="eastAsia" w:ascii="宋体" w:hAnsi="宋体" w:eastAsia="宋体" w:cs="宋体"/>
          <w:b w:val="0"/>
          <w:bCs w:val="0"/>
          <w:i w:val="0"/>
          <w:caps w:val="0"/>
          <w:spacing w:val="0"/>
          <w:sz w:val="24"/>
          <w:szCs w:val="24"/>
          <w:highlight w:val="none"/>
          <w:shd w:val="clear" w:color="auto" w:fill="FFFFFF"/>
          <w:lang w:val="zh-CN" w:eastAsia="zh-CN"/>
        </w:rPr>
        <w:t>战略委员会</w:t>
      </w:r>
      <w:r>
        <w:rPr>
          <w:rFonts w:hint="eastAsia" w:ascii="宋体" w:hAnsi="宋体" w:eastAsia="宋体" w:cs="宋体"/>
          <w:b w:val="0"/>
          <w:bCs w:val="0"/>
          <w:i w:val="0"/>
          <w:caps w:val="0"/>
          <w:spacing w:val="0"/>
          <w:sz w:val="24"/>
          <w:szCs w:val="24"/>
          <w:shd w:val="clear" w:color="auto" w:fill="FFFFFF"/>
          <w:lang w:val="en-US" w:eastAsia="zh-CN"/>
        </w:rPr>
        <w:t>、提名委员会、薪酬委员会、</w:t>
      </w:r>
      <w:r>
        <w:rPr>
          <w:rFonts w:hint="eastAsia" w:ascii="宋体" w:hAnsi="宋体" w:eastAsia="宋体" w:cs="宋体"/>
          <w:b w:val="0"/>
          <w:bCs w:val="0"/>
          <w:i w:val="0"/>
          <w:caps w:val="0"/>
          <w:spacing w:val="0"/>
          <w:sz w:val="24"/>
          <w:szCs w:val="24"/>
          <w:highlight w:val="none"/>
          <w:shd w:val="clear" w:color="auto" w:fill="FFFFFF"/>
          <w:lang w:val="zh-CN" w:eastAsia="zh-CN"/>
        </w:rPr>
        <w:t>审计与消费者权益保护委员</w:t>
      </w:r>
      <w:r>
        <w:rPr>
          <w:rFonts w:hint="eastAsia" w:ascii="宋体" w:hAnsi="宋体" w:eastAsia="宋体" w:cs="宋体"/>
          <w:b w:val="0"/>
          <w:bCs w:val="0"/>
          <w:i w:val="0"/>
          <w:caps w:val="0"/>
          <w:spacing w:val="0"/>
          <w:sz w:val="24"/>
          <w:szCs w:val="24"/>
          <w:highlight w:val="none"/>
          <w:shd w:val="clear" w:color="auto" w:fill="FFFFFF"/>
          <w:lang w:val="en-US" w:eastAsia="zh-CN"/>
        </w:rPr>
        <w:t>会</w:t>
      </w:r>
      <w:r>
        <w:rPr>
          <w:rFonts w:hint="eastAsia" w:ascii="宋体" w:hAnsi="宋体" w:eastAsia="宋体" w:cs="宋体"/>
          <w:b w:val="0"/>
          <w:bCs w:val="0"/>
          <w:i w:val="0"/>
          <w:caps w:val="0"/>
          <w:spacing w:val="0"/>
          <w:sz w:val="24"/>
          <w:szCs w:val="24"/>
          <w:shd w:val="clear" w:color="auto" w:fill="FFFFFF"/>
          <w:lang w:val="en-US" w:eastAsia="zh-CN"/>
        </w:rPr>
        <w:t>、</w:t>
      </w:r>
      <w:r>
        <w:rPr>
          <w:rFonts w:hint="eastAsia" w:ascii="宋体" w:hAnsi="宋体" w:eastAsia="宋体" w:cs="宋体"/>
          <w:b w:val="0"/>
          <w:bCs w:val="0"/>
          <w:i w:val="0"/>
          <w:caps w:val="0"/>
          <w:spacing w:val="0"/>
          <w:sz w:val="24"/>
          <w:szCs w:val="24"/>
          <w:highlight w:val="none"/>
          <w:shd w:val="clear" w:color="auto" w:fill="FFFFFF"/>
          <w:lang w:val="zh-CN" w:eastAsia="zh-CN"/>
        </w:rPr>
        <w:t>风险控制与关联交易管理委员会</w:t>
      </w:r>
      <w:r>
        <w:rPr>
          <w:rFonts w:hint="eastAsia" w:ascii="宋体" w:hAnsi="宋体" w:eastAsia="宋体" w:cs="宋体"/>
          <w:b w:val="0"/>
          <w:bCs w:val="0"/>
          <w:i w:val="0"/>
          <w:caps w:val="0"/>
          <w:spacing w:val="0"/>
          <w:sz w:val="24"/>
          <w:szCs w:val="24"/>
          <w:highlight w:val="none"/>
          <w:shd w:val="clear" w:color="auto" w:fill="FFFFFF"/>
          <w:lang w:val="en-US" w:eastAsia="zh-CN"/>
        </w:rPr>
        <w:t>共5个专业委员会</w:t>
      </w:r>
      <w:r>
        <w:rPr>
          <w:rFonts w:hint="eastAsia" w:ascii="宋体" w:hAnsi="宋体" w:eastAsia="宋体" w:cs="宋体"/>
          <w:b w:val="0"/>
          <w:bCs w:val="0"/>
          <w:i w:val="0"/>
          <w:caps w:val="0"/>
          <w:spacing w:val="0"/>
          <w:sz w:val="24"/>
          <w:szCs w:val="24"/>
          <w:shd w:val="clear" w:color="auto" w:fill="FFFFFF"/>
          <w:lang w:val="en-US" w:eastAsia="zh-CN"/>
        </w:rPr>
        <w:t>。独立董事认真履职，积极发表意见，密切关注公司经营发展情况，利用自身专业知识和丰富经验，</w:t>
      </w:r>
      <w:r>
        <w:rPr>
          <w:rFonts w:hint="eastAsia" w:ascii="宋体" w:hAnsi="宋体" w:eastAsia="宋体" w:cs="宋体"/>
          <w:sz w:val="24"/>
          <w:shd w:val="clear" w:color="auto" w:fill="FFFFFF"/>
        </w:rPr>
        <w:t>认真研究审议职责范围内的相关事项，促进了公司董事会及其专门委员会决策的科学性和有效性</w:t>
      </w:r>
      <w:r>
        <w:rPr>
          <w:rFonts w:hint="eastAsia" w:ascii="宋体" w:hAnsi="宋体" w:eastAsia="宋体" w:cs="宋体"/>
          <w:b w:val="0"/>
          <w:bCs w:val="0"/>
          <w:i w:val="0"/>
          <w:caps w:val="0"/>
          <w:spacing w:val="0"/>
          <w:sz w:val="24"/>
          <w:szCs w:val="24"/>
          <w:shd w:val="clear" w:color="auto" w:fill="FFFFFF"/>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en-US" w:eastAsia="zh-CN"/>
        </w:rPr>
      </w:pPr>
      <w:r>
        <w:rPr>
          <w:rFonts w:hint="eastAsia" w:ascii="宋体" w:hAnsi="宋体" w:eastAsia="宋体" w:cs="宋体"/>
          <w:b w:val="0"/>
          <w:bCs w:val="0"/>
          <w:i w:val="0"/>
          <w:caps w:val="0"/>
          <w:spacing w:val="0"/>
          <w:sz w:val="24"/>
          <w:szCs w:val="24"/>
          <w:shd w:val="clear" w:color="auto" w:fill="FFFFFF"/>
          <w:lang w:val="en-US" w:eastAsia="zh-CN"/>
        </w:rPr>
        <w:t>报告期内，公司董事会共召开12次会议，内容涉及董事长选举、高级管理人员聘任、会计师事务所选聘、经营情况、风险控制、内控报告等多个方面。</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zh-CN" w:eastAsia="zh-CN"/>
        </w:rPr>
      </w:pPr>
      <w:r>
        <w:rPr>
          <w:rFonts w:hint="eastAsia" w:ascii="宋体" w:hAnsi="宋体" w:eastAsia="宋体" w:cs="宋体"/>
          <w:b w:val="0"/>
          <w:bCs w:val="0"/>
          <w:i w:val="0"/>
          <w:caps w:val="0"/>
          <w:spacing w:val="0"/>
          <w:sz w:val="24"/>
          <w:szCs w:val="24"/>
          <w:shd w:val="clear" w:color="auto" w:fill="FFFFFF"/>
          <w:lang w:val="zh-CN" w:eastAsia="zh-CN"/>
        </w:rPr>
        <w:t>董事会战略委员会召开会议</w:t>
      </w:r>
      <w:r>
        <w:rPr>
          <w:rFonts w:hint="eastAsia" w:ascii="宋体" w:hAnsi="宋体" w:eastAsia="宋体" w:cs="宋体"/>
          <w:b w:val="0"/>
          <w:bCs w:val="0"/>
          <w:i w:val="0"/>
          <w:caps w:val="0"/>
          <w:spacing w:val="0"/>
          <w:sz w:val="24"/>
          <w:szCs w:val="24"/>
          <w:shd w:val="clear" w:color="auto" w:fill="FFFFFF"/>
          <w:lang w:val="en-US" w:eastAsia="zh-CN"/>
        </w:rPr>
        <w:t>2</w:t>
      </w:r>
      <w:r>
        <w:rPr>
          <w:rFonts w:hint="eastAsia" w:ascii="宋体" w:hAnsi="宋体" w:eastAsia="宋体" w:cs="宋体"/>
          <w:b w:val="0"/>
          <w:bCs w:val="0"/>
          <w:i w:val="0"/>
          <w:caps w:val="0"/>
          <w:spacing w:val="0"/>
          <w:sz w:val="24"/>
          <w:szCs w:val="24"/>
          <w:shd w:val="clear" w:color="auto" w:fill="FFFFFF"/>
          <w:lang w:val="zh-CN" w:eastAsia="zh-CN"/>
        </w:rPr>
        <w:t>次，审议</w:t>
      </w:r>
      <w:r>
        <w:rPr>
          <w:rFonts w:hint="eastAsia" w:ascii="宋体" w:hAnsi="宋体" w:eastAsia="宋体" w:cs="宋体"/>
          <w:b w:val="0"/>
          <w:bCs w:val="0"/>
          <w:i w:val="0"/>
          <w:caps w:val="0"/>
          <w:spacing w:val="0"/>
          <w:sz w:val="24"/>
          <w:szCs w:val="24"/>
          <w:shd w:val="clear" w:color="auto" w:fill="FFFFFF"/>
          <w:lang w:val="en-US" w:eastAsia="zh-CN"/>
        </w:rPr>
        <w:t>2</w:t>
      </w:r>
      <w:r>
        <w:rPr>
          <w:rFonts w:hint="eastAsia" w:ascii="宋体" w:hAnsi="宋体" w:eastAsia="宋体" w:cs="宋体"/>
          <w:b w:val="0"/>
          <w:bCs w:val="0"/>
          <w:i w:val="0"/>
          <w:caps w:val="0"/>
          <w:spacing w:val="0"/>
          <w:sz w:val="24"/>
          <w:szCs w:val="24"/>
          <w:shd w:val="clear" w:color="auto" w:fill="FFFFFF"/>
          <w:lang w:val="zh-CN" w:eastAsia="zh-CN"/>
        </w:rPr>
        <w:t>项议案，内容</w:t>
      </w:r>
      <w:r>
        <w:rPr>
          <w:rFonts w:hint="eastAsia" w:ascii="宋体" w:hAnsi="宋体" w:eastAsia="宋体" w:cs="宋体"/>
          <w:b w:val="0"/>
          <w:bCs w:val="0"/>
          <w:i w:val="0"/>
          <w:caps w:val="0"/>
          <w:spacing w:val="0"/>
          <w:sz w:val="24"/>
          <w:szCs w:val="24"/>
          <w:shd w:val="clear" w:color="auto" w:fill="FFFFFF"/>
          <w:lang w:val="en-US" w:eastAsia="zh-CN"/>
        </w:rPr>
        <w:t>为</w:t>
      </w:r>
      <w:r>
        <w:rPr>
          <w:rFonts w:hint="eastAsia" w:ascii="宋体" w:hAnsi="宋体" w:eastAsia="宋体" w:cs="宋体"/>
          <w:b w:val="0"/>
          <w:bCs w:val="0"/>
          <w:i w:val="0"/>
          <w:caps w:val="0"/>
          <w:spacing w:val="0"/>
          <w:sz w:val="24"/>
          <w:szCs w:val="24"/>
          <w:shd w:val="clear" w:color="auto" w:fill="FFFFFF"/>
          <w:lang w:val="zh-CN" w:eastAsia="zh-CN"/>
        </w:rPr>
        <w:t>参与控股子公司增资、委员会议事规则的修订；</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zh-CN" w:eastAsia="zh-CN"/>
        </w:rPr>
      </w:pPr>
      <w:r>
        <w:rPr>
          <w:rFonts w:hint="eastAsia" w:ascii="宋体" w:hAnsi="宋体" w:eastAsia="宋体" w:cs="宋体"/>
          <w:b w:val="0"/>
          <w:bCs w:val="0"/>
          <w:i w:val="0"/>
          <w:caps w:val="0"/>
          <w:spacing w:val="0"/>
          <w:sz w:val="24"/>
          <w:szCs w:val="24"/>
          <w:shd w:val="clear" w:color="auto" w:fill="FFFFFF"/>
          <w:lang w:val="zh-CN" w:eastAsia="zh-CN"/>
        </w:rPr>
        <w:t>董事会提名委员会召开会议</w:t>
      </w:r>
      <w:r>
        <w:rPr>
          <w:rFonts w:hint="eastAsia" w:ascii="宋体" w:hAnsi="宋体" w:eastAsia="宋体" w:cs="宋体"/>
          <w:b w:val="0"/>
          <w:bCs w:val="0"/>
          <w:i w:val="0"/>
          <w:caps w:val="0"/>
          <w:spacing w:val="0"/>
          <w:sz w:val="24"/>
          <w:szCs w:val="24"/>
          <w:shd w:val="clear" w:color="auto" w:fill="FFFFFF"/>
          <w:lang w:val="en-US" w:eastAsia="zh-CN"/>
        </w:rPr>
        <w:t>2</w:t>
      </w:r>
      <w:r>
        <w:rPr>
          <w:rFonts w:hint="eastAsia" w:ascii="宋体" w:hAnsi="宋体" w:eastAsia="宋体" w:cs="宋体"/>
          <w:b w:val="0"/>
          <w:bCs w:val="0"/>
          <w:i w:val="0"/>
          <w:caps w:val="0"/>
          <w:spacing w:val="0"/>
          <w:sz w:val="24"/>
          <w:szCs w:val="24"/>
          <w:shd w:val="clear" w:color="auto" w:fill="FFFFFF"/>
          <w:lang w:val="zh-CN" w:eastAsia="zh-CN"/>
        </w:rPr>
        <w:t>次，审议</w:t>
      </w:r>
      <w:r>
        <w:rPr>
          <w:rFonts w:hint="eastAsia" w:ascii="宋体" w:hAnsi="宋体" w:eastAsia="宋体" w:cs="宋体"/>
          <w:b w:val="0"/>
          <w:bCs w:val="0"/>
          <w:i w:val="0"/>
          <w:caps w:val="0"/>
          <w:spacing w:val="0"/>
          <w:sz w:val="24"/>
          <w:szCs w:val="24"/>
          <w:shd w:val="clear" w:color="auto" w:fill="FFFFFF"/>
          <w:lang w:val="en-US" w:eastAsia="zh-CN"/>
        </w:rPr>
        <w:t>4</w:t>
      </w:r>
      <w:r>
        <w:rPr>
          <w:rFonts w:hint="eastAsia" w:ascii="宋体" w:hAnsi="宋体" w:eastAsia="宋体" w:cs="宋体"/>
          <w:b w:val="0"/>
          <w:bCs w:val="0"/>
          <w:i w:val="0"/>
          <w:caps w:val="0"/>
          <w:spacing w:val="0"/>
          <w:sz w:val="24"/>
          <w:szCs w:val="24"/>
          <w:shd w:val="clear" w:color="auto" w:fill="FFFFFF"/>
          <w:lang w:val="zh-CN" w:eastAsia="zh-CN"/>
        </w:rPr>
        <w:t>项议案，内容为高级管理人员聘任、委员会议事规则的修订；</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zh-CN" w:eastAsia="zh-CN"/>
        </w:rPr>
      </w:pPr>
      <w:r>
        <w:rPr>
          <w:rFonts w:hint="eastAsia" w:ascii="宋体" w:hAnsi="宋体" w:eastAsia="宋体" w:cs="宋体"/>
          <w:b w:val="0"/>
          <w:bCs w:val="0"/>
          <w:i w:val="0"/>
          <w:caps w:val="0"/>
          <w:spacing w:val="0"/>
          <w:sz w:val="24"/>
          <w:szCs w:val="24"/>
          <w:shd w:val="clear" w:color="auto" w:fill="FFFFFF"/>
          <w:lang w:val="zh-CN" w:eastAsia="zh-CN"/>
        </w:rPr>
        <w:t>董事会薪酬委员会召开会议</w:t>
      </w:r>
      <w:r>
        <w:rPr>
          <w:rFonts w:hint="eastAsia" w:ascii="宋体" w:hAnsi="宋体" w:eastAsia="宋体" w:cs="宋体"/>
          <w:b w:val="0"/>
          <w:bCs w:val="0"/>
          <w:i w:val="0"/>
          <w:caps w:val="0"/>
          <w:spacing w:val="0"/>
          <w:sz w:val="24"/>
          <w:szCs w:val="24"/>
          <w:shd w:val="clear" w:color="auto" w:fill="FFFFFF"/>
          <w:lang w:val="en-US" w:eastAsia="zh-CN"/>
        </w:rPr>
        <w:t>3</w:t>
      </w:r>
      <w:r>
        <w:rPr>
          <w:rFonts w:hint="eastAsia" w:ascii="宋体" w:hAnsi="宋体" w:eastAsia="宋体" w:cs="宋体"/>
          <w:b w:val="0"/>
          <w:bCs w:val="0"/>
          <w:i w:val="0"/>
          <w:caps w:val="0"/>
          <w:spacing w:val="0"/>
          <w:sz w:val="24"/>
          <w:szCs w:val="24"/>
          <w:shd w:val="clear" w:color="auto" w:fill="FFFFFF"/>
          <w:lang w:val="zh-CN" w:eastAsia="zh-CN"/>
        </w:rPr>
        <w:t>次，审议</w:t>
      </w:r>
      <w:r>
        <w:rPr>
          <w:rFonts w:hint="eastAsia" w:ascii="宋体" w:hAnsi="宋体" w:eastAsia="宋体" w:cs="宋体"/>
          <w:b w:val="0"/>
          <w:bCs w:val="0"/>
          <w:i w:val="0"/>
          <w:caps w:val="0"/>
          <w:spacing w:val="0"/>
          <w:sz w:val="24"/>
          <w:szCs w:val="24"/>
          <w:shd w:val="clear" w:color="auto" w:fill="FFFFFF"/>
          <w:lang w:val="en-US" w:eastAsia="zh-CN"/>
        </w:rPr>
        <w:t>3</w:t>
      </w:r>
      <w:r>
        <w:rPr>
          <w:rFonts w:hint="eastAsia" w:ascii="宋体" w:hAnsi="宋体" w:eastAsia="宋体" w:cs="宋体"/>
          <w:b w:val="0"/>
          <w:bCs w:val="0"/>
          <w:i w:val="0"/>
          <w:caps w:val="0"/>
          <w:spacing w:val="0"/>
          <w:sz w:val="24"/>
          <w:szCs w:val="24"/>
          <w:shd w:val="clear" w:color="auto" w:fill="FFFFFF"/>
          <w:lang w:val="zh-CN" w:eastAsia="zh-CN"/>
        </w:rPr>
        <w:t>项议案，内容</w:t>
      </w:r>
      <w:r>
        <w:rPr>
          <w:rFonts w:hint="eastAsia" w:ascii="宋体" w:hAnsi="宋体" w:eastAsia="宋体" w:cs="宋体"/>
          <w:b w:val="0"/>
          <w:bCs w:val="0"/>
          <w:i w:val="0"/>
          <w:caps w:val="0"/>
          <w:spacing w:val="0"/>
          <w:sz w:val="24"/>
          <w:szCs w:val="24"/>
          <w:shd w:val="clear" w:color="auto" w:fill="FFFFFF"/>
          <w:lang w:val="en-US" w:eastAsia="zh-CN"/>
        </w:rPr>
        <w:t>为</w:t>
      </w:r>
      <w:r>
        <w:rPr>
          <w:rFonts w:hint="eastAsia" w:ascii="宋体" w:hAnsi="宋体" w:eastAsia="宋体" w:cs="宋体"/>
          <w:b w:val="0"/>
          <w:bCs w:val="0"/>
          <w:i w:val="0"/>
          <w:caps w:val="0"/>
          <w:spacing w:val="0"/>
          <w:sz w:val="24"/>
          <w:szCs w:val="24"/>
          <w:shd w:val="clear" w:color="auto" w:fill="FFFFFF"/>
          <w:lang w:val="zh-CN" w:eastAsia="zh-CN"/>
        </w:rPr>
        <w:t>行领导薪酬分配方案、年度绩效任务书、委员会议事规则的修订；</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zh-CN" w:eastAsia="zh-CN"/>
        </w:rPr>
      </w:pPr>
      <w:r>
        <w:rPr>
          <w:rFonts w:hint="eastAsia" w:ascii="宋体" w:hAnsi="宋体" w:eastAsia="宋体" w:cs="宋体"/>
          <w:b w:val="0"/>
          <w:bCs w:val="0"/>
          <w:i w:val="0"/>
          <w:caps w:val="0"/>
          <w:spacing w:val="0"/>
          <w:sz w:val="24"/>
          <w:szCs w:val="24"/>
          <w:shd w:val="clear" w:color="auto" w:fill="FFFFFF"/>
          <w:lang w:val="zh-CN" w:eastAsia="zh-CN"/>
        </w:rPr>
        <w:t>董事会审计与消费者权益保护委员会召开会议</w:t>
      </w:r>
      <w:r>
        <w:rPr>
          <w:rFonts w:hint="eastAsia" w:ascii="宋体" w:hAnsi="宋体" w:eastAsia="宋体" w:cs="宋体"/>
          <w:b w:val="0"/>
          <w:bCs w:val="0"/>
          <w:i w:val="0"/>
          <w:caps w:val="0"/>
          <w:spacing w:val="0"/>
          <w:sz w:val="24"/>
          <w:szCs w:val="24"/>
          <w:shd w:val="clear" w:color="auto" w:fill="FFFFFF"/>
          <w:lang w:val="en-US" w:eastAsia="zh-CN"/>
        </w:rPr>
        <w:t>10</w:t>
      </w:r>
      <w:r>
        <w:rPr>
          <w:rFonts w:hint="eastAsia" w:ascii="宋体" w:hAnsi="宋体" w:eastAsia="宋体" w:cs="宋体"/>
          <w:b w:val="0"/>
          <w:bCs w:val="0"/>
          <w:i w:val="0"/>
          <w:caps w:val="0"/>
          <w:spacing w:val="0"/>
          <w:sz w:val="24"/>
          <w:szCs w:val="24"/>
          <w:shd w:val="clear" w:color="auto" w:fill="FFFFFF"/>
          <w:lang w:val="zh-CN" w:eastAsia="zh-CN"/>
        </w:rPr>
        <w:t>次，审议</w:t>
      </w:r>
      <w:r>
        <w:rPr>
          <w:rFonts w:hint="eastAsia" w:ascii="宋体" w:hAnsi="宋体" w:eastAsia="宋体" w:cs="宋体"/>
          <w:b w:val="0"/>
          <w:bCs w:val="0"/>
          <w:i w:val="0"/>
          <w:caps w:val="0"/>
          <w:spacing w:val="0"/>
          <w:sz w:val="24"/>
          <w:szCs w:val="24"/>
          <w:shd w:val="clear" w:color="auto" w:fill="FFFFFF"/>
          <w:lang w:val="en-US" w:eastAsia="zh-CN"/>
        </w:rPr>
        <w:t>13</w:t>
      </w:r>
      <w:r>
        <w:rPr>
          <w:rFonts w:hint="eastAsia" w:ascii="宋体" w:hAnsi="宋体" w:eastAsia="宋体" w:cs="宋体"/>
          <w:b w:val="0"/>
          <w:bCs w:val="0"/>
          <w:i w:val="0"/>
          <w:caps w:val="0"/>
          <w:spacing w:val="0"/>
          <w:sz w:val="24"/>
          <w:szCs w:val="24"/>
          <w:shd w:val="clear" w:color="auto" w:fill="FFFFFF"/>
          <w:lang w:val="zh-CN" w:eastAsia="zh-CN"/>
        </w:rPr>
        <w:t>项议案，听取</w:t>
      </w:r>
      <w:r>
        <w:rPr>
          <w:rFonts w:hint="eastAsia" w:ascii="宋体" w:hAnsi="宋体" w:eastAsia="宋体" w:cs="宋体"/>
          <w:b w:val="0"/>
          <w:bCs w:val="0"/>
          <w:i w:val="0"/>
          <w:caps w:val="0"/>
          <w:spacing w:val="0"/>
          <w:sz w:val="24"/>
          <w:szCs w:val="24"/>
          <w:shd w:val="clear" w:color="auto" w:fill="FFFFFF"/>
          <w:lang w:val="en-US" w:eastAsia="zh-CN"/>
        </w:rPr>
        <w:t>1</w:t>
      </w:r>
      <w:r>
        <w:rPr>
          <w:rFonts w:hint="eastAsia" w:ascii="宋体" w:hAnsi="宋体" w:eastAsia="宋体" w:cs="宋体"/>
          <w:b w:val="0"/>
          <w:bCs w:val="0"/>
          <w:i w:val="0"/>
          <w:caps w:val="0"/>
          <w:spacing w:val="0"/>
          <w:sz w:val="24"/>
          <w:szCs w:val="24"/>
          <w:shd w:val="clear" w:color="auto" w:fill="FFFFFF"/>
          <w:lang w:val="zh-CN" w:eastAsia="zh-CN"/>
        </w:rPr>
        <w:t>项报告，内容涉及年度审计计划、审计报告、消费者权益保护报告等；</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val="0"/>
          <w:bCs w:val="0"/>
          <w:i w:val="0"/>
          <w:caps w:val="0"/>
          <w:spacing w:val="0"/>
          <w:sz w:val="24"/>
          <w:szCs w:val="24"/>
          <w:shd w:val="clear" w:color="auto" w:fill="FFFFFF"/>
          <w:lang w:val="zh-CN" w:eastAsia="zh-CN"/>
        </w:rPr>
      </w:pPr>
      <w:r>
        <w:rPr>
          <w:rFonts w:hint="eastAsia" w:ascii="宋体" w:hAnsi="宋体" w:eastAsia="宋体" w:cs="宋体"/>
          <w:b w:val="0"/>
          <w:bCs w:val="0"/>
          <w:i w:val="0"/>
          <w:caps w:val="0"/>
          <w:spacing w:val="0"/>
          <w:sz w:val="24"/>
          <w:szCs w:val="24"/>
          <w:shd w:val="clear" w:color="auto" w:fill="FFFFFF"/>
          <w:lang w:val="zh-CN" w:eastAsia="zh-CN"/>
        </w:rPr>
        <w:t>董事会风险控制与关联交易管理委员会召开会议</w:t>
      </w:r>
      <w:r>
        <w:rPr>
          <w:rFonts w:hint="eastAsia" w:ascii="宋体" w:hAnsi="宋体" w:eastAsia="宋体" w:cs="宋体"/>
          <w:b w:val="0"/>
          <w:bCs w:val="0"/>
          <w:i w:val="0"/>
          <w:caps w:val="0"/>
          <w:spacing w:val="0"/>
          <w:sz w:val="24"/>
          <w:szCs w:val="24"/>
          <w:shd w:val="clear" w:color="auto" w:fill="FFFFFF"/>
          <w:lang w:val="en-US" w:eastAsia="zh-CN"/>
        </w:rPr>
        <w:t>9</w:t>
      </w:r>
      <w:r>
        <w:rPr>
          <w:rFonts w:hint="eastAsia" w:ascii="宋体" w:hAnsi="宋体" w:eastAsia="宋体" w:cs="宋体"/>
          <w:b w:val="0"/>
          <w:bCs w:val="0"/>
          <w:i w:val="0"/>
          <w:caps w:val="0"/>
          <w:spacing w:val="0"/>
          <w:sz w:val="24"/>
          <w:szCs w:val="24"/>
          <w:shd w:val="clear" w:color="auto" w:fill="FFFFFF"/>
          <w:lang w:val="zh-CN" w:eastAsia="zh-CN"/>
        </w:rPr>
        <w:t>次，审议</w:t>
      </w:r>
      <w:r>
        <w:rPr>
          <w:rFonts w:hint="eastAsia" w:ascii="宋体" w:hAnsi="宋体" w:eastAsia="宋体" w:cs="宋体"/>
          <w:b w:val="0"/>
          <w:bCs w:val="0"/>
          <w:i w:val="0"/>
          <w:caps w:val="0"/>
          <w:spacing w:val="0"/>
          <w:sz w:val="24"/>
          <w:szCs w:val="24"/>
          <w:shd w:val="clear" w:color="auto" w:fill="FFFFFF"/>
          <w:lang w:val="en-US" w:eastAsia="zh-CN"/>
        </w:rPr>
        <w:t>23</w:t>
      </w:r>
      <w:r>
        <w:rPr>
          <w:rFonts w:hint="eastAsia" w:ascii="宋体" w:hAnsi="宋体" w:eastAsia="宋体" w:cs="宋体"/>
          <w:b w:val="0"/>
          <w:bCs w:val="0"/>
          <w:i w:val="0"/>
          <w:caps w:val="0"/>
          <w:spacing w:val="0"/>
          <w:sz w:val="24"/>
          <w:szCs w:val="24"/>
          <w:shd w:val="clear" w:color="auto" w:fill="FFFFFF"/>
          <w:lang w:val="zh-CN" w:eastAsia="zh-CN"/>
        </w:rPr>
        <w:t>项议案，听取</w:t>
      </w:r>
      <w:r>
        <w:rPr>
          <w:rFonts w:hint="eastAsia" w:ascii="宋体" w:hAnsi="宋体" w:eastAsia="宋体" w:cs="宋体"/>
          <w:b w:val="0"/>
          <w:bCs w:val="0"/>
          <w:i w:val="0"/>
          <w:caps w:val="0"/>
          <w:spacing w:val="0"/>
          <w:sz w:val="24"/>
          <w:szCs w:val="24"/>
          <w:shd w:val="clear" w:color="auto" w:fill="FFFFFF"/>
          <w:lang w:val="en-US" w:eastAsia="zh-CN"/>
        </w:rPr>
        <w:t>1</w:t>
      </w:r>
      <w:r>
        <w:rPr>
          <w:rFonts w:hint="eastAsia" w:ascii="宋体" w:hAnsi="宋体" w:eastAsia="宋体" w:cs="宋体"/>
          <w:b w:val="0"/>
          <w:bCs w:val="0"/>
          <w:i w:val="0"/>
          <w:caps w:val="0"/>
          <w:spacing w:val="0"/>
          <w:sz w:val="24"/>
          <w:szCs w:val="24"/>
          <w:shd w:val="clear" w:color="auto" w:fill="FFFFFF"/>
          <w:lang w:val="zh-CN" w:eastAsia="zh-CN"/>
        </w:rPr>
        <w:t>项报告，审议内容涉及内控报告、风险报告、年度关联交易管理情况报告、关联方名单制定等。</w:t>
      </w:r>
    </w:p>
    <w:p>
      <w:pPr>
        <w:keepNext w:val="0"/>
        <w:keepLines w:val="0"/>
        <w:pageBreakBefore w:val="0"/>
        <w:widowControl w:val="0"/>
        <w:numPr>
          <w:ilvl w:val="0"/>
          <w:numId w:val="25"/>
        </w:numPr>
        <w:kinsoku/>
        <w:wordWrap/>
        <w:overflowPunct/>
        <w:topLinePunct w:val="0"/>
        <w:autoSpaceDE/>
        <w:autoSpaceDN/>
        <w:bidi w:val="0"/>
        <w:adjustRightInd/>
        <w:snapToGrid w:val="0"/>
        <w:spacing w:line="360" w:lineRule="auto"/>
        <w:ind w:left="-2" w:leftChars="0" w:firstLine="422" w:firstLineChars="0"/>
        <w:textAlignment w:val="auto"/>
        <w:rPr>
          <w:rFonts w:hint="eastAsia" w:ascii="宋体" w:hAnsi="宋体" w:eastAsia="宋体" w:cs="宋体"/>
          <w:i w:val="0"/>
          <w:caps w:val="0"/>
          <w:spacing w:val="0"/>
          <w:sz w:val="24"/>
          <w:szCs w:val="24"/>
          <w:shd w:val="clear" w:color="auto" w:fill="FFFFFF"/>
          <w:lang w:val="en-US" w:eastAsia="zh-CN"/>
        </w:rPr>
      </w:pPr>
      <w:r>
        <w:rPr>
          <w:rFonts w:hint="eastAsia" w:ascii="宋体" w:hAnsi="宋体" w:eastAsia="宋体" w:cs="宋体"/>
          <w:b/>
          <w:bCs/>
          <w:i w:val="0"/>
          <w:caps w:val="0"/>
          <w:spacing w:val="0"/>
          <w:sz w:val="24"/>
          <w:szCs w:val="24"/>
          <w:shd w:val="clear" w:color="auto" w:fill="FFFFFF"/>
          <w:lang w:val="en-US" w:eastAsia="zh-CN"/>
        </w:rPr>
        <w:t>总体评价和建议</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lang w:val="en-US" w:eastAsia="zh-CN"/>
        </w:rPr>
      </w:pPr>
      <w:r>
        <w:rPr>
          <w:rFonts w:hint="eastAsia" w:ascii="宋体" w:hAnsi="宋体" w:eastAsia="宋体" w:cs="宋体"/>
          <w:i w:val="0"/>
          <w:caps w:val="0"/>
          <w:spacing w:val="0"/>
          <w:sz w:val="24"/>
          <w:szCs w:val="24"/>
          <w:shd w:val="clear" w:color="auto" w:fill="FFFFFF"/>
          <w:lang w:val="en-US" w:eastAsia="zh-CN"/>
        </w:rPr>
        <w:t>2021年，公司独立董事均能严格按照法律法规的相关规定，遵守公司章程，忠实勤勉、恪尽职守，与公司各方沟通和协调，及时对公司高级管理人员聘任、会计师事务所选聘、关联交易管理、风险管理等相关重大事项发表独立意见并作出指示，进一步促进公司稳健经营和可持续发展，有效提升董事会科学决策能力。2022年公司独立董事将进一步提升履职能力，独立、诚信、谨慎、勤勉地履职尽责，有效维护公司和股东特别是中小股东的合法权益，促进董事会科学决策水平和公司治理水平的持续提升。</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0"/>
          <w:lang w:val="en-US" w:eastAsia="zh-CN"/>
        </w:rPr>
      </w:pPr>
      <w:r>
        <w:rPr>
          <w:rFonts w:hint="eastAsia" w:ascii="宋体" w:hAnsi="宋体" w:eastAsia="宋体" w:cs="宋体"/>
          <w:sz w:val="24"/>
          <w:lang w:val="en-US" w:eastAsia="zh-CN"/>
        </w:rPr>
        <w:t>特此报告。</w:t>
      </w:r>
    </w:p>
    <w:p>
      <w:pPr>
        <w:pStyle w:val="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厦门银行股份有限公司</w:t>
      </w:r>
    </w:p>
    <w:p>
      <w:pPr>
        <w:pStyle w:val="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独立董事：宁向东、戴亦一、谢德仁、聂秀峰、陈欣</w:t>
      </w:r>
    </w:p>
    <w:p>
      <w:pPr>
        <w:pStyle w:val="7"/>
        <w:wordWrap w:val="0"/>
        <w:jc w:val="right"/>
        <w:rPr>
          <w:rFonts w:hint="eastAsia" w:ascii="宋体"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2</w:t>
      </w:r>
      <w:r>
        <w:rPr>
          <w:rFonts w:hint="eastAsia" w:ascii="宋体" w:hAnsi="宋体" w:eastAsia="宋体" w:cs="宋体"/>
          <w:sz w:val="24"/>
          <w:szCs w:val="24"/>
        </w:rPr>
        <w:t>年</w:t>
      </w:r>
      <w:r>
        <w:rPr>
          <w:rFonts w:hint="eastAsia" w:ascii="宋体" w:hAnsi="宋体" w:eastAsia="宋体" w:cs="宋体"/>
          <w:sz w:val="24"/>
          <w:szCs w:val="24"/>
          <w:lang w:val="en-US" w:eastAsia="zh-CN"/>
        </w:rPr>
        <w:t>6</w:t>
      </w:r>
      <w:r>
        <w:rPr>
          <w:rFonts w:hint="eastAsia" w:ascii="宋体" w:hAnsi="宋体" w:eastAsia="宋体" w:cs="宋体"/>
          <w:sz w:val="24"/>
          <w:szCs w:val="24"/>
        </w:rPr>
        <w:t>月</w:t>
      </w:r>
      <w:r>
        <w:rPr>
          <w:rFonts w:hint="eastAsia" w:ascii="宋体" w:hAnsi="宋体" w:eastAsia="宋体" w:cs="宋体"/>
          <w:sz w:val="24"/>
          <w:szCs w:val="24"/>
          <w:lang w:val="en-US" w:eastAsia="zh-CN"/>
        </w:rPr>
        <w:t>2</w:t>
      </w:r>
      <w:r>
        <w:rPr>
          <w:rFonts w:hint="eastAsia" w:ascii="宋体" w:hAnsi="宋体" w:eastAsia="宋体" w:cs="宋体"/>
          <w:sz w:val="24"/>
          <w:szCs w:val="24"/>
        </w:rPr>
        <w:t>日</w:t>
      </w:r>
      <w:r>
        <w:rPr>
          <w:rFonts w:hint="eastAsia" w:ascii="宋体" w:hAnsi="宋体" w:eastAsia="宋体" w:cs="宋体"/>
          <w:sz w:val="24"/>
          <w:szCs w:val="24"/>
        </w:rPr>
        <w:br w:type="page"/>
      </w:r>
    </w:p>
    <w:p/>
    <w:p>
      <w:pPr>
        <w:spacing w:line="360" w:lineRule="auto"/>
        <w:jc w:val="center"/>
        <w:rPr>
          <w:rFonts w:ascii="宋体" w:hAnsi="宋体" w:eastAsia="宋体" w:cs="宋体"/>
          <w:b/>
          <w:bCs/>
          <w:sz w:val="28"/>
          <w:szCs w:val="36"/>
        </w:rPr>
      </w:pPr>
      <w:r>
        <w:rPr>
          <w:rFonts w:hint="eastAsia" w:ascii="宋体" w:hAnsi="宋体" w:eastAsia="宋体" w:cs="宋体"/>
          <w:b/>
          <w:bCs/>
          <w:color w:val="000000"/>
          <w:sz w:val="30"/>
          <w:szCs w:val="30"/>
        </w:rPr>
        <mc:AlternateContent>
          <mc:Choice Requires="wps">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494915" cy="676275"/>
                <wp:effectExtent l="5080" t="4445" r="14605" b="5080"/>
                <wp:wrapNone/>
                <wp:docPr id="19" name="文本框 3"/>
                <wp:cNvGraphicFramePr/>
                <a:graphic xmlns:a="http://schemas.openxmlformats.org/drawingml/2006/main">
                  <a:graphicData uri="http://schemas.microsoft.com/office/word/2010/wordprocessingShape">
                    <wps:wsp>
                      <wps:cNvSpPr txBox="1"/>
                      <wps:spPr>
                        <a:xfrm>
                          <a:off x="0" y="0"/>
                          <a:ext cx="2494915" cy="676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lang w:val="en-US" w:eastAsia="zh-CN"/>
                              </w:rPr>
                              <w:t>报告3</w:t>
                            </w:r>
                          </w:p>
                        </w:txbxContent>
                      </wps:txbx>
                      <wps:bodyPr wrap="square" upright="1"/>
                    </wps:wsp>
                  </a:graphicData>
                </a:graphic>
              </wp:anchor>
            </w:drawing>
          </mc:Choice>
          <mc:Fallback>
            <w:pict>
              <v:shape id="文本框 3" o:spid="_x0000_s1026" o:spt="202" type="#_x0000_t202" style="position:absolute;left:0pt;margin-left:0pt;margin-top:0pt;height:53.25pt;width:196.45pt;z-index:251677696;mso-width-relative:page;mso-height-relative:page;" fillcolor="#FFFFFF" filled="t" stroked="t" coordsize="21600,21600" o:gfxdata="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hXBbWAAAABQEAAA8AAAAAAAAAAQAgAAAAIgAAAGRycy9kb3ducmV2Lnht&#10;bFBLAQIUABQAAAAIAIdO4kBxs81t+wEAAPcDAAAOAAAAAAAAAAEAIAAAACUBAABkcnMvZTJvRG9j&#10;LnhtbFBLBQYAAAAABgAGAFkBAACSBQ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lang w:val="en-US" w:eastAsia="zh-CN"/>
                        </w:rPr>
                        <w:t>报告3</w:t>
                      </w:r>
                    </w:p>
                  </w:txbxContent>
                </v:textbox>
              </v:shape>
            </w:pict>
          </mc:Fallback>
        </mc:AlternateContent>
      </w:r>
    </w:p>
    <w:p>
      <w:pPr>
        <w:spacing w:line="360" w:lineRule="auto"/>
        <w:jc w:val="center"/>
        <w:rPr>
          <w:rFonts w:ascii="宋体" w:hAnsi="宋体" w:eastAsia="宋体" w:cs="宋体"/>
          <w:b/>
          <w:bCs/>
          <w:sz w:val="28"/>
          <w:szCs w:val="36"/>
        </w:rPr>
      </w:pPr>
    </w:p>
    <w:p>
      <w:pPr>
        <w:spacing w:line="360" w:lineRule="auto"/>
        <w:jc w:val="center"/>
        <w:outlineLvl w:val="0"/>
        <w:rPr>
          <w:rFonts w:hint="eastAsia" w:ascii="宋体" w:hAnsi="宋体" w:eastAsia="宋体" w:cs="宋体"/>
          <w:b/>
          <w:bCs/>
          <w:sz w:val="28"/>
          <w:szCs w:val="36"/>
        </w:rPr>
      </w:pPr>
      <w:r>
        <w:rPr>
          <w:rFonts w:hint="eastAsia" w:ascii="宋体" w:hAnsi="宋体" w:eastAsia="宋体" w:cs="宋体"/>
          <w:b/>
          <w:bCs/>
          <w:sz w:val="28"/>
          <w:szCs w:val="36"/>
        </w:rPr>
        <w:t>厦门银行股份有限公司</w:t>
      </w:r>
    </w:p>
    <w:p>
      <w:pPr>
        <w:spacing w:line="360" w:lineRule="auto"/>
        <w:jc w:val="center"/>
        <w:outlineLvl w:val="0"/>
        <w:rPr>
          <w:rFonts w:ascii="宋体" w:hAnsi="宋体" w:eastAsia="宋体" w:cs="宋体"/>
          <w:bCs/>
          <w:color w:val="000000"/>
          <w:kern w:val="36"/>
          <w:sz w:val="24"/>
        </w:rPr>
      </w:pPr>
      <w:r>
        <w:rPr>
          <w:rFonts w:hint="eastAsia" w:ascii="宋体" w:hAnsi="宋体" w:eastAsia="宋体" w:cs="宋体"/>
          <w:b/>
          <w:bCs/>
          <w:sz w:val="28"/>
          <w:szCs w:val="36"/>
        </w:rPr>
        <w:t>2021年度董事会及董事履职评价报告</w:t>
      </w:r>
    </w:p>
    <w:p>
      <w:pPr>
        <w:snapToGrid w:val="0"/>
        <w:spacing w:line="360" w:lineRule="auto"/>
        <w:rPr>
          <w:rFonts w:hint="eastAsia" w:ascii="宋体" w:hAnsi="宋体" w:eastAsia="宋体" w:cs="宋体"/>
          <w:bCs/>
          <w:color w:val="000000"/>
          <w:kern w:val="36"/>
          <w:sz w:val="24"/>
        </w:rPr>
      </w:pPr>
    </w:p>
    <w:p>
      <w:pPr>
        <w:keepNext w:val="0"/>
        <w:keepLines w:val="0"/>
        <w:pageBreakBefore w:val="0"/>
        <w:widowControl w:val="0"/>
        <w:kinsoku/>
        <w:wordWrap/>
        <w:overflowPunct/>
        <w:topLinePunct w:val="0"/>
        <w:bidi w:val="0"/>
        <w:snapToGrid w:val="0"/>
        <w:spacing w:line="360" w:lineRule="auto"/>
        <w:textAlignment w:val="auto"/>
        <w:rPr>
          <w:rFonts w:hint="eastAsia" w:ascii="宋体" w:hAnsi="宋体" w:eastAsia="宋体" w:cs="宋体"/>
          <w:sz w:val="24"/>
        </w:rPr>
      </w:pPr>
      <w:r>
        <w:rPr>
          <w:rFonts w:hint="eastAsia" w:ascii="宋体" w:hAnsi="宋体" w:eastAsia="宋体" w:cs="宋体"/>
          <w:bCs/>
          <w:color w:val="000000"/>
          <w:kern w:val="36"/>
          <w:sz w:val="24"/>
        </w:rPr>
        <w:t>尊敬的各位</w:t>
      </w:r>
      <w:r>
        <w:rPr>
          <w:rFonts w:hint="eastAsia" w:ascii="宋体" w:hAnsi="宋体" w:eastAsia="宋体" w:cs="宋体"/>
          <w:sz w:val="24"/>
        </w:rPr>
        <w:t>股东</w:t>
      </w:r>
      <w:r>
        <w:rPr>
          <w:rFonts w:hint="eastAsia" w:ascii="宋体" w:hAnsi="宋体" w:eastAsia="宋体" w:cs="宋体"/>
          <w:bCs/>
          <w:color w:val="000000"/>
          <w:kern w:val="36"/>
          <w:sz w:val="24"/>
        </w:rPr>
        <w:t>：</w:t>
      </w:r>
    </w:p>
    <w:p>
      <w:pPr>
        <w:keepNext w:val="0"/>
        <w:keepLines w:val="0"/>
        <w:pageBreakBefore w:val="0"/>
        <w:widowControl w:val="0"/>
        <w:kinsoku/>
        <w:wordWrap/>
        <w:overflowPunct/>
        <w:topLinePunct w:val="0"/>
        <w:bidi w:val="0"/>
        <w:snapToGrid w:val="0"/>
        <w:spacing w:line="360" w:lineRule="auto"/>
        <w:ind w:firstLine="555"/>
        <w:textAlignment w:val="auto"/>
        <w:rPr>
          <w:rFonts w:hint="eastAsia" w:ascii="宋体" w:hAnsi="宋体" w:eastAsia="宋体" w:cs="宋体"/>
          <w:sz w:val="24"/>
        </w:rPr>
      </w:pPr>
      <w:r>
        <w:rPr>
          <w:rFonts w:hint="eastAsia" w:ascii="宋体" w:hAnsi="宋体" w:eastAsia="宋体" w:cs="宋体"/>
          <w:sz w:val="24"/>
        </w:rPr>
        <w:t>根据中国银保监会《银行保险机构公司治理准则》《商业银行监事会工作指引》《银行保险机构董事监事履职评价办法（试行）》以及《厦门银行股份有限公司董事会和董事履职评价办法》（下称“《履职评价办法》”）的规定，</w:t>
      </w:r>
      <w:r>
        <w:rPr>
          <w:rFonts w:hint="eastAsia" w:ascii="宋体" w:hAnsi="宋体" w:eastAsia="宋体" w:cs="宋体"/>
          <w:sz w:val="24"/>
          <w:lang w:val="en-US" w:eastAsia="zh-CN"/>
        </w:rPr>
        <w:t>本行</w:t>
      </w:r>
      <w:r>
        <w:rPr>
          <w:rFonts w:hint="eastAsia" w:ascii="宋体" w:hAnsi="宋体" w:eastAsia="宋体" w:cs="宋体"/>
          <w:sz w:val="24"/>
        </w:rPr>
        <w:t>监事会于2022年1月至4月组织开展了董事会及董事2021年度履职评价工作，现将有关情况报告如下：</w:t>
      </w:r>
    </w:p>
    <w:p>
      <w:pPr>
        <w:pStyle w:val="25"/>
        <w:keepNext w:val="0"/>
        <w:keepLines w:val="0"/>
        <w:pageBreakBefore w:val="0"/>
        <w:widowControl w:val="0"/>
        <w:kinsoku/>
        <w:wordWrap/>
        <w:overflowPunct/>
        <w:topLinePunct w:val="0"/>
        <w:bidi w:val="0"/>
        <w:snapToGrid w:val="0"/>
        <w:spacing w:line="360" w:lineRule="auto"/>
        <w:ind w:left="556" w:firstLine="0" w:firstLineChars="0"/>
        <w:textAlignment w:val="auto"/>
        <w:rPr>
          <w:rFonts w:hint="eastAsia" w:ascii="宋体" w:hAnsi="宋体" w:eastAsia="宋体" w:cs="宋体"/>
          <w:b/>
          <w:sz w:val="24"/>
        </w:rPr>
      </w:pPr>
      <w:r>
        <w:rPr>
          <w:rFonts w:hint="eastAsia" w:ascii="宋体" w:hAnsi="宋体" w:eastAsia="宋体" w:cs="宋体"/>
          <w:b/>
          <w:sz w:val="24"/>
        </w:rPr>
        <w:t>一、履职评价工作开展情况</w:t>
      </w:r>
    </w:p>
    <w:p>
      <w:pPr>
        <w:pStyle w:val="25"/>
        <w:keepNext w:val="0"/>
        <w:keepLines w:val="0"/>
        <w:pageBreakBefore w:val="0"/>
        <w:widowControl w:val="0"/>
        <w:kinsoku/>
        <w:wordWrap/>
        <w:overflowPunct/>
        <w:topLinePunct w:val="0"/>
        <w:bidi w:val="0"/>
        <w:snapToGrid w:val="0"/>
        <w:spacing w:line="360" w:lineRule="auto"/>
        <w:ind w:left="556" w:firstLine="0" w:firstLineChars="0"/>
        <w:textAlignment w:val="auto"/>
        <w:rPr>
          <w:rFonts w:hint="eastAsia" w:ascii="宋体" w:hAnsi="宋体" w:eastAsia="宋体" w:cs="宋体"/>
          <w:b/>
          <w:sz w:val="24"/>
        </w:rPr>
      </w:pPr>
      <w:r>
        <w:rPr>
          <w:rFonts w:hint="eastAsia" w:ascii="宋体" w:hAnsi="宋体" w:eastAsia="宋体" w:cs="宋体"/>
          <w:b/>
          <w:sz w:val="24"/>
        </w:rPr>
        <w:t>（一）履职评价对象及内容</w:t>
      </w:r>
    </w:p>
    <w:p>
      <w:pPr>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履职评价对象为本行第八届董事会及董事。对董事会履职评价的重点是董事会运作的规范性和有效性等方面；对董事履职评价主要包括履行忠实义务、履行勤勉义务、履职专业性、履职独立性与道德水准、履职合规性五个维度，并结合董事类型特点以及其在董事会专门委员会中的任职情况，重点关注董事的日常履职行为。</w:t>
      </w:r>
    </w:p>
    <w:p>
      <w:pPr>
        <w:pStyle w:val="25"/>
        <w:keepNext w:val="0"/>
        <w:keepLines w:val="0"/>
        <w:pageBreakBefore w:val="0"/>
        <w:widowControl w:val="0"/>
        <w:kinsoku/>
        <w:wordWrap/>
        <w:overflowPunct/>
        <w:topLinePunct w:val="0"/>
        <w:bidi w:val="0"/>
        <w:snapToGrid w:val="0"/>
        <w:spacing w:line="360" w:lineRule="auto"/>
        <w:ind w:left="556" w:firstLine="0" w:firstLineChars="0"/>
        <w:textAlignment w:val="auto"/>
        <w:rPr>
          <w:rFonts w:hint="eastAsia" w:ascii="宋体" w:hAnsi="宋体" w:eastAsia="宋体" w:cs="宋体"/>
          <w:b/>
          <w:sz w:val="24"/>
        </w:rPr>
      </w:pPr>
      <w:r>
        <w:rPr>
          <w:rFonts w:hint="eastAsia" w:ascii="宋体" w:hAnsi="宋体" w:eastAsia="宋体" w:cs="宋体"/>
          <w:b/>
          <w:sz w:val="24"/>
        </w:rPr>
        <w:t>（二）评价程序和方法</w:t>
      </w:r>
    </w:p>
    <w:p>
      <w:pPr>
        <w:pStyle w:val="25"/>
        <w:keepNext w:val="0"/>
        <w:keepLines w:val="0"/>
        <w:pageBreakBefore w:val="0"/>
        <w:widowControl w:val="0"/>
        <w:kinsoku/>
        <w:wordWrap/>
        <w:overflowPunct/>
        <w:topLinePunct w:val="0"/>
        <w:bidi w:val="0"/>
        <w:snapToGrid w:val="0"/>
        <w:spacing w:line="360" w:lineRule="auto"/>
        <w:ind w:firstLine="480"/>
        <w:textAlignment w:val="auto"/>
        <w:rPr>
          <w:rFonts w:hint="eastAsia" w:ascii="宋体" w:hAnsi="宋体" w:eastAsia="宋体" w:cs="宋体"/>
          <w:sz w:val="24"/>
        </w:rPr>
      </w:pPr>
      <w:r>
        <w:rPr>
          <w:rFonts w:hint="eastAsia" w:ascii="宋体" w:hAnsi="宋体" w:eastAsia="宋体" w:cs="宋体"/>
          <w:sz w:val="24"/>
        </w:rPr>
        <w:t>履职评价由本行监事会组织实施，根据《履职评价办法》等相关规定向董事会发出《关于开展2021年度董事会及董事履职评价工作的通知》，请董事会及各位董事按照履职评价的要求及相关履职参考材料，客观、公正地做好履职评价自评工作。经过董事自评、董事会评价、监事会提名委员会评价环节，监事会结合日常监督和内外部检查情况，对董事会和董事履职情况进行综合评价，并确定总体评价得分和评价等级。</w:t>
      </w:r>
    </w:p>
    <w:p>
      <w:pPr>
        <w:pStyle w:val="25"/>
        <w:keepNext w:val="0"/>
        <w:keepLines w:val="0"/>
        <w:pageBreakBefore w:val="0"/>
        <w:widowControl w:val="0"/>
        <w:kinsoku/>
        <w:wordWrap/>
        <w:overflowPunct/>
        <w:topLinePunct w:val="0"/>
        <w:bidi w:val="0"/>
        <w:snapToGrid w:val="0"/>
        <w:spacing w:line="360" w:lineRule="auto"/>
        <w:ind w:left="556" w:firstLine="0" w:firstLineChars="0"/>
        <w:textAlignment w:val="auto"/>
        <w:rPr>
          <w:rFonts w:hint="eastAsia" w:ascii="宋体" w:hAnsi="宋体" w:eastAsia="宋体" w:cs="宋体"/>
          <w:b/>
          <w:sz w:val="24"/>
        </w:rPr>
      </w:pPr>
      <w:r>
        <w:rPr>
          <w:rFonts w:hint="eastAsia" w:ascii="宋体" w:hAnsi="宋体" w:eastAsia="宋体" w:cs="宋体"/>
          <w:b/>
          <w:sz w:val="24"/>
        </w:rPr>
        <w:t>二、对董事会2021年度履职情况的评价</w:t>
      </w:r>
    </w:p>
    <w:p>
      <w:pPr>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2021年，公司董事会认真贯彻国家重大战略决策部署，严格落实监管要求，统筹疫情防控和经营发展，充分发挥战略管理和科学决策作用，持续推动党的建设和公司治理的有机融合，积极强化自身建设，深入推进经营转型和改革创新，夯实资本基础，加强风险内控，大力支持高级管理层实现有质量发展，各项工作取得显著成效，为股东和社会创造良好价值。</w:t>
      </w:r>
    </w:p>
    <w:p>
      <w:pPr>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本行全年共召集召开3次股东大会、12次董事会会议、26次董事会下设专门委员会会议。董事会审议并通过了定期报告、风险管理报告、内控评价报告、董事会工作报告、利润分配方案、行领导薪酬分配方案等84项议案；听取内部审计工作报告、不良贷款清收处置工作报告、监管意见书及整改落实情况等6项工作报告。董事会及时对涉及公司治理和经营管理的重大事项进行决策，在反洗钱、业务连续性管理、信息科技风险管理、关联交易管理、消费者权益保护等监管重点关注领域认真履行了决策职责，有力推进了公司高质量发展。</w:t>
      </w:r>
    </w:p>
    <w:p>
      <w:pPr>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2021年是公司上市后的第一个完整年度，根据上市后所面临的新的监管要求和新的战略布局，董事会以提升公司治理的规范运作为目标，持续完善公司治理机制，修旧立新，不断完善公司治理制度体系，完善党组织与董事会的沟通机制，提升关联交易管理水平，深化信息披露和投资者关系管理，以高质量的公司治理推动公司各项业务持续稳健发展。</w:t>
      </w:r>
    </w:p>
    <w:p>
      <w:pPr>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2021年，公司董事会始终将战略管理作为重中之重。作为公司第五轮三年发展战略规划的开启之年，董事会带领全行保持战略定力，强化战略落地，扎实推进战略任务执行，激发强大战略执行力。坚定做“强”总行，持续做“活”分行，深化大零售战略转型落地，全面深化区域战略，向“聚焦中小、深耕海西、融汇两岸，打造价值领先的综合金融服务商”的战略愿景稳步迈进。</w:t>
      </w:r>
    </w:p>
    <w:p>
      <w:pPr>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公司董事会密切关注公司风险管理和内部控制状况，秉承稳健经营的理念，不断完善内控和风控体系，不断夯实风险全流程管控，加速推进风险管理基础设施建设，构建大数据风控体系，提高潜在风险识别能力，拓宽风险防控能力边界，资产质量保持较好水平，持续夯实拨备基础，风险控制和抵补能力不断增强。</w:t>
      </w:r>
    </w:p>
    <w:p>
      <w:pPr>
        <w:keepNext w:val="0"/>
        <w:keepLines w:val="0"/>
        <w:pageBreakBefore w:val="0"/>
        <w:widowControl w:val="0"/>
        <w:kinsoku/>
        <w:wordWrap/>
        <w:overflowPunct/>
        <w:topLinePunct w:val="0"/>
        <w:bidi w:val="0"/>
        <w:snapToGrid w:val="0"/>
        <w:spacing w:line="360" w:lineRule="auto"/>
        <w:ind w:firstLine="482" w:firstLineChars="200"/>
        <w:textAlignment w:val="auto"/>
        <w:rPr>
          <w:rFonts w:hint="eastAsia" w:ascii="宋体" w:hAnsi="宋体" w:eastAsia="宋体" w:cs="宋体"/>
          <w:b/>
          <w:bCs/>
          <w:sz w:val="24"/>
        </w:rPr>
      </w:pPr>
      <w:r>
        <w:rPr>
          <w:rFonts w:hint="eastAsia" w:ascii="宋体" w:hAnsi="宋体" w:eastAsia="宋体" w:cs="宋体"/>
          <w:b/>
          <w:bCs/>
          <w:sz w:val="24"/>
        </w:rPr>
        <w:t>监事会认为：</w:t>
      </w:r>
      <w:r>
        <w:rPr>
          <w:rFonts w:hint="eastAsia" w:ascii="宋体" w:hAnsi="宋体" w:eastAsia="宋体" w:cs="宋体"/>
          <w:sz w:val="24"/>
        </w:rPr>
        <w:t>在评价期内，董事会能够根据法律法规、监管要求和《公司章程》的规定，依法合规、勤勉尽责开展各项工作，运行平稳有序，决策审慎科学，有效落实股东大会的决议，较好地完成了股东大会设定的年度工作目标。董事会及其专门委员会的构成和设立符合相关规定并持续完善，议事程序合法合规，决策效率和水平不断提高。未发现董事会及其专门委员会在履职过程中存在违反相关法律法规及《公司章程》规定的行为。</w:t>
      </w:r>
    </w:p>
    <w:p>
      <w:pPr>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对照董事会履职评价标准，公司董事会2021年履职评价结果为：称职。</w:t>
      </w:r>
    </w:p>
    <w:p>
      <w:pPr>
        <w:pStyle w:val="25"/>
        <w:keepNext w:val="0"/>
        <w:keepLines w:val="0"/>
        <w:pageBreakBefore w:val="0"/>
        <w:widowControl w:val="0"/>
        <w:kinsoku/>
        <w:wordWrap/>
        <w:overflowPunct/>
        <w:topLinePunct w:val="0"/>
        <w:bidi w:val="0"/>
        <w:snapToGrid w:val="0"/>
        <w:spacing w:line="360" w:lineRule="auto"/>
        <w:ind w:left="556" w:firstLine="0" w:firstLineChars="0"/>
        <w:textAlignment w:val="auto"/>
        <w:rPr>
          <w:rFonts w:hint="eastAsia" w:ascii="宋体" w:hAnsi="宋体" w:eastAsia="宋体" w:cs="宋体"/>
          <w:b/>
          <w:sz w:val="24"/>
        </w:rPr>
      </w:pPr>
      <w:r>
        <w:rPr>
          <w:rFonts w:hint="eastAsia" w:ascii="宋体" w:hAnsi="宋体" w:eastAsia="宋体" w:cs="宋体"/>
          <w:b/>
          <w:sz w:val="24"/>
        </w:rPr>
        <w:t>三、对董事2021年度履职情况的评价</w:t>
      </w:r>
    </w:p>
    <w:p>
      <w:pPr>
        <w:pStyle w:val="25"/>
        <w:keepNext w:val="0"/>
        <w:keepLines w:val="0"/>
        <w:pageBreakBefore w:val="0"/>
        <w:widowControl w:val="0"/>
        <w:kinsoku/>
        <w:wordWrap/>
        <w:overflowPunct/>
        <w:topLinePunct w:val="0"/>
        <w:bidi w:val="0"/>
        <w:snapToGrid w:val="0"/>
        <w:spacing w:line="360" w:lineRule="auto"/>
        <w:ind w:firstLine="482"/>
        <w:textAlignment w:val="auto"/>
        <w:rPr>
          <w:rFonts w:hint="eastAsia" w:ascii="宋体" w:hAnsi="宋体" w:eastAsia="宋体" w:cs="宋体"/>
          <w:b/>
          <w:sz w:val="24"/>
        </w:rPr>
      </w:pPr>
      <w:r>
        <w:rPr>
          <w:rFonts w:hint="eastAsia" w:ascii="宋体" w:hAnsi="宋体" w:eastAsia="宋体" w:cs="宋体"/>
          <w:b/>
          <w:sz w:val="24"/>
        </w:rPr>
        <w:t>（一）履行忠实义务</w:t>
      </w:r>
    </w:p>
    <w:p>
      <w:pPr>
        <w:pStyle w:val="25"/>
        <w:keepNext w:val="0"/>
        <w:keepLines w:val="0"/>
        <w:pageBreakBefore w:val="0"/>
        <w:widowControl w:val="0"/>
        <w:kinsoku/>
        <w:wordWrap/>
        <w:overflowPunct/>
        <w:topLinePunct w:val="0"/>
        <w:bidi w:val="0"/>
        <w:snapToGrid w:val="0"/>
        <w:spacing w:line="360" w:lineRule="auto"/>
        <w:ind w:firstLine="480"/>
        <w:textAlignment w:val="auto"/>
        <w:rPr>
          <w:rFonts w:hint="eastAsia" w:ascii="宋体" w:hAnsi="宋体" w:eastAsia="宋体" w:cs="宋体"/>
          <w:sz w:val="24"/>
        </w:rPr>
      </w:pPr>
      <w:r>
        <w:rPr>
          <w:rFonts w:hint="eastAsia" w:ascii="宋体" w:hAnsi="宋体" w:eastAsia="宋体" w:cs="宋体"/>
          <w:sz w:val="24"/>
        </w:rPr>
        <w:t>2021年，全体董事能够以公司的最佳利益行事，严守公司秘密，未发现董事的本、兼职与其在本行的任职存在利益冲突，未发现董事有利用其在公司的地位和职权谋取私利、利用关联关系损害公司利益、接受不正当利益、泄露公司秘密或其他违反法律、法规及</w:t>
      </w:r>
      <w:r>
        <w:rPr>
          <w:rFonts w:hint="eastAsia" w:ascii="宋体" w:hAnsi="宋体" w:eastAsia="宋体" w:cs="宋体"/>
          <w:sz w:val="24"/>
          <w:lang w:eastAsia="zh-CN"/>
        </w:rPr>
        <w:t>《</w:t>
      </w:r>
      <w:r>
        <w:rPr>
          <w:rFonts w:hint="eastAsia" w:ascii="宋体" w:hAnsi="宋体" w:eastAsia="宋体" w:cs="宋体"/>
          <w:sz w:val="24"/>
        </w:rPr>
        <w:t>公司章程</w:t>
      </w:r>
      <w:r>
        <w:rPr>
          <w:rFonts w:hint="eastAsia" w:ascii="宋体" w:hAnsi="宋体" w:eastAsia="宋体" w:cs="宋体"/>
          <w:sz w:val="24"/>
          <w:lang w:eastAsia="zh-CN"/>
        </w:rPr>
        <w:t>》</w:t>
      </w:r>
      <w:r>
        <w:rPr>
          <w:rFonts w:hint="eastAsia" w:ascii="宋体" w:hAnsi="宋体" w:eastAsia="宋体" w:cs="宋体"/>
          <w:sz w:val="24"/>
        </w:rPr>
        <w:t>规定的忠实义务行为。</w:t>
      </w:r>
    </w:p>
    <w:p>
      <w:pPr>
        <w:pStyle w:val="25"/>
        <w:keepNext w:val="0"/>
        <w:keepLines w:val="0"/>
        <w:pageBreakBefore w:val="0"/>
        <w:widowControl w:val="0"/>
        <w:kinsoku/>
        <w:wordWrap/>
        <w:overflowPunct/>
        <w:topLinePunct w:val="0"/>
        <w:bidi w:val="0"/>
        <w:snapToGrid w:val="0"/>
        <w:spacing w:line="360" w:lineRule="auto"/>
        <w:ind w:firstLine="482"/>
        <w:textAlignment w:val="auto"/>
        <w:rPr>
          <w:rFonts w:hint="eastAsia" w:ascii="宋体" w:hAnsi="宋体" w:eastAsia="宋体" w:cs="宋体"/>
          <w:b/>
          <w:sz w:val="24"/>
        </w:rPr>
      </w:pPr>
      <w:r>
        <w:rPr>
          <w:rFonts w:hint="eastAsia" w:ascii="宋体" w:hAnsi="宋体" w:eastAsia="宋体" w:cs="宋体"/>
          <w:b/>
          <w:sz w:val="24"/>
        </w:rPr>
        <w:t>（二）履行勤勉义务</w:t>
      </w:r>
    </w:p>
    <w:p>
      <w:pPr>
        <w:pStyle w:val="25"/>
        <w:keepNext w:val="0"/>
        <w:keepLines w:val="0"/>
        <w:pageBreakBefore w:val="0"/>
        <w:widowControl w:val="0"/>
        <w:kinsoku/>
        <w:wordWrap/>
        <w:overflowPunct/>
        <w:topLinePunct w:val="0"/>
        <w:bidi w:val="0"/>
        <w:snapToGrid w:val="0"/>
        <w:spacing w:line="360" w:lineRule="auto"/>
        <w:ind w:firstLine="480"/>
        <w:textAlignment w:val="auto"/>
        <w:rPr>
          <w:rFonts w:hint="eastAsia" w:ascii="宋体" w:hAnsi="宋体" w:eastAsia="宋体" w:cs="宋体"/>
          <w:sz w:val="24"/>
        </w:rPr>
      </w:pPr>
      <w:r>
        <w:rPr>
          <w:rFonts w:hint="eastAsia" w:ascii="宋体" w:hAnsi="宋体" w:eastAsia="宋体" w:cs="宋体"/>
          <w:sz w:val="24"/>
        </w:rPr>
        <w:t>2021年，全体董事能够积极履行董事职责和义务，出席股东大会、董事会及其相关专门委员会会议，认真审议和听取各项议案及汇报，深入了解公司经营情况，能够对提交董事会审议的事项独立、客观地进行表决。全年董事会会议亲自出席率达98.08%，董事会各专门委员会会议亲自出席率达97.22%，独立董事为本行工作时间均在15个工作日以上，担任审计与消费者权益保护委员会、风险控制与关联交易管理委员会主任委员的董事，工作时间均在20个工作日以上，符合法律法规和</w:t>
      </w:r>
      <w:r>
        <w:rPr>
          <w:rFonts w:hint="eastAsia" w:ascii="宋体" w:hAnsi="宋体" w:eastAsia="宋体" w:cs="宋体"/>
          <w:sz w:val="24"/>
          <w:lang w:eastAsia="zh-CN"/>
        </w:rPr>
        <w:t>《</w:t>
      </w:r>
      <w:r>
        <w:rPr>
          <w:rFonts w:hint="eastAsia" w:ascii="宋体" w:hAnsi="宋体" w:eastAsia="宋体" w:cs="宋体"/>
          <w:sz w:val="24"/>
        </w:rPr>
        <w:t>公司章程</w:t>
      </w:r>
      <w:r>
        <w:rPr>
          <w:rFonts w:hint="eastAsia" w:ascii="宋体" w:hAnsi="宋体" w:eastAsia="宋体" w:cs="宋体"/>
          <w:sz w:val="24"/>
          <w:lang w:eastAsia="zh-CN"/>
        </w:rPr>
        <w:t>》</w:t>
      </w:r>
      <w:r>
        <w:rPr>
          <w:rFonts w:hint="eastAsia" w:ascii="宋体" w:hAnsi="宋体" w:eastAsia="宋体" w:cs="宋体"/>
          <w:sz w:val="24"/>
        </w:rPr>
        <w:t>规定的勤勉义务行为。</w:t>
      </w:r>
    </w:p>
    <w:p>
      <w:pPr>
        <w:pStyle w:val="25"/>
        <w:keepNext w:val="0"/>
        <w:keepLines w:val="0"/>
        <w:pageBreakBefore w:val="0"/>
        <w:widowControl w:val="0"/>
        <w:kinsoku/>
        <w:wordWrap/>
        <w:overflowPunct/>
        <w:topLinePunct w:val="0"/>
        <w:bidi w:val="0"/>
        <w:snapToGrid w:val="0"/>
        <w:spacing w:line="360" w:lineRule="auto"/>
        <w:ind w:firstLine="482"/>
        <w:textAlignment w:val="auto"/>
        <w:rPr>
          <w:rFonts w:hint="eastAsia" w:ascii="宋体" w:hAnsi="宋体" w:eastAsia="宋体" w:cs="宋体"/>
          <w:b/>
          <w:sz w:val="24"/>
        </w:rPr>
      </w:pPr>
      <w:r>
        <w:rPr>
          <w:rFonts w:hint="eastAsia" w:ascii="宋体" w:hAnsi="宋体" w:eastAsia="宋体" w:cs="宋体"/>
          <w:b/>
          <w:sz w:val="24"/>
        </w:rPr>
        <w:t>（三）履行专业性</w:t>
      </w:r>
    </w:p>
    <w:p>
      <w:pPr>
        <w:pStyle w:val="25"/>
        <w:keepNext w:val="0"/>
        <w:keepLines w:val="0"/>
        <w:pageBreakBefore w:val="0"/>
        <w:widowControl w:val="0"/>
        <w:kinsoku/>
        <w:wordWrap/>
        <w:overflowPunct/>
        <w:topLinePunct w:val="0"/>
        <w:bidi w:val="0"/>
        <w:snapToGrid w:val="0"/>
        <w:spacing w:line="360" w:lineRule="auto"/>
        <w:ind w:firstLine="480"/>
        <w:textAlignment w:val="auto"/>
        <w:rPr>
          <w:rFonts w:hint="eastAsia" w:ascii="宋体" w:hAnsi="宋体" w:eastAsia="宋体" w:cs="宋体"/>
          <w:sz w:val="24"/>
        </w:rPr>
      </w:pPr>
      <w:r>
        <w:rPr>
          <w:rFonts w:hint="eastAsia" w:ascii="宋体" w:hAnsi="宋体" w:eastAsia="宋体" w:cs="宋体"/>
          <w:sz w:val="24"/>
        </w:rPr>
        <w:t>公司全体董事均具备履职所必需的专业知识、工作经验和基本素质，能够结合自身职责，积极参加监管机构和公司组织的培训活动，不断加强对有关法律法规、银行业政策与业务及经济形势的学习；充分发挥自身专业优势，并围绕公司发展战略、薪酬管理、财务管理、利润分配、资本管理、风险管理、内控案防、关联交易、募集资金使用与存放、消费者权益保护、信息披露等事项发表专业意见和建议，体现出高度的责任心和良好的专业素质，为董事会科学决策提供了有力支撑。</w:t>
      </w:r>
    </w:p>
    <w:p>
      <w:pPr>
        <w:pStyle w:val="25"/>
        <w:keepNext w:val="0"/>
        <w:keepLines w:val="0"/>
        <w:pageBreakBefore w:val="0"/>
        <w:widowControl w:val="0"/>
        <w:kinsoku/>
        <w:wordWrap/>
        <w:overflowPunct/>
        <w:topLinePunct w:val="0"/>
        <w:bidi w:val="0"/>
        <w:snapToGrid w:val="0"/>
        <w:spacing w:line="360" w:lineRule="auto"/>
        <w:ind w:firstLine="482"/>
        <w:textAlignment w:val="auto"/>
        <w:rPr>
          <w:rFonts w:hint="eastAsia" w:ascii="宋体" w:hAnsi="宋体" w:eastAsia="宋体" w:cs="宋体"/>
          <w:b/>
          <w:bCs/>
          <w:sz w:val="24"/>
        </w:rPr>
      </w:pPr>
      <w:r>
        <w:rPr>
          <w:rFonts w:hint="eastAsia" w:ascii="宋体" w:hAnsi="宋体" w:eastAsia="宋体" w:cs="宋体"/>
          <w:b/>
          <w:sz w:val="24"/>
        </w:rPr>
        <w:t>（四）</w:t>
      </w:r>
      <w:r>
        <w:rPr>
          <w:rFonts w:hint="eastAsia" w:ascii="宋体" w:hAnsi="宋体" w:eastAsia="宋体" w:cs="宋体"/>
          <w:b/>
          <w:bCs/>
          <w:sz w:val="24"/>
        </w:rPr>
        <w:t>履职独立性与道德水准</w:t>
      </w:r>
    </w:p>
    <w:p>
      <w:pPr>
        <w:pStyle w:val="25"/>
        <w:keepNext w:val="0"/>
        <w:keepLines w:val="0"/>
        <w:pageBreakBefore w:val="0"/>
        <w:widowControl w:val="0"/>
        <w:kinsoku/>
        <w:wordWrap/>
        <w:overflowPunct/>
        <w:topLinePunct w:val="0"/>
        <w:bidi w:val="0"/>
        <w:snapToGrid w:val="0"/>
        <w:spacing w:line="360" w:lineRule="auto"/>
        <w:ind w:firstLine="480"/>
        <w:textAlignment w:val="auto"/>
        <w:rPr>
          <w:rFonts w:hint="eastAsia" w:ascii="宋体" w:hAnsi="宋体" w:eastAsia="宋体" w:cs="宋体"/>
          <w:sz w:val="24"/>
        </w:rPr>
      </w:pPr>
      <w:r>
        <w:rPr>
          <w:rFonts w:hint="eastAsia" w:ascii="宋体" w:hAnsi="宋体" w:eastAsia="宋体" w:cs="宋体"/>
          <w:sz w:val="24"/>
        </w:rPr>
        <w:t>在履职过程中，全体董事能够坚持高标准的职业道德准则，不受主要股东和内部人控制或干预，独立自主地履行职责，公平对待全体股东、维护利益相关者的合法权益、积极履行社会责任。</w:t>
      </w:r>
    </w:p>
    <w:p>
      <w:pPr>
        <w:pStyle w:val="25"/>
        <w:keepNext w:val="0"/>
        <w:keepLines w:val="0"/>
        <w:pageBreakBefore w:val="0"/>
        <w:widowControl w:val="0"/>
        <w:kinsoku/>
        <w:wordWrap/>
        <w:overflowPunct/>
        <w:topLinePunct w:val="0"/>
        <w:bidi w:val="0"/>
        <w:snapToGrid w:val="0"/>
        <w:spacing w:line="360" w:lineRule="auto"/>
        <w:ind w:firstLine="482"/>
        <w:textAlignment w:val="auto"/>
        <w:rPr>
          <w:rFonts w:hint="eastAsia" w:ascii="宋体" w:hAnsi="宋体" w:eastAsia="宋体" w:cs="宋体"/>
          <w:b/>
          <w:bCs/>
          <w:sz w:val="24"/>
        </w:rPr>
      </w:pPr>
      <w:r>
        <w:rPr>
          <w:rFonts w:hint="eastAsia" w:ascii="宋体" w:hAnsi="宋体" w:eastAsia="宋体" w:cs="宋体"/>
          <w:b/>
          <w:bCs/>
          <w:sz w:val="24"/>
        </w:rPr>
        <w:t>（五）履职合规性</w:t>
      </w:r>
    </w:p>
    <w:p>
      <w:pPr>
        <w:pStyle w:val="25"/>
        <w:keepNext w:val="0"/>
        <w:keepLines w:val="0"/>
        <w:pageBreakBefore w:val="0"/>
        <w:widowControl w:val="0"/>
        <w:kinsoku/>
        <w:wordWrap/>
        <w:overflowPunct/>
        <w:topLinePunct w:val="0"/>
        <w:bidi w:val="0"/>
        <w:snapToGrid w:val="0"/>
        <w:spacing w:line="360" w:lineRule="auto"/>
        <w:ind w:firstLine="480"/>
        <w:textAlignment w:val="auto"/>
        <w:rPr>
          <w:rFonts w:hint="eastAsia" w:ascii="宋体" w:hAnsi="宋体" w:eastAsia="宋体" w:cs="宋体"/>
          <w:sz w:val="24"/>
        </w:rPr>
      </w:pPr>
      <w:r>
        <w:rPr>
          <w:rFonts w:hint="eastAsia" w:ascii="宋体" w:hAnsi="宋体" w:eastAsia="宋体" w:cs="宋体"/>
          <w:sz w:val="24"/>
        </w:rPr>
        <w:t>2021年，全体董事能够遵守法律法规、监管规定及《公司章程》，持续规范自身履职行为，依法合规履行相应的职责，积极促进董事会不断提高决策的科学性和有效性，对公司推进战略规划落地、进一步完善公司治理结构、提高经营管理水平、保护投资者合法权益发挥了积极作用。</w:t>
      </w:r>
    </w:p>
    <w:p>
      <w:pPr>
        <w:keepNext w:val="0"/>
        <w:keepLines w:val="0"/>
        <w:pageBreakBefore w:val="0"/>
        <w:widowControl w:val="0"/>
        <w:kinsoku/>
        <w:wordWrap/>
        <w:overflowPunct/>
        <w:topLinePunct w:val="0"/>
        <w:bidi w:val="0"/>
        <w:snapToGrid w:val="0"/>
        <w:spacing w:line="360" w:lineRule="auto"/>
        <w:ind w:firstLine="482" w:firstLineChars="200"/>
        <w:textAlignment w:val="auto"/>
        <w:rPr>
          <w:rFonts w:hint="eastAsia" w:ascii="宋体" w:hAnsi="宋体" w:eastAsia="宋体" w:cs="宋体"/>
          <w:b/>
          <w:bCs/>
          <w:sz w:val="24"/>
        </w:rPr>
      </w:pPr>
      <w:r>
        <w:rPr>
          <w:rFonts w:hint="eastAsia" w:ascii="宋体" w:hAnsi="宋体" w:eastAsia="宋体" w:cs="宋体"/>
          <w:b/>
          <w:bCs/>
          <w:sz w:val="24"/>
        </w:rPr>
        <w:t>监事会认为：</w:t>
      </w:r>
    </w:p>
    <w:p>
      <w:pPr>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2021年，公司执行董事能团结带领经营班子全体成员，深入落实股东大会、董事会工作要求，完整、真实、及时地向董事会报告本行经营情况及相关信息，保证董事会及其成员充分了解本行运行状况，取得了好于预期的经营业绩，确保董事会制定的任务圆满完成；非执行董事能重点关注高级管理层对董事会决议的落实情况以及股东与本行的关联交易情况，并做好本行与股东之间的沟通工作；独立董事未受主要股东和内部人控制或干预，独立自主决策、履职，注重维护存款人和中小股东权益，并按照有关规定对重大决策事项发表独立意见，未发现独立董事存在法律、法规及</w:t>
      </w:r>
      <w:r>
        <w:rPr>
          <w:rFonts w:hint="eastAsia" w:ascii="宋体" w:hAnsi="宋体" w:eastAsia="宋体" w:cs="宋体"/>
          <w:sz w:val="24"/>
          <w:lang w:eastAsia="zh-CN"/>
        </w:rPr>
        <w:t>《</w:t>
      </w:r>
      <w:r>
        <w:rPr>
          <w:rFonts w:hint="eastAsia" w:ascii="宋体" w:hAnsi="宋体" w:eastAsia="宋体" w:cs="宋体"/>
          <w:sz w:val="24"/>
          <w:lang w:val="en-US" w:eastAsia="zh-CN"/>
        </w:rPr>
        <w:t>公司章程</w:t>
      </w:r>
      <w:r>
        <w:rPr>
          <w:rFonts w:hint="eastAsia" w:ascii="宋体" w:hAnsi="宋体" w:eastAsia="宋体" w:cs="宋体"/>
          <w:sz w:val="24"/>
          <w:lang w:eastAsia="zh-CN"/>
        </w:rPr>
        <w:t>》</w:t>
      </w:r>
      <w:r>
        <w:rPr>
          <w:rFonts w:hint="eastAsia" w:ascii="宋体" w:hAnsi="宋体" w:eastAsia="宋体" w:cs="宋体"/>
          <w:sz w:val="24"/>
        </w:rPr>
        <w:t>规定的不得或不适合继续担任独立董事的情形。</w:t>
      </w:r>
    </w:p>
    <w:p>
      <w:pPr>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对照董事履职评价标准，公司董事2021年履职评价结果如下：</w:t>
      </w:r>
    </w:p>
    <w:tbl>
      <w:tblPr>
        <w:tblStyle w:val="13"/>
        <w:tblW w:w="8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6"/>
        <w:gridCol w:w="2594"/>
        <w:gridCol w:w="1546"/>
        <w:gridCol w:w="2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shd w:val="clear" w:color="auto" w:fill="C0C0C0"/>
            <w:noWrap w:val="0"/>
            <w:vAlign w:val="top"/>
          </w:tcPr>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outlineLvl w:val="0"/>
              <w:rPr>
                <w:rFonts w:hint="eastAsia" w:ascii="宋体" w:hAnsi="宋体" w:eastAsia="宋体" w:cs="宋体"/>
                <w:b/>
                <w:sz w:val="24"/>
              </w:rPr>
            </w:pPr>
            <w:r>
              <w:rPr>
                <w:rFonts w:hint="eastAsia" w:ascii="宋体" w:hAnsi="宋体" w:eastAsia="宋体" w:cs="宋体"/>
                <w:b/>
                <w:sz w:val="24"/>
              </w:rPr>
              <w:t>董事姓名</w:t>
            </w:r>
          </w:p>
        </w:tc>
        <w:tc>
          <w:tcPr>
            <w:tcW w:w="2594" w:type="dxa"/>
            <w:shd w:val="clear" w:color="auto" w:fill="C0C0C0"/>
            <w:noWrap w:val="0"/>
            <w:vAlign w:val="top"/>
          </w:tcPr>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outlineLvl w:val="0"/>
              <w:rPr>
                <w:rFonts w:hint="eastAsia" w:ascii="宋体" w:hAnsi="宋体" w:eastAsia="宋体" w:cs="宋体"/>
                <w:b/>
                <w:sz w:val="24"/>
              </w:rPr>
            </w:pPr>
            <w:r>
              <w:rPr>
                <w:rFonts w:hint="eastAsia" w:ascii="宋体" w:hAnsi="宋体" w:eastAsia="宋体" w:cs="宋体"/>
                <w:b/>
                <w:sz w:val="24"/>
              </w:rPr>
              <w:t>履职评价结果</w:t>
            </w:r>
          </w:p>
        </w:tc>
        <w:tc>
          <w:tcPr>
            <w:tcW w:w="1546" w:type="dxa"/>
            <w:shd w:val="clear" w:color="auto" w:fill="C0C0C0"/>
            <w:noWrap w:val="0"/>
            <w:vAlign w:val="top"/>
          </w:tcPr>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outlineLvl w:val="0"/>
              <w:rPr>
                <w:rFonts w:hint="eastAsia" w:ascii="宋体" w:hAnsi="宋体" w:eastAsia="宋体" w:cs="宋体"/>
                <w:b/>
                <w:sz w:val="24"/>
              </w:rPr>
            </w:pPr>
            <w:r>
              <w:rPr>
                <w:rFonts w:hint="eastAsia" w:ascii="宋体" w:hAnsi="宋体" w:eastAsia="宋体" w:cs="宋体"/>
                <w:b/>
                <w:sz w:val="24"/>
              </w:rPr>
              <w:t>董事姓名</w:t>
            </w:r>
          </w:p>
        </w:tc>
        <w:tc>
          <w:tcPr>
            <w:tcW w:w="2952" w:type="dxa"/>
            <w:shd w:val="clear" w:color="auto" w:fill="C0C0C0"/>
            <w:noWrap w:val="0"/>
            <w:vAlign w:val="top"/>
          </w:tcPr>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outlineLvl w:val="0"/>
              <w:rPr>
                <w:rFonts w:hint="eastAsia" w:ascii="宋体" w:hAnsi="宋体" w:eastAsia="宋体" w:cs="宋体"/>
                <w:b/>
                <w:sz w:val="24"/>
              </w:rPr>
            </w:pPr>
            <w:r>
              <w:rPr>
                <w:rFonts w:hint="eastAsia" w:ascii="宋体" w:hAnsi="宋体" w:eastAsia="宋体" w:cs="宋体"/>
                <w:b/>
                <w:sz w:val="24"/>
              </w:rPr>
              <w:t>履职评价结果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66"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吴世群</w:t>
            </w:r>
          </w:p>
        </w:tc>
        <w:tc>
          <w:tcPr>
            <w:tcW w:w="2594"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称职</w:t>
            </w:r>
          </w:p>
        </w:tc>
        <w:tc>
          <w:tcPr>
            <w:tcW w:w="1546"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汤琼兰</w:t>
            </w:r>
          </w:p>
        </w:tc>
        <w:tc>
          <w:tcPr>
            <w:tcW w:w="2952"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称职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檀庄龙</w:t>
            </w:r>
          </w:p>
        </w:tc>
        <w:tc>
          <w:tcPr>
            <w:tcW w:w="2594"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rPr>
            </w:pPr>
            <w:r>
              <w:rPr>
                <w:rFonts w:hint="eastAsia" w:ascii="宋体" w:hAnsi="宋体" w:eastAsia="宋体" w:cs="宋体"/>
                <w:sz w:val="24"/>
              </w:rPr>
              <w:t>称职</w:t>
            </w:r>
          </w:p>
        </w:tc>
        <w:tc>
          <w:tcPr>
            <w:tcW w:w="1546"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宁向东</w:t>
            </w:r>
          </w:p>
        </w:tc>
        <w:tc>
          <w:tcPr>
            <w:tcW w:w="2952"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称职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洪主民</w:t>
            </w:r>
          </w:p>
        </w:tc>
        <w:tc>
          <w:tcPr>
            <w:tcW w:w="2594"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rPr>
            </w:pPr>
            <w:r>
              <w:rPr>
                <w:rFonts w:hint="eastAsia" w:ascii="宋体" w:hAnsi="宋体" w:eastAsia="宋体" w:cs="宋体"/>
                <w:sz w:val="24"/>
              </w:rPr>
              <w:t>称职</w:t>
            </w:r>
          </w:p>
        </w:tc>
        <w:tc>
          <w:tcPr>
            <w:tcW w:w="1546"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戴亦一</w:t>
            </w:r>
          </w:p>
        </w:tc>
        <w:tc>
          <w:tcPr>
            <w:tcW w:w="2952"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称职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吴昕颢</w:t>
            </w:r>
          </w:p>
        </w:tc>
        <w:tc>
          <w:tcPr>
            <w:tcW w:w="2594"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rPr>
            </w:pPr>
            <w:r>
              <w:rPr>
                <w:rFonts w:hint="eastAsia" w:ascii="宋体" w:hAnsi="宋体" w:eastAsia="宋体" w:cs="宋体"/>
                <w:sz w:val="24"/>
              </w:rPr>
              <w:t>称职</w:t>
            </w:r>
          </w:p>
        </w:tc>
        <w:tc>
          <w:tcPr>
            <w:tcW w:w="1546"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谢德仁</w:t>
            </w:r>
          </w:p>
        </w:tc>
        <w:tc>
          <w:tcPr>
            <w:tcW w:w="2952"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称职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毛建忠</w:t>
            </w:r>
          </w:p>
        </w:tc>
        <w:tc>
          <w:tcPr>
            <w:tcW w:w="2594"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rPr>
            </w:pPr>
            <w:r>
              <w:rPr>
                <w:rFonts w:hint="eastAsia" w:ascii="宋体" w:hAnsi="宋体" w:eastAsia="宋体" w:cs="宋体"/>
                <w:sz w:val="24"/>
              </w:rPr>
              <w:t>称职</w:t>
            </w:r>
          </w:p>
        </w:tc>
        <w:tc>
          <w:tcPr>
            <w:tcW w:w="1546"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聂秀峰</w:t>
            </w:r>
          </w:p>
        </w:tc>
        <w:tc>
          <w:tcPr>
            <w:tcW w:w="2952"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称职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周永伟</w:t>
            </w:r>
          </w:p>
        </w:tc>
        <w:tc>
          <w:tcPr>
            <w:tcW w:w="2594"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rPr>
            </w:pPr>
            <w:r>
              <w:rPr>
                <w:rFonts w:hint="eastAsia" w:ascii="宋体" w:hAnsi="宋体" w:eastAsia="宋体" w:cs="宋体"/>
                <w:sz w:val="24"/>
              </w:rPr>
              <w:t>称职</w:t>
            </w:r>
          </w:p>
        </w:tc>
        <w:tc>
          <w:tcPr>
            <w:tcW w:w="1546"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陈  欣</w:t>
            </w:r>
          </w:p>
        </w:tc>
        <w:tc>
          <w:tcPr>
            <w:tcW w:w="2952"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称职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庄赛春</w:t>
            </w:r>
          </w:p>
        </w:tc>
        <w:tc>
          <w:tcPr>
            <w:tcW w:w="2594"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rPr>
            </w:pPr>
            <w:r>
              <w:rPr>
                <w:rFonts w:hint="eastAsia" w:ascii="宋体" w:hAnsi="宋体" w:eastAsia="宋体" w:cs="宋体"/>
                <w:sz w:val="24"/>
              </w:rPr>
              <w:t>称职</w:t>
            </w:r>
          </w:p>
        </w:tc>
        <w:tc>
          <w:tcPr>
            <w:tcW w:w="1546" w:type="dxa"/>
            <w:noWrap w:val="0"/>
            <w:vAlign w:val="center"/>
          </w:tcPr>
          <w:p>
            <w:pPr>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w:t>
            </w:r>
          </w:p>
        </w:tc>
        <w:tc>
          <w:tcPr>
            <w:tcW w:w="2952"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rPr>
            </w:pPr>
            <w:r>
              <w:rPr>
                <w:rFonts w:hint="eastAsia" w:ascii="宋体" w:hAnsi="宋体" w:eastAsia="宋体" w:cs="宋体"/>
                <w:sz w:val="24"/>
              </w:rPr>
              <w:t>—</w:t>
            </w:r>
          </w:p>
        </w:tc>
      </w:tr>
    </w:tbl>
    <w:p>
      <w:pPr>
        <w:pStyle w:val="19"/>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lang w:val="en-US" w:eastAsia="zh-CN"/>
        </w:rPr>
      </w:pPr>
    </w:p>
    <w:p>
      <w:pPr>
        <w:pStyle w:val="19"/>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lang w:val="en-US" w:eastAsia="zh-CN"/>
        </w:rPr>
      </w:pPr>
    </w:p>
    <w:p>
      <w:pPr>
        <w:pStyle w:val="19"/>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szCs w:val="20"/>
          <w:lang w:val="en-US" w:eastAsia="zh-CN"/>
        </w:rPr>
      </w:pPr>
      <w:r>
        <w:rPr>
          <w:rFonts w:hint="eastAsia" w:ascii="宋体" w:hAnsi="宋体" w:eastAsia="宋体" w:cs="宋体"/>
          <w:sz w:val="24"/>
        </w:rPr>
        <w:t>本议案已经第八届监事会第</w:t>
      </w:r>
      <w:r>
        <w:rPr>
          <w:rFonts w:hint="eastAsia" w:ascii="宋体" w:hAnsi="宋体" w:eastAsia="宋体" w:cs="宋体"/>
          <w:sz w:val="24"/>
          <w:lang w:val="en-US" w:eastAsia="zh-CN"/>
        </w:rPr>
        <w:t>十二</w:t>
      </w:r>
      <w:r>
        <w:rPr>
          <w:rFonts w:hint="eastAsia" w:ascii="宋体" w:hAnsi="宋体" w:eastAsia="宋体" w:cs="宋体"/>
          <w:sz w:val="24"/>
        </w:rPr>
        <w:t>次会议审议通过。</w:t>
      </w:r>
      <w:r>
        <w:rPr>
          <w:rFonts w:hint="eastAsia" w:ascii="宋体" w:hAnsi="宋体" w:eastAsia="宋体" w:cs="宋体"/>
          <w:sz w:val="24"/>
          <w:lang w:val="en-US" w:eastAsia="zh-CN"/>
        </w:rPr>
        <w:t>特此报告。</w:t>
      </w:r>
    </w:p>
    <w:p>
      <w:pPr>
        <w:pStyle w:val="19"/>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szCs w:val="20"/>
        </w:rPr>
      </w:pPr>
    </w:p>
    <w:p>
      <w:pPr>
        <w:pStyle w:val="19"/>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szCs w:val="20"/>
        </w:rPr>
      </w:pPr>
    </w:p>
    <w:p>
      <w:pPr>
        <w:pStyle w:val="7"/>
        <w:keepNext w:val="0"/>
        <w:keepLines w:val="0"/>
        <w:pageBreakBefore w:val="0"/>
        <w:widowControl w:val="0"/>
        <w:kinsoku/>
        <w:wordWrap/>
        <w:overflowPunct/>
        <w:topLinePunct w:val="0"/>
        <w:bidi w:val="0"/>
        <w:snapToGrid w:val="0"/>
        <w:spacing w:line="360" w:lineRule="auto"/>
        <w:ind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厦门银行股份有限公司</w:t>
      </w:r>
    </w:p>
    <w:p>
      <w:pPr>
        <w:pStyle w:val="7"/>
        <w:keepNext w:val="0"/>
        <w:keepLines w:val="0"/>
        <w:pageBreakBefore w:val="0"/>
        <w:widowControl w:val="0"/>
        <w:kinsoku/>
        <w:wordWrap/>
        <w:overflowPunct/>
        <w:topLinePunct w:val="0"/>
        <w:bidi w:val="0"/>
        <w:snapToGrid w:val="0"/>
        <w:spacing w:line="360" w:lineRule="auto"/>
        <w:ind w:firstLine="480" w:firstLineChars="200"/>
        <w:jc w:val="right"/>
        <w:textAlignment w:val="auto"/>
        <w:rPr>
          <w:rFonts w:hint="eastAsia"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2</w:t>
      </w:r>
      <w:r>
        <w:rPr>
          <w:rFonts w:hint="eastAsia" w:ascii="宋体" w:hAnsi="宋体" w:eastAsia="宋体" w:cs="宋体"/>
          <w:sz w:val="24"/>
          <w:szCs w:val="24"/>
        </w:rPr>
        <w:t>年</w:t>
      </w:r>
      <w:r>
        <w:rPr>
          <w:rFonts w:hint="eastAsia" w:ascii="宋体" w:hAnsi="宋体" w:eastAsia="宋体" w:cs="宋体"/>
          <w:sz w:val="24"/>
          <w:szCs w:val="24"/>
          <w:lang w:val="en-US" w:eastAsia="zh-CN"/>
        </w:rPr>
        <w:t>6</w:t>
      </w:r>
      <w:r>
        <w:rPr>
          <w:rFonts w:hint="eastAsia" w:ascii="宋体" w:hAnsi="宋体" w:eastAsia="宋体" w:cs="宋体"/>
          <w:sz w:val="24"/>
          <w:szCs w:val="24"/>
        </w:rPr>
        <w:t>月</w:t>
      </w:r>
      <w:r>
        <w:rPr>
          <w:rFonts w:hint="eastAsia" w:ascii="宋体" w:hAnsi="宋体" w:eastAsia="宋体" w:cs="宋体"/>
          <w:sz w:val="24"/>
          <w:szCs w:val="24"/>
          <w:lang w:val="en-US" w:eastAsia="zh-CN"/>
        </w:rPr>
        <w:t>2</w:t>
      </w:r>
      <w:r>
        <w:rPr>
          <w:rFonts w:hint="eastAsia" w:ascii="宋体" w:hAnsi="宋体" w:eastAsia="宋体" w:cs="宋体"/>
          <w:sz w:val="24"/>
          <w:szCs w:val="24"/>
        </w:rPr>
        <w:t>日</w:t>
      </w:r>
    </w:p>
    <w:p>
      <w:pPr>
        <w:rPr>
          <w:rFonts w:hint="eastAsia" w:hAnsi="宋体" w:eastAsia="宋体" w:cs="宋体"/>
          <w:sz w:val="24"/>
          <w:szCs w:val="24"/>
        </w:rPr>
      </w:pPr>
      <w:r>
        <w:rPr>
          <w:rFonts w:hint="eastAsia" w:hAnsi="宋体" w:eastAsia="宋体" w:cs="宋体"/>
          <w:sz w:val="24"/>
          <w:szCs w:val="24"/>
        </w:rPr>
        <w:br w:type="page"/>
      </w:r>
    </w:p>
    <w:p>
      <w:pPr>
        <w:pStyle w:val="19"/>
      </w:pPr>
    </w:p>
    <w:p>
      <w:pPr>
        <w:spacing w:line="360" w:lineRule="auto"/>
        <w:jc w:val="center"/>
        <w:rPr>
          <w:rFonts w:ascii="宋体" w:hAnsi="宋体" w:eastAsia="宋体" w:cs="宋体"/>
          <w:b/>
          <w:bCs/>
          <w:sz w:val="28"/>
          <w:szCs w:val="36"/>
        </w:rPr>
      </w:pPr>
      <w:r>
        <w:rPr>
          <w:rFonts w:hint="eastAsia" w:ascii="宋体" w:hAnsi="宋体" w:eastAsia="宋体" w:cs="宋体"/>
          <w:b/>
          <w:bCs/>
          <w:color w:val="000000"/>
          <w:sz w:val="30"/>
          <w:szCs w:val="30"/>
        </w:rPr>
        <mc:AlternateContent>
          <mc:Choice Requires="wps">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494915" cy="676275"/>
                <wp:effectExtent l="5080" t="4445" r="14605" b="5080"/>
                <wp:wrapNone/>
                <wp:docPr id="20" name="文本框 3"/>
                <wp:cNvGraphicFramePr/>
                <a:graphic xmlns:a="http://schemas.openxmlformats.org/drawingml/2006/main">
                  <a:graphicData uri="http://schemas.microsoft.com/office/word/2010/wordprocessingShape">
                    <wps:wsp>
                      <wps:cNvSpPr txBox="1"/>
                      <wps:spPr>
                        <a:xfrm>
                          <a:off x="0" y="0"/>
                          <a:ext cx="2494915" cy="676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lang w:val="en-US" w:eastAsia="zh-CN"/>
                              </w:rPr>
                              <w:t>报告4</w:t>
                            </w:r>
                          </w:p>
                        </w:txbxContent>
                      </wps:txbx>
                      <wps:bodyPr wrap="square" upright="1"/>
                    </wps:wsp>
                  </a:graphicData>
                </a:graphic>
              </wp:anchor>
            </w:drawing>
          </mc:Choice>
          <mc:Fallback>
            <w:pict>
              <v:shape id="文本框 3" o:spid="_x0000_s1026" o:spt="202" type="#_x0000_t202" style="position:absolute;left:0pt;margin-left:0pt;margin-top:0pt;height:53.25pt;width:196.45pt;z-index:251678720;mso-width-relative:page;mso-height-relative:page;" fillcolor="#FFFFFF" filled="t" stroked="t" coordsize="21600,21600" o:gfxdata="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hXBbWAAAABQEAAA8AAAAAAAAAAQAgAAAAIgAAAGRycy9kb3ducmV2Lnht&#10;bFBLAQIUABQAAAAIAIdO4kApobz3+wEAAPcDAAAOAAAAAAAAAAEAIAAAACUBAABkcnMvZTJvRG9j&#10;LnhtbFBLBQYAAAAABgAGAFkBAACSBQ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lang w:val="en-US" w:eastAsia="zh-CN"/>
                        </w:rPr>
                        <w:t>报告4</w:t>
                      </w:r>
                    </w:p>
                  </w:txbxContent>
                </v:textbox>
              </v:shape>
            </w:pict>
          </mc:Fallback>
        </mc:AlternateContent>
      </w:r>
    </w:p>
    <w:p>
      <w:pPr>
        <w:spacing w:line="360" w:lineRule="auto"/>
        <w:jc w:val="center"/>
        <w:rPr>
          <w:rFonts w:ascii="宋体" w:hAnsi="宋体" w:eastAsia="宋体" w:cs="宋体"/>
          <w:b/>
          <w:bCs/>
          <w:sz w:val="28"/>
          <w:szCs w:val="36"/>
        </w:rPr>
      </w:pPr>
    </w:p>
    <w:p>
      <w:pPr>
        <w:spacing w:line="360" w:lineRule="auto"/>
        <w:jc w:val="center"/>
        <w:outlineLvl w:val="0"/>
        <w:rPr>
          <w:rFonts w:hint="eastAsia" w:ascii="宋体" w:hAnsi="宋体" w:eastAsia="宋体" w:cs="宋体"/>
          <w:b/>
          <w:bCs/>
          <w:sz w:val="28"/>
          <w:szCs w:val="36"/>
        </w:rPr>
      </w:pPr>
      <w:r>
        <w:rPr>
          <w:rFonts w:hint="eastAsia" w:ascii="宋体" w:hAnsi="宋体" w:eastAsia="宋体" w:cs="宋体"/>
          <w:b/>
          <w:bCs/>
          <w:sz w:val="28"/>
          <w:szCs w:val="36"/>
        </w:rPr>
        <w:t>厦门银行股份有限公司</w:t>
      </w:r>
    </w:p>
    <w:p>
      <w:pPr>
        <w:spacing w:line="360" w:lineRule="auto"/>
        <w:jc w:val="center"/>
        <w:outlineLvl w:val="0"/>
        <w:rPr>
          <w:rFonts w:ascii="宋体" w:hAnsi="宋体" w:eastAsia="宋体" w:cs="宋体"/>
          <w:bCs/>
          <w:color w:val="000000"/>
          <w:kern w:val="36"/>
          <w:sz w:val="24"/>
        </w:rPr>
      </w:pPr>
      <w:r>
        <w:rPr>
          <w:rFonts w:hint="eastAsia" w:ascii="宋体" w:hAnsi="宋体" w:eastAsia="宋体" w:cs="宋体"/>
          <w:b/>
          <w:bCs/>
          <w:sz w:val="28"/>
          <w:szCs w:val="36"/>
        </w:rPr>
        <w:t>2021年度高级管理层及其成员履职评价报告</w:t>
      </w:r>
    </w:p>
    <w:p>
      <w:pPr>
        <w:snapToGrid w:val="0"/>
        <w:spacing w:line="360" w:lineRule="auto"/>
        <w:rPr>
          <w:rFonts w:hint="eastAsia" w:ascii="宋体" w:hAnsi="宋体" w:eastAsia="宋体" w:cs="宋体"/>
          <w:bCs/>
          <w:color w:val="000000"/>
          <w:kern w:val="36"/>
          <w:sz w:val="24"/>
        </w:rPr>
      </w:pPr>
    </w:p>
    <w:p>
      <w:pPr>
        <w:snapToGrid w:val="0"/>
        <w:spacing w:line="360" w:lineRule="auto"/>
        <w:rPr>
          <w:rFonts w:hint="eastAsia" w:ascii="宋体" w:hAnsi="宋体" w:eastAsia="宋体" w:cs="宋体"/>
          <w:sz w:val="24"/>
          <w:szCs w:val="24"/>
        </w:rPr>
      </w:pPr>
      <w:r>
        <w:rPr>
          <w:rFonts w:hint="eastAsia" w:ascii="宋体" w:hAnsi="宋体" w:eastAsia="宋体" w:cs="宋体"/>
          <w:bCs/>
          <w:color w:val="000000"/>
          <w:kern w:val="36"/>
          <w:sz w:val="24"/>
          <w:szCs w:val="24"/>
        </w:rPr>
        <w:t>尊敬的各位</w:t>
      </w:r>
      <w:r>
        <w:rPr>
          <w:rFonts w:hint="eastAsia" w:ascii="宋体" w:hAnsi="宋体" w:eastAsia="宋体" w:cs="宋体"/>
          <w:sz w:val="24"/>
          <w:szCs w:val="24"/>
        </w:rPr>
        <w:t>股东</w:t>
      </w:r>
      <w:r>
        <w:rPr>
          <w:rFonts w:hint="eastAsia" w:ascii="宋体" w:hAnsi="宋体" w:eastAsia="宋体" w:cs="宋体"/>
          <w:bCs/>
          <w:color w:val="000000"/>
          <w:kern w:val="36"/>
          <w:sz w:val="24"/>
          <w:szCs w:val="24"/>
        </w:rPr>
        <w:t>：</w:t>
      </w:r>
    </w:p>
    <w:p>
      <w:pPr>
        <w:snapToGrid w:val="0"/>
        <w:spacing w:line="360" w:lineRule="auto"/>
        <w:ind w:firstLine="555"/>
        <w:rPr>
          <w:rFonts w:hint="eastAsia" w:ascii="宋体" w:hAnsi="宋体" w:eastAsia="宋体" w:cs="宋体"/>
          <w:sz w:val="24"/>
          <w:szCs w:val="24"/>
        </w:rPr>
      </w:pPr>
      <w:r>
        <w:rPr>
          <w:rFonts w:hint="eastAsia" w:ascii="宋体" w:hAnsi="宋体" w:eastAsia="宋体" w:cs="宋体"/>
          <w:sz w:val="24"/>
          <w:szCs w:val="24"/>
        </w:rPr>
        <w:t>根据中国银保监会《银行保险机构公司治理准则》《商业银行监事会工作指引》以及《厦门银行股份有限公司高级管理层及其成员履职评价办法》（下称“《履职评价办法》”）的规定，</w:t>
      </w:r>
      <w:r>
        <w:rPr>
          <w:rFonts w:hint="eastAsia" w:ascii="宋体" w:hAnsi="宋体" w:eastAsia="宋体" w:cs="宋体"/>
          <w:sz w:val="24"/>
          <w:szCs w:val="24"/>
          <w:lang w:val="en-US" w:eastAsia="zh-CN"/>
        </w:rPr>
        <w:t>本行</w:t>
      </w:r>
      <w:r>
        <w:rPr>
          <w:rFonts w:hint="eastAsia" w:ascii="宋体" w:hAnsi="宋体" w:eastAsia="宋体" w:cs="宋体"/>
          <w:sz w:val="24"/>
          <w:szCs w:val="24"/>
        </w:rPr>
        <w:t>监事会于2022年1月至4月组织开展了高级管理层及其成员2021年度履职评价工作，现将有关情况报告如下：</w:t>
      </w:r>
    </w:p>
    <w:p>
      <w:pPr>
        <w:pStyle w:val="25"/>
        <w:snapToGrid w:val="0"/>
        <w:spacing w:line="360" w:lineRule="auto"/>
        <w:ind w:left="556" w:firstLine="0" w:firstLineChars="0"/>
        <w:rPr>
          <w:rFonts w:hint="eastAsia" w:ascii="宋体" w:hAnsi="宋体" w:eastAsia="宋体" w:cs="宋体"/>
          <w:b/>
          <w:sz w:val="24"/>
          <w:szCs w:val="24"/>
        </w:rPr>
      </w:pPr>
      <w:r>
        <w:rPr>
          <w:rFonts w:hint="eastAsia" w:ascii="宋体" w:hAnsi="宋体" w:eastAsia="宋体" w:cs="宋体"/>
          <w:b/>
          <w:sz w:val="24"/>
          <w:szCs w:val="24"/>
        </w:rPr>
        <w:t>一、履职评价工作开展情况</w:t>
      </w:r>
    </w:p>
    <w:p>
      <w:pPr>
        <w:pStyle w:val="25"/>
        <w:snapToGrid w:val="0"/>
        <w:spacing w:line="360" w:lineRule="auto"/>
        <w:ind w:left="556" w:firstLine="0" w:firstLineChars="0"/>
        <w:rPr>
          <w:rFonts w:hint="eastAsia" w:ascii="宋体" w:hAnsi="宋体" w:eastAsia="宋体" w:cs="宋体"/>
          <w:b/>
          <w:sz w:val="24"/>
          <w:szCs w:val="24"/>
        </w:rPr>
      </w:pPr>
      <w:r>
        <w:rPr>
          <w:rFonts w:hint="eastAsia" w:ascii="宋体" w:hAnsi="宋体" w:eastAsia="宋体" w:cs="宋体"/>
          <w:b/>
          <w:sz w:val="24"/>
          <w:szCs w:val="24"/>
        </w:rPr>
        <w:t>（一）履职评价对象及内容</w:t>
      </w:r>
    </w:p>
    <w:p>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履职评价对象为本行第八届高级管理层及其成员。对高级管理层履职评价的重点是高管层运作的规范性和有效性以及年度经营指标达成情况等方面；对高级管理人员履职评价主要包括履行忠实义务、履行勤勉义务、履职专业性、履职独立性与道德水准、履职合规性五个维度，重点关注高级管理人员的日常履职行为。</w:t>
      </w:r>
    </w:p>
    <w:p>
      <w:pPr>
        <w:pStyle w:val="25"/>
        <w:snapToGrid w:val="0"/>
        <w:spacing w:line="360" w:lineRule="auto"/>
        <w:ind w:left="556" w:firstLine="0" w:firstLineChars="0"/>
        <w:rPr>
          <w:rFonts w:hint="eastAsia" w:ascii="宋体" w:hAnsi="宋体" w:eastAsia="宋体" w:cs="宋体"/>
          <w:b/>
          <w:sz w:val="24"/>
          <w:szCs w:val="24"/>
        </w:rPr>
      </w:pPr>
      <w:r>
        <w:rPr>
          <w:rFonts w:hint="eastAsia" w:ascii="宋体" w:hAnsi="宋体" w:eastAsia="宋体" w:cs="宋体"/>
          <w:b/>
          <w:sz w:val="24"/>
          <w:szCs w:val="24"/>
        </w:rPr>
        <w:t>（二）评价程序和方法</w:t>
      </w:r>
    </w:p>
    <w:p>
      <w:pPr>
        <w:pStyle w:val="25"/>
        <w:snapToGrid w:val="0"/>
        <w:spacing w:line="360" w:lineRule="auto"/>
        <w:ind w:firstLineChars="0"/>
        <w:rPr>
          <w:rFonts w:hint="eastAsia" w:ascii="宋体" w:hAnsi="宋体" w:eastAsia="宋体" w:cs="宋体"/>
          <w:sz w:val="24"/>
          <w:szCs w:val="24"/>
        </w:rPr>
      </w:pPr>
      <w:r>
        <w:rPr>
          <w:rFonts w:hint="eastAsia" w:ascii="宋体" w:hAnsi="宋体" w:eastAsia="宋体" w:cs="宋体"/>
          <w:sz w:val="24"/>
          <w:szCs w:val="24"/>
        </w:rPr>
        <w:t>履职评价由本行监事会组织实施，根据《履职评价办法》等相关规定向高级管理层发出《关于开展2021年度高级管理层及其成员履职评价工作的通知》，请高管层及其成员按照履职评价的要求及相关履职参考材料，客观、公正地做好履职评价自评工作。经过高管自评、高级管理层自评、董事会评价、监事会提名委员会评价环节，监事会结合日常监督和内外部检查情况，对高级管理层及其成员履职情况进行综合评价，并确定总体评价得分和评价等级。</w:t>
      </w:r>
    </w:p>
    <w:p>
      <w:pPr>
        <w:pStyle w:val="25"/>
        <w:snapToGrid w:val="0"/>
        <w:spacing w:line="360" w:lineRule="auto"/>
        <w:ind w:left="556" w:firstLine="0" w:firstLineChars="0"/>
        <w:rPr>
          <w:rFonts w:hint="eastAsia" w:ascii="宋体" w:hAnsi="宋体" w:eastAsia="宋体" w:cs="宋体"/>
          <w:b/>
          <w:sz w:val="24"/>
          <w:szCs w:val="24"/>
        </w:rPr>
      </w:pPr>
      <w:r>
        <w:rPr>
          <w:rFonts w:hint="eastAsia" w:ascii="宋体" w:hAnsi="宋体" w:eastAsia="宋体" w:cs="宋体"/>
          <w:b/>
          <w:sz w:val="24"/>
          <w:szCs w:val="24"/>
        </w:rPr>
        <w:t>二、对高级管理层2021年度履职情况的评价</w:t>
      </w:r>
    </w:p>
    <w:p>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2021年，公司高级管理层认真贯彻执行国家经济金融政策和监管要求，积极落实股东大会、董事会、监事会各项决策决议，勤勉履职，为本公司第五轮三年发展战略规划开局落地工作取得不俗成绩：</w:t>
      </w:r>
    </w:p>
    <w:p>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报告期内，公司资产规模达到3295亿元，同比增长15.55%，实现营业收入53.16亿元，归属于母公司股东的净利润21.69亿元，同比增长18.99%，盈利水平保持稳步提升。面对复杂多变的外部宏观环境，公司高级管理层夕惕若厉、防患未然，加强对各类风险事件的前瞻性研判，持续夯实风险防控基础。2021年，公司整体经营稳健且资产质量扎实，不良贷款率较2021年初下降0.07个百分点至0.91%；风险抵补能力持续增强，拨备覆盖率达到370.64%，较2021年初上升2.61个百分点。</w:t>
      </w:r>
    </w:p>
    <w:p>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2021年，是公司新三年战略规划的首年，公司高级管理层以“做大零售、做强对公、做深两岸、做优资金”为目标，在零售业务方面，坚定推进大零售业务转型，持续打造零售精品银行，客户基础不断夯实，个人贷款实现良好增长，财管业务和理财净值化转型成效显现；在对公业务方面，坚守“聚焦中小”经营定位，践行绿色低碳转型和服务实体经济发展，普惠小微贷款同比增长达29%；在两岸金融业务方面，积极整合资源，优化对台服务组织架构，不断更新产品、优化服务，深化与台资金融机构交流，与台资银行联合为多家台企提供银团贷款服务；在资金业务方面，持续丰富投资品种和业务牌照，在强化自营业务能力的同时，着力打造代客业务能力，加强代客业务团队建设，代客客户和代客业务实现双增长。</w:t>
      </w:r>
    </w:p>
    <w:p>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2021，公司高级管理层始终遵循“风险管理创造价值、全覆盖、独立性、有效性、匹配性”的原则，稳步提升风险管理能力和风险精细化管理水平，不断健全风险管理机制，改进信用风险等传统风险的管理流程，全面落实全流程风险管理，提高风险管控效率；开展风险数据治理与应用场景落地，加强风险管理基础设施建设；建立疫情应对机制，聚焦重点领域潜在风险，提升风险应急管理能力，保障公司各项业务稳健、可持续发展。</w:t>
      </w:r>
    </w:p>
    <w:p>
      <w:pPr>
        <w:snapToGrid w:val="0"/>
        <w:spacing w:line="360" w:lineRule="auto"/>
        <w:ind w:firstLine="482" w:firstLineChars="200"/>
        <w:rPr>
          <w:rFonts w:hint="eastAsia" w:ascii="宋体" w:hAnsi="宋体" w:eastAsia="宋体" w:cs="宋体"/>
          <w:sz w:val="24"/>
          <w:szCs w:val="24"/>
        </w:rPr>
      </w:pPr>
      <w:r>
        <w:rPr>
          <w:rFonts w:hint="eastAsia" w:ascii="宋体" w:hAnsi="宋体" w:eastAsia="宋体" w:cs="宋体"/>
          <w:b/>
          <w:bCs/>
          <w:sz w:val="24"/>
          <w:szCs w:val="24"/>
        </w:rPr>
        <w:t>监事会认为：</w:t>
      </w:r>
      <w:r>
        <w:rPr>
          <w:rFonts w:hint="eastAsia" w:ascii="宋体" w:hAnsi="宋体" w:eastAsia="宋体" w:cs="宋体"/>
          <w:sz w:val="24"/>
          <w:szCs w:val="24"/>
        </w:rPr>
        <w:t>在评价期内，公司高级管理层在经营决策和管理过程中，能够围绕董事会确定的总体工作思路和目标任务，勤勉尽职，依法合规完成法定义务，风险内控管理水平进一步提升，在员工行为管理、洗钱风险管理、流动性风险管理、并表管理、案件防控、数据治理、关联交易管理、信息披露和消费者权益保护等方面充分履职尽责，发挥积极作用。未发现高级管理层在重要财务决策和执行情况等方面存在问题，未发现高级管理层有违反法律、法规及本行《公司章程》等行为。</w:t>
      </w:r>
    </w:p>
    <w:p>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对照高级管理层</w:t>
      </w:r>
      <w:r>
        <w:rPr>
          <w:rFonts w:hint="eastAsia" w:ascii="宋体" w:hAnsi="宋体" w:eastAsia="宋体" w:cs="宋体"/>
          <w:sz w:val="24"/>
          <w:szCs w:val="24"/>
          <w:lang w:val="en-US" w:eastAsia="zh-CN"/>
        </w:rPr>
        <w:t>履职</w:t>
      </w:r>
      <w:r>
        <w:rPr>
          <w:rFonts w:hint="eastAsia" w:ascii="宋体" w:hAnsi="宋体" w:eastAsia="宋体" w:cs="宋体"/>
          <w:sz w:val="24"/>
          <w:szCs w:val="24"/>
        </w:rPr>
        <w:t>评价标准，公司高级管理层2021年度履职评价结果为：称职。</w:t>
      </w:r>
    </w:p>
    <w:p>
      <w:pPr>
        <w:pStyle w:val="25"/>
        <w:snapToGrid w:val="0"/>
        <w:spacing w:line="360" w:lineRule="auto"/>
        <w:ind w:left="556" w:firstLine="0" w:firstLineChars="0"/>
        <w:rPr>
          <w:rFonts w:hint="eastAsia" w:ascii="宋体" w:hAnsi="宋体" w:eastAsia="宋体" w:cs="宋体"/>
          <w:b/>
          <w:sz w:val="24"/>
          <w:szCs w:val="24"/>
        </w:rPr>
      </w:pPr>
      <w:r>
        <w:rPr>
          <w:rFonts w:hint="eastAsia" w:ascii="宋体" w:hAnsi="宋体" w:eastAsia="宋体" w:cs="宋体"/>
          <w:b/>
          <w:sz w:val="24"/>
          <w:szCs w:val="24"/>
        </w:rPr>
        <w:t>三、对高级管理人员2021年度履职情况的评价</w:t>
      </w:r>
    </w:p>
    <w:p>
      <w:pPr>
        <w:pStyle w:val="25"/>
        <w:snapToGrid w:val="0"/>
        <w:spacing w:line="360" w:lineRule="auto"/>
        <w:ind w:firstLine="482"/>
        <w:rPr>
          <w:rFonts w:hint="eastAsia" w:ascii="宋体" w:hAnsi="宋体" w:eastAsia="宋体" w:cs="宋体"/>
          <w:b/>
          <w:sz w:val="24"/>
          <w:szCs w:val="24"/>
        </w:rPr>
      </w:pPr>
      <w:r>
        <w:rPr>
          <w:rFonts w:hint="eastAsia" w:ascii="宋体" w:hAnsi="宋体" w:eastAsia="宋体" w:cs="宋体"/>
          <w:b/>
          <w:sz w:val="24"/>
          <w:szCs w:val="24"/>
        </w:rPr>
        <w:t>（一）履行忠实义务与勤勉义务</w:t>
      </w:r>
    </w:p>
    <w:p>
      <w:pPr>
        <w:pStyle w:val="25"/>
        <w:snapToGrid w:val="0"/>
        <w:spacing w:line="360" w:lineRule="auto"/>
        <w:ind w:firstLine="480"/>
        <w:rPr>
          <w:rFonts w:hint="eastAsia" w:ascii="宋体" w:hAnsi="宋体" w:eastAsia="宋体" w:cs="宋体"/>
          <w:sz w:val="24"/>
          <w:szCs w:val="24"/>
        </w:rPr>
      </w:pPr>
      <w:r>
        <w:rPr>
          <w:rFonts w:hint="eastAsia" w:ascii="宋体" w:hAnsi="宋体" w:eastAsia="宋体" w:cs="宋体"/>
          <w:sz w:val="24"/>
          <w:szCs w:val="24"/>
        </w:rPr>
        <w:t>2021年，全体高级管理人员能够以公司的最佳利益行事，严格遵守国家有关法律法规和《公司章程》的规定，认真贯彻落实国家金融方针政策和监管要求，主动接受监管部门和公司监事会监督；能依照法律法规和议事规则，按照工作分工，正确行使《公司章程》和董事会所赋予的权利，依法合规履行经营管理职责，尽职尽责，勤勉工作，有效组织公司日常经营管理工作，认真抓好分管业务和相关事务，并按照要求及时向董事会、监事会及其专门委员会报送各类信息，做好工作沟通，较好地发挥了各自的工作积极性和主动性。</w:t>
      </w:r>
    </w:p>
    <w:p>
      <w:pPr>
        <w:pStyle w:val="25"/>
        <w:snapToGrid w:val="0"/>
        <w:spacing w:line="360" w:lineRule="auto"/>
        <w:ind w:firstLine="482"/>
        <w:rPr>
          <w:rFonts w:hint="eastAsia" w:ascii="宋体" w:hAnsi="宋体" w:eastAsia="宋体" w:cs="宋体"/>
          <w:sz w:val="24"/>
          <w:szCs w:val="24"/>
        </w:rPr>
      </w:pPr>
      <w:r>
        <w:rPr>
          <w:rFonts w:hint="eastAsia" w:ascii="宋体" w:hAnsi="宋体" w:eastAsia="宋体" w:cs="宋体"/>
          <w:b/>
          <w:sz w:val="24"/>
          <w:szCs w:val="24"/>
        </w:rPr>
        <w:t>（二）履行专业性与合规性</w:t>
      </w:r>
    </w:p>
    <w:p>
      <w:pPr>
        <w:pStyle w:val="25"/>
        <w:snapToGrid w:val="0"/>
        <w:spacing w:line="360" w:lineRule="auto"/>
        <w:ind w:firstLine="480"/>
        <w:rPr>
          <w:rFonts w:hint="eastAsia" w:ascii="宋体" w:hAnsi="宋体" w:eastAsia="宋体" w:cs="宋体"/>
          <w:sz w:val="24"/>
          <w:szCs w:val="24"/>
        </w:rPr>
      </w:pPr>
      <w:r>
        <w:rPr>
          <w:rFonts w:hint="eastAsia" w:ascii="宋体" w:hAnsi="宋体" w:eastAsia="宋体" w:cs="宋体"/>
          <w:sz w:val="24"/>
          <w:szCs w:val="24"/>
        </w:rPr>
        <w:t>在日常经营管理和决策过程中，全体高管具备处理复杂问题的知识、技能和经验，体现出较强的管理能力和职业素质；积极参加监管机构和公司组织的培训活动，不断加强对有关法律法规、银行业政策与业务及经济形势的学习；结合自身的专业知识、从业经历和工作经验，通过召开各类经营管理性会议，深入研讨全行重要经营管理事项，有效分析宏观经济金融形势、公司经营特点以及各类专题性问题，研究提出科学合理的意见建议，持续规范自身履职行为，依法合规履行相应的职责，实现本行守法合规经营。</w:t>
      </w:r>
    </w:p>
    <w:p>
      <w:pPr>
        <w:pStyle w:val="25"/>
        <w:snapToGrid w:val="0"/>
        <w:spacing w:line="360" w:lineRule="auto"/>
        <w:ind w:firstLine="482"/>
        <w:rPr>
          <w:rFonts w:hint="eastAsia" w:ascii="宋体" w:hAnsi="宋体" w:eastAsia="宋体" w:cs="宋体"/>
          <w:b/>
          <w:bCs/>
          <w:sz w:val="24"/>
          <w:szCs w:val="24"/>
        </w:rPr>
      </w:pPr>
      <w:r>
        <w:rPr>
          <w:rFonts w:hint="eastAsia" w:ascii="宋体" w:hAnsi="宋体" w:eastAsia="宋体" w:cs="宋体"/>
          <w:b/>
          <w:sz w:val="24"/>
          <w:szCs w:val="24"/>
        </w:rPr>
        <w:t>（三）</w:t>
      </w:r>
      <w:r>
        <w:rPr>
          <w:rFonts w:hint="eastAsia" w:ascii="宋体" w:hAnsi="宋体" w:eastAsia="宋体" w:cs="宋体"/>
          <w:b/>
          <w:bCs/>
          <w:sz w:val="24"/>
          <w:szCs w:val="24"/>
        </w:rPr>
        <w:t>履职独立性与道德水准</w:t>
      </w:r>
    </w:p>
    <w:p>
      <w:pPr>
        <w:pStyle w:val="25"/>
        <w:snapToGrid w:val="0"/>
        <w:spacing w:line="360" w:lineRule="auto"/>
        <w:ind w:firstLine="480"/>
        <w:rPr>
          <w:rFonts w:hint="eastAsia" w:ascii="宋体" w:hAnsi="宋体" w:eastAsia="宋体" w:cs="宋体"/>
          <w:sz w:val="24"/>
          <w:szCs w:val="24"/>
        </w:rPr>
      </w:pPr>
      <w:r>
        <w:rPr>
          <w:rFonts w:hint="eastAsia" w:ascii="宋体" w:hAnsi="宋体" w:eastAsia="宋体" w:cs="宋体"/>
          <w:sz w:val="24"/>
          <w:szCs w:val="24"/>
        </w:rPr>
        <w:t>在履职过程中，全体高级管理人员能够坚持高标准的职业道德准则，不受主要股东和内部人控制或干预，独立自主地履行职责，公平对待全体股东、维护利益相关者的合法权益、积极履行社会责任。</w:t>
      </w:r>
    </w:p>
    <w:p>
      <w:pPr>
        <w:snapToGrid w:val="0"/>
        <w:spacing w:line="360" w:lineRule="auto"/>
        <w:ind w:firstLine="482" w:firstLineChars="200"/>
        <w:rPr>
          <w:rFonts w:hint="eastAsia" w:ascii="宋体" w:hAnsi="宋体" w:eastAsia="宋体" w:cs="宋体"/>
          <w:sz w:val="24"/>
          <w:szCs w:val="24"/>
        </w:rPr>
      </w:pPr>
      <w:r>
        <w:rPr>
          <w:rFonts w:hint="eastAsia" w:ascii="宋体" w:hAnsi="宋体" w:eastAsia="宋体" w:cs="宋体"/>
          <w:b/>
          <w:bCs/>
          <w:sz w:val="24"/>
          <w:szCs w:val="24"/>
        </w:rPr>
        <w:t>监事会认为：</w:t>
      </w:r>
      <w:r>
        <w:rPr>
          <w:rFonts w:hint="eastAsia" w:ascii="宋体" w:hAnsi="宋体" w:eastAsia="宋体" w:cs="宋体"/>
          <w:sz w:val="24"/>
          <w:szCs w:val="24"/>
        </w:rPr>
        <w:t xml:space="preserve"> </w:t>
      </w:r>
    </w:p>
    <w:p>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2021年，全体高级管理人员认真遵循《公司章程》和董事会授权，有效执行股东大会、董事会和监事会决议，确保本行经营和董事会制定批准的发展战略、风险偏好及其他各项政策一致，持续改善本行经营管理、风险管理、内部控制；主动接受监事会监督，科学合理制定经营措施，积极推动战略转型，未发现存在违反法律法规、违反</w:t>
      </w:r>
      <w:r>
        <w:rPr>
          <w:rFonts w:hint="eastAsia" w:ascii="宋体" w:hAnsi="宋体" w:eastAsia="宋体" w:cs="宋体"/>
          <w:sz w:val="24"/>
          <w:szCs w:val="24"/>
          <w:lang w:eastAsia="zh-CN"/>
        </w:rPr>
        <w:t>《</w:t>
      </w:r>
      <w:r>
        <w:rPr>
          <w:rFonts w:hint="eastAsia" w:ascii="宋体" w:hAnsi="宋体" w:eastAsia="宋体" w:cs="宋体"/>
          <w:sz w:val="24"/>
          <w:szCs w:val="24"/>
        </w:rPr>
        <w:t>公司章程</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和</w:t>
      </w:r>
      <w:r>
        <w:rPr>
          <w:rFonts w:hint="eastAsia" w:ascii="宋体" w:hAnsi="宋体" w:eastAsia="宋体" w:cs="宋体"/>
          <w:sz w:val="24"/>
          <w:szCs w:val="24"/>
        </w:rPr>
        <w:t>损害股东权益等情形，全体成员勤勉尽责，为保障公司稳健发展发挥了重要作用。</w:t>
      </w:r>
    </w:p>
    <w:p>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对照高级管理层成员履职评价标准，公司高级管理人员2021年履职评价结果如下：</w:t>
      </w:r>
    </w:p>
    <w:tbl>
      <w:tblPr>
        <w:tblStyle w:val="13"/>
        <w:tblW w:w="8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6"/>
        <w:gridCol w:w="2594"/>
        <w:gridCol w:w="1546"/>
        <w:gridCol w:w="2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shd w:val="clear" w:color="auto" w:fill="C0C0C0"/>
            <w:noWrap w:val="0"/>
            <w:vAlign w:val="top"/>
          </w:tcPr>
          <w:p>
            <w:pPr>
              <w:autoSpaceDE w:val="0"/>
              <w:autoSpaceDN w:val="0"/>
              <w:adjustRightInd w:val="0"/>
              <w:snapToGrid w:val="0"/>
              <w:spacing w:line="360" w:lineRule="auto"/>
              <w:jc w:val="center"/>
              <w:outlineLvl w:val="0"/>
              <w:rPr>
                <w:rFonts w:hint="eastAsia" w:ascii="宋体" w:hAnsi="宋体" w:eastAsia="宋体" w:cs="宋体"/>
                <w:b/>
                <w:sz w:val="24"/>
                <w:szCs w:val="24"/>
              </w:rPr>
            </w:pPr>
            <w:r>
              <w:rPr>
                <w:rFonts w:hint="eastAsia" w:ascii="宋体" w:hAnsi="宋体" w:eastAsia="宋体" w:cs="宋体"/>
                <w:b/>
                <w:sz w:val="24"/>
                <w:szCs w:val="24"/>
              </w:rPr>
              <w:t>高管姓名</w:t>
            </w:r>
          </w:p>
        </w:tc>
        <w:tc>
          <w:tcPr>
            <w:tcW w:w="2594" w:type="dxa"/>
            <w:shd w:val="clear" w:color="auto" w:fill="C0C0C0"/>
            <w:noWrap w:val="0"/>
            <w:vAlign w:val="top"/>
          </w:tcPr>
          <w:p>
            <w:pPr>
              <w:autoSpaceDE w:val="0"/>
              <w:autoSpaceDN w:val="0"/>
              <w:adjustRightInd w:val="0"/>
              <w:snapToGrid w:val="0"/>
              <w:spacing w:line="360" w:lineRule="auto"/>
              <w:jc w:val="center"/>
              <w:outlineLvl w:val="0"/>
              <w:rPr>
                <w:rFonts w:hint="eastAsia" w:ascii="宋体" w:hAnsi="宋体" w:eastAsia="宋体" w:cs="宋体"/>
                <w:b/>
                <w:sz w:val="24"/>
                <w:szCs w:val="24"/>
              </w:rPr>
            </w:pPr>
            <w:r>
              <w:rPr>
                <w:rFonts w:hint="eastAsia" w:ascii="宋体" w:hAnsi="宋体" w:eastAsia="宋体" w:cs="宋体"/>
                <w:b/>
                <w:sz w:val="24"/>
                <w:szCs w:val="24"/>
              </w:rPr>
              <w:t>履职评价结果</w:t>
            </w:r>
          </w:p>
        </w:tc>
        <w:tc>
          <w:tcPr>
            <w:tcW w:w="1546" w:type="dxa"/>
            <w:shd w:val="clear" w:color="auto" w:fill="C0C0C0"/>
            <w:noWrap w:val="0"/>
            <w:vAlign w:val="top"/>
          </w:tcPr>
          <w:p>
            <w:pPr>
              <w:autoSpaceDE w:val="0"/>
              <w:autoSpaceDN w:val="0"/>
              <w:adjustRightInd w:val="0"/>
              <w:snapToGrid w:val="0"/>
              <w:spacing w:line="360" w:lineRule="auto"/>
              <w:jc w:val="center"/>
              <w:outlineLvl w:val="0"/>
              <w:rPr>
                <w:rFonts w:hint="eastAsia" w:ascii="宋体" w:hAnsi="宋体" w:eastAsia="宋体" w:cs="宋体"/>
                <w:b/>
                <w:sz w:val="24"/>
                <w:szCs w:val="24"/>
              </w:rPr>
            </w:pPr>
            <w:r>
              <w:rPr>
                <w:rFonts w:hint="eastAsia" w:ascii="宋体" w:hAnsi="宋体" w:eastAsia="宋体" w:cs="宋体"/>
                <w:b/>
                <w:sz w:val="24"/>
                <w:szCs w:val="24"/>
              </w:rPr>
              <w:t>高管姓名</w:t>
            </w:r>
          </w:p>
        </w:tc>
        <w:tc>
          <w:tcPr>
            <w:tcW w:w="2952" w:type="dxa"/>
            <w:shd w:val="clear" w:color="auto" w:fill="C0C0C0"/>
            <w:noWrap w:val="0"/>
            <w:vAlign w:val="top"/>
          </w:tcPr>
          <w:p>
            <w:pPr>
              <w:autoSpaceDE w:val="0"/>
              <w:autoSpaceDN w:val="0"/>
              <w:adjustRightInd w:val="0"/>
              <w:snapToGrid w:val="0"/>
              <w:spacing w:line="360" w:lineRule="auto"/>
              <w:jc w:val="center"/>
              <w:outlineLvl w:val="0"/>
              <w:rPr>
                <w:rFonts w:hint="eastAsia" w:ascii="宋体" w:hAnsi="宋体" w:eastAsia="宋体" w:cs="宋体"/>
                <w:b/>
                <w:sz w:val="24"/>
                <w:szCs w:val="24"/>
              </w:rPr>
            </w:pPr>
            <w:r>
              <w:rPr>
                <w:rFonts w:hint="eastAsia" w:ascii="宋体" w:hAnsi="宋体" w:eastAsia="宋体" w:cs="宋体"/>
                <w:b/>
                <w:sz w:val="24"/>
                <w:szCs w:val="24"/>
              </w:rPr>
              <w:t>履职评价结果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noWrap w:val="0"/>
            <w:vAlign w:val="top"/>
          </w:tcPr>
          <w:p>
            <w:pPr>
              <w:autoSpaceDE w:val="0"/>
              <w:autoSpaceDN w:val="0"/>
              <w:adjustRightInd w:val="0"/>
              <w:snapToGrid w:val="0"/>
              <w:spacing w:line="360" w:lineRule="auto"/>
              <w:jc w:val="center"/>
              <w:outlineLvl w:val="0"/>
              <w:rPr>
                <w:rFonts w:hint="eastAsia" w:ascii="宋体" w:hAnsi="宋体" w:eastAsia="宋体" w:cs="宋体"/>
                <w:sz w:val="24"/>
                <w:szCs w:val="24"/>
              </w:rPr>
            </w:pPr>
            <w:r>
              <w:rPr>
                <w:rFonts w:hint="eastAsia" w:ascii="宋体" w:hAnsi="宋体" w:eastAsia="宋体" w:cs="宋体"/>
                <w:sz w:val="24"/>
                <w:szCs w:val="24"/>
              </w:rPr>
              <w:t>吴昕颢</w:t>
            </w:r>
          </w:p>
        </w:tc>
        <w:tc>
          <w:tcPr>
            <w:tcW w:w="2594" w:type="dxa"/>
            <w:noWrap w:val="0"/>
            <w:vAlign w:val="center"/>
          </w:tcPr>
          <w:p>
            <w:pPr>
              <w:autoSpaceDE w:val="0"/>
              <w:autoSpaceDN w:val="0"/>
              <w:adjustRightInd w:val="0"/>
              <w:snapToGrid w:val="0"/>
              <w:spacing w:line="360" w:lineRule="auto"/>
              <w:jc w:val="center"/>
              <w:outlineLvl w:val="0"/>
              <w:rPr>
                <w:rFonts w:hint="eastAsia" w:ascii="宋体" w:hAnsi="宋体" w:eastAsia="宋体" w:cs="宋体"/>
                <w:sz w:val="24"/>
                <w:szCs w:val="24"/>
              </w:rPr>
            </w:pPr>
            <w:r>
              <w:rPr>
                <w:rFonts w:hint="eastAsia" w:ascii="宋体" w:hAnsi="宋体" w:eastAsia="宋体" w:cs="宋体"/>
                <w:sz w:val="24"/>
                <w:szCs w:val="24"/>
              </w:rPr>
              <w:t>称职</w:t>
            </w:r>
          </w:p>
        </w:tc>
        <w:tc>
          <w:tcPr>
            <w:tcW w:w="1546" w:type="dxa"/>
            <w:noWrap w:val="0"/>
            <w:vAlign w:val="top"/>
          </w:tcPr>
          <w:p>
            <w:pPr>
              <w:autoSpaceDE w:val="0"/>
              <w:autoSpaceDN w:val="0"/>
              <w:adjustRightInd w:val="0"/>
              <w:snapToGrid w:val="0"/>
              <w:spacing w:line="360" w:lineRule="auto"/>
              <w:jc w:val="center"/>
              <w:outlineLvl w:val="0"/>
              <w:rPr>
                <w:rFonts w:hint="eastAsia" w:ascii="宋体" w:hAnsi="宋体" w:eastAsia="宋体" w:cs="宋体"/>
                <w:sz w:val="24"/>
                <w:szCs w:val="24"/>
              </w:rPr>
            </w:pPr>
            <w:r>
              <w:rPr>
                <w:rFonts w:hint="eastAsia" w:ascii="宋体" w:hAnsi="宋体" w:eastAsia="宋体" w:cs="宋体"/>
                <w:sz w:val="24"/>
                <w:szCs w:val="24"/>
              </w:rPr>
              <w:t>郑承满</w:t>
            </w:r>
          </w:p>
        </w:tc>
        <w:tc>
          <w:tcPr>
            <w:tcW w:w="2952" w:type="dxa"/>
            <w:noWrap w:val="0"/>
            <w:vAlign w:val="center"/>
          </w:tcPr>
          <w:p>
            <w:pPr>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称职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noWrap w:val="0"/>
            <w:vAlign w:val="top"/>
          </w:tcPr>
          <w:p>
            <w:pPr>
              <w:autoSpaceDE w:val="0"/>
              <w:autoSpaceDN w:val="0"/>
              <w:adjustRightInd w:val="0"/>
              <w:snapToGrid w:val="0"/>
              <w:spacing w:line="360" w:lineRule="auto"/>
              <w:jc w:val="center"/>
              <w:outlineLvl w:val="0"/>
              <w:rPr>
                <w:rFonts w:hint="eastAsia" w:ascii="宋体" w:hAnsi="宋体" w:eastAsia="宋体" w:cs="宋体"/>
                <w:sz w:val="24"/>
                <w:szCs w:val="24"/>
              </w:rPr>
            </w:pPr>
            <w:r>
              <w:rPr>
                <w:rFonts w:hint="eastAsia" w:ascii="宋体" w:hAnsi="宋体" w:eastAsia="宋体" w:cs="宋体"/>
                <w:sz w:val="24"/>
                <w:szCs w:val="24"/>
              </w:rPr>
              <w:t>李朝晖</w:t>
            </w:r>
          </w:p>
        </w:tc>
        <w:tc>
          <w:tcPr>
            <w:tcW w:w="2594" w:type="dxa"/>
            <w:noWrap w:val="0"/>
            <w:vAlign w:val="center"/>
          </w:tcPr>
          <w:p>
            <w:pPr>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称职</w:t>
            </w:r>
          </w:p>
        </w:tc>
        <w:tc>
          <w:tcPr>
            <w:tcW w:w="1546" w:type="dxa"/>
            <w:noWrap w:val="0"/>
            <w:vAlign w:val="top"/>
          </w:tcPr>
          <w:p>
            <w:pPr>
              <w:autoSpaceDE w:val="0"/>
              <w:autoSpaceDN w:val="0"/>
              <w:adjustRightInd w:val="0"/>
              <w:snapToGrid w:val="0"/>
              <w:spacing w:line="360" w:lineRule="auto"/>
              <w:jc w:val="center"/>
              <w:outlineLvl w:val="0"/>
              <w:rPr>
                <w:rFonts w:hint="eastAsia" w:ascii="宋体" w:hAnsi="宋体" w:eastAsia="宋体" w:cs="宋体"/>
                <w:sz w:val="24"/>
                <w:szCs w:val="24"/>
              </w:rPr>
            </w:pPr>
            <w:r>
              <w:rPr>
                <w:rFonts w:hint="eastAsia" w:ascii="宋体" w:hAnsi="宋体" w:eastAsia="宋体" w:cs="宋体"/>
                <w:sz w:val="24"/>
                <w:szCs w:val="24"/>
              </w:rPr>
              <w:t>谢彤华</w:t>
            </w:r>
          </w:p>
        </w:tc>
        <w:tc>
          <w:tcPr>
            <w:tcW w:w="2952" w:type="dxa"/>
            <w:noWrap w:val="0"/>
            <w:vAlign w:val="center"/>
          </w:tcPr>
          <w:p>
            <w:pPr>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称职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noWrap w:val="0"/>
            <w:vAlign w:val="top"/>
          </w:tcPr>
          <w:p>
            <w:pPr>
              <w:autoSpaceDE w:val="0"/>
              <w:autoSpaceDN w:val="0"/>
              <w:adjustRightInd w:val="0"/>
              <w:snapToGrid w:val="0"/>
              <w:spacing w:line="360" w:lineRule="auto"/>
              <w:jc w:val="center"/>
              <w:outlineLvl w:val="0"/>
              <w:rPr>
                <w:rFonts w:hint="eastAsia" w:ascii="宋体" w:hAnsi="宋体" w:eastAsia="宋体" w:cs="宋体"/>
                <w:sz w:val="24"/>
                <w:szCs w:val="24"/>
              </w:rPr>
            </w:pPr>
            <w:r>
              <w:rPr>
                <w:rFonts w:hint="eastAsia" w:ascii="宋体" w:hAnsi="宋体" w:eastAsia="宋体" w:cs="宋体"/>
                <w:sz w:val="24"/>
                <w:szCs w:val="24"/>
              </w:rPr>
              <w:t>刘永斌</w:t>
            </w:r>
          </w:p>
        </w:tc>
        <w:tc>
          <w:tcPr>
            <w:tcW w:w="2594" w:type="dxa"/>
            <w:noWrap w:val="0"/>
            <w:vAlign w:val="center"/>
          </w:tcPr>
          <w:p>
            <w:pPr>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称职</w:t>
            </w:r>
          </w:p>
        </w:tc>
        <w:tc>
          <w:tcPr>
            <w:tcW w:w="1546" w:type="dxa"/>
            <w:noWrap w:val="0"/>
            <w:vAlign w:val="top"/>
          </w:tcPr>
          <w:p>
            <w:pPr>
              <w:autoSpaceDE w:val="0"/>
              <w:autoSpaceDN w:val="0"/>
              <w:adjustRightInd w:val="0"/>
              <w:snapToGrid w:val="0"/>
              <w:spacing w:line="360" w:lineRule="auto"/>
              <w:jc w:val="center"/>
              <w:outlineLvl w:val="0"/>
              <w:rPr>
                <w:rFonts w:hint="eastAsia" w:ascii="宋体" w:hAnsi="宋体" w:eastAsia="宋体" w:cs="宋体"/>
                <w:sz w:val="24"/>
                <w:szCs w:val="24"/>
              </w:rPr>
            </w:pPr>
            <w:r>
              <w:rPr>
                <w:rFonts w:hint="eastAsia" w:ascii="宋体" w:hAnsi="宋体" w:eastAsia="宋体" w:cs="宋体"/>
                <w:sz w:val="24"/>
                <w:szCs w:val="24"/>
              </w:rPr>
              <w:t>黄俊猛</w:t>
            </w:r>
          </w:p>
        </w:tc>
        <w:tc>
          <w:tcPr>
            <w:tcW w:w="2952" w:type="dxa"/>
            <w:noWrap w:val="0"/>
            <w:vAlign w:val="center"/>
          </w:tcPr>
          <w:p>
            <w:pPr>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称职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noWrap w:val="0"/>
            <w:vAlign w:val="top"/>
          </w:tcPr>
          <w:p>
            <w:pPr>
              <w:autoSpaceDE w:val="0"/>
              <w:autoSpaceDN w:val="0"/>
              <w:adjustRightInd w:val="0"/>
              <w:snapToGrid w:val="0"/>
              <w:spacing w:line="360" w:lineRule="auto"/>
              <w:jc w:val="center"/>
              <w:outlineLvl w:val="0"/>
              <w:rPr>
                <w:rFonts w:hint="eastAsia" w:ascii="宋体" w:hAnsi="宋体" w:eastAsia="宋体" w:cs="宋体"/>
                <w:sz w:val="24"/>
                <w:szCs w:val="24"/>
              </w:rPr>
            </w:pPr>
            <w:r>
              <w:rPr>
                <w:rFonts w:hint="eastAsia" w:ascii="宋体" w:hAnsi="宋体" w:eastAsia="宋体" w:cs="宋体"/>
                <w:sz w:val="24"/>
                <w:szCs w:val="24"/>
              </w:rPr>
              <w:t>陈蓉蓉</w:t>
            </w:r>
          </w:p>
        </w:tc>
        <w:tc>
          <w:tcPr>
            <w:tcW w:w="2594" w:type="dxa"/>
            <w:noWrap w:val="0"/>
            <w:vAlign w:val="center"/>
          </w:tcPr>
          <w:p>
            <w:pPr>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称职</w:t>
            </w:r>
          </w:p>
        </w:tc>
        <w:tc>
          <w:tcPr>
            <w:tcW w:w="1546" w:type="dxa"/>
            <w:noWrap w:val="0"/>
            <w:vAlign w:val="top"/>
          </w:tcPr>
          <w:p>
            <w:pPr>
              <w:autoSpaceDE w:val="0"/>
              <w:autoSpaceDN w:val="0"/>
              <w:adjustRightInd w:val="0"/>
              <w:snapToGrid w:val="0"/>
              <w:spacing w:line="360" w:lineRule="auto"/>
              <w:jc w:val="center"/>
              <w:outlineLvl w:val="0"/>
              <w:rPr>
                <w:rFonts w:hint="eastAsia" w:ascii="宋体" w:hAnsi="宋体" w:eastAsia="宋体" w:cs="宋体"/>
                <w:sz w:val="24"/>
                <w:szCs w:val="24"/>
              </w:rPr>
            </w:pPr>
            <w:r>
              <w:rPr>
                <w:rFonts w:hint="eastAsia" w:ascii="宋体" w:hAnsi="宋体" w:eastAsia="宋体" w:cs="宋体"/>
                <w:sz w:val="24"/>
                <w:szCs w:val="24"/>
              </w:rPr>
              <w:t>周迪祥</w:t>
            </w:r>
          </w:p>
        </w:tc>
        <w:tc>
          <w:tcPr>
            <w:tcW w:w="2952" w:type="dxa"/>
            <w:noWrap w:val="0"/>
            <w:vAlign w:val="center"/>
          </w:tcPr>
          <w:p>
            <w:pPr>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称职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noWrap w:val="0"/>
            <w:vAlign w:val="top"/>
          </w:tcPr>
          <w:p>
            <w:pPr>
              <w:autoSpaceDE w:val="0"/>
              <w:autoSpaceDN w:val="0"/>
              <w:adjustRightInd w:val="0"/>
              <w:snapToGrid w:val="0"/>
              <w:spacing w:line="360" w:lineRule="auto"/>
              <w:jc w:val="center"/>
              <w:outlineLvl w:val="0"/>
              <w:rPr>
                <w:rFonts w:hint="eastAsia" w:ascii="宋体" w:hAnsi="宋体" w:eastAsia="宋体" w:cs="宋体"/>
                <w:sz w:val="24"/>
                <w:szCs w:val="24"/>
              </w:rPr>
            </w:pPr>
            <w:r>
              <w:rPr>
                <w:rFonts w:hint="eastAsia" w:ascii="宋体" w:hAnsi="宋体" w:eastAsia="宋体" w:cs="宋体"/>
                <w:sz w:val="24"/>
                <w:szCs w:val="24"/>
              </w:rPr>
              <w:t>庄海波</w:t>
            </w:r>
          </w:p>
        </w:tc>
        <w:tc>
          <w:tcPr>
            <w:tcW w:w="2594" w:type="dxa"/>
            <w:noWrap w:val="0"/>
            <w:vAlign w:val="center"/>
          </w:tcPr>
          <w:p>
            <w:pPr>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称职</w:t>
            </w:r>
          </w:p>
        </w:tc>
        <w:tc>
          <w:tcPr>
            <w:tcW w:w="1546" w:type="dxa"/>
            <w:noWrap w:val="0"/>
            <w:vAlign w:val="top"/>
          </w:tcPr>
          <w:p>
            <w:pPr>
              <w:autoSpaceDE w:val="0"/>
              <w:autoSpaceDN w:val="0"/>
              <w:adjustRightInd w:val="0"/>
              <w:snapToGrid w:val="0"/>
              <w:spacing w:line="360" w:lineRule="auto"/>
              <w:jc w:val="center"/>
              <w:outlineLvl w:val="0"/>
              <w:rPr>
                <w:rFonts w:hint="eastAsia" w:ascii="宋体" w:hAnsi="宋体" w:eastAsia="宋体" w:cs="宋体"/>
                <w:sz w:val="24"/>
                <w:szCs w:val="24"/>
              </w:rPr>
            </w:pPr>
          </w:p>
        </w:tc>
        <w:tc>
          <w:tcPr>
            <w:tcW w:w="2952" w:type="dxa"/>
            <w:noWrap w:val="0"/>
            <w:vAlign w:val="center"/>
          </w:tcPr>
          <w:p>
            <w:pPr>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w:t>
            </w:r>
          </w:p>
        </w:tc>
      </w:tr>
    </w:tbl>
    <w:p>
      <w:pPr>
        <w:pStyle w:val="19"/>
        <w:snapToGrid w:val="0"/>
        <w:spacing w:line="360" w:lineRule="auto"/>
        <w:ind w:firstLine="480" w:firstLineChars="200"/>
        <w:rPr>
          <w:rFonts w:hint="eastAsia" w:ascii="宋体" w:hAnsi="宋体" w:eastAsia="宋体" w:cs="宋体"/>
          <w:sz w:val="24"/>
          <w:szCs w:val="24"/>
          <w:lang w:val="en-US" w:eastAsia="zh-CN"/>
        </w:rPr>
      </w:pPr>
    </w:p>
    <w:p>
      <w:pPr>
        <w:pStyle w:val="19"/>
        <w:snapToGrid w:val="0"/>
        <w:spacing w:line="360" w:lineRule="auto"/>
        <w:ind w:firstLine="480" w:firstLineChars="200"/>
        <w:rPr>
          <w:rFonts w:hint="eastAsia" w:ascii="宋体" w:hAnsi="宋体" w:eastAsia="宋体" w:cs="宋体"/>
          <w:sz w:val="24"/>
          <w:szCs w:val="24"/>
          <w:lang w:val="en-US" w:eastAsia="zh-CN"/>
        </w:rPr>
      </w:pPr>
    </w:p>
    <w:p>
      <w:pPr>
        <w:pStyle w:val="19"/>
        <w:snapToGrid w:val="0"/>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rPr>
        <w:t>本议案已经第八届监事会第</w:t>
      </w:r>
      <w:r>
        <w:rPr>
          <w:rFonts w:hint="eastAsia" w:ascii="宋体" w:hAnsi="宋体" w:eastAsia="宋体" w:cs="宋体"/>
          <w:sz w:val="24"/>
          <w:szCs w:val="24"/>
          <w:lang w:val="en-US" w:eastAsia="zh-CN"/>
        </w:rPr>
        <w:t>十二</w:t>
      </w:r>
      <w:r>
        <w:rPr>
          <w:rFonts w:hint="eastAsia" w:ascii="宋体" w:hAnsi="宋体" w:eastAsia="宋体" w:cs="宋体"/>
          <w:sz w:val="24"/>
          <w:szCs w:val="24"/>
        </w:rPr>
        <w:t>次会议审议通过。</w:t>
      </w:r>
      <w:r>
        <w:rPr>
          <w:rFonts w:hint="eastAsia" w:ascii="宋体" w:hAnsi="宋体" w:eastAsia="宋体" w:cs="宋体"/>
          <w:sz w:val="24"/>
          <w:szCs w:val="24"/>
          <w:lang w:val="en-US" w:eastAsia="zh-CN"/>
        </w:rPr>
        <w:t>特此报告。</w:t>
      </w:r>
    </w:p>
    <w:p>
      <w:pPr>
        <w:pStyle w:val="19"/>
        <w:snapToGrid w:val="0"/>
        <w:spacing w:line="360" w:lineRule="auto"/>
        <w:ind w:firstLine="480" w:firstLineChars="200"/>
        <w:rPr>
          <w:rFonts w:hint="eastAsia" w:ascii="宋体" w:hAnsi="宋体" w:eastAsia="宋体" w:cs="宋体"/>
          <w:sz w:val="24"/>
          <w:szCs w:val="24"/>
        </w:rPr>
      </w:pPr>
    </w:p>
    <w:p>
      <w:pPr>
        <w:pStyle w:val="19"/>
        <w:snapToGrid w:val="0"/>
        <w:spacing w:line="360" w:lineRule="auto"/>
        <w:ind w:firstLine="480" w:firstLineChars="200"/>
        <w:rPr>
          <w:rFonts w:hint="eastAsia" w:ascii="宋体" w:hAnsi="宋体" w:eastAsia="宋体" w:cs="宋体"/>
          <w:sz w:val="24"/>
          <w:szCs w:val="24"/>
        </w:rPr>
      </w:pPr>
    </w:p>
    <w:p>
      <w:pPr>
        <w:pStyle w:val="7"/>
        <w:snapToGrid w:val="0"/>
        <w:spacing w:line="360" w:lineRule="auto"/>
        <w:ind w:firstLine="480" w:firstLineChars="200"/>
        <w:jc w:val="right"/>
        <w:rPr>
          <w:rFonts w:hint="eastAsia" w:ascii="宋体" w:hAnsi="宋体" w:eastAsia="宋体" w:cs="宋体"/>
          <w:sz w:val="24"/>
          <w:szCs w:val="24"/>
        </w:rPr>
      </w:pPr>
      <w:r>
        <w:rPr>
          <w:rFonts w:hint="eastAsia" w:ascii="宋体" w:hAnsi="宋体" w:eastAsia="宋体" w:cs="宋体"/>
          <w:sz w:val="24"/>
          <w:szCs w:val="24"/>
        </w:rPr>
        <w:t>厦门银行股份有限公司</w:t>
      </w:r>
    </w:p>
    <w:p>
      <w:pPr>
        <w:pStyle w:val="7"/>
        <w:snapToGrid w:val="0"/>
        <w:spacing w:line="360" w:lineRule="auto"/>
        <w:ind w:firstLine="480" w:firstLineChars="200"/>
        <w:jc w:val="right"/>
        <w:rPr>
          <w:rFonts w:hint="eastAsia"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2</w:t>
      </w:r>
      <w:r>
        <w:rPr>
          <w:rFonts w:hint="eastAsia" w:ascii="宋体" w:hAnsi="宋体" w:eastAsia="宋体" w:cs="宋体"/>
          <w:sz w:val="24"/>
          <w:szCs w:val="24"/>
        </w:rPr>
        <w:t>年</w:t>
      </w:r>
      <w:r>
        <w:rPr>
          <w:rFonts w:hint="eastAsia" w:ascii="宋体" w:hAnsi="宋体" w:eastAsia="宋体" w:cs="宋体"/>
          <w:sz w:val="24"/>
          <w:szCs w:val="24"/>
          <w:lang w:val="en-US" w:eastAsia="zh-CN"/>
        </w:rPr>
        <w:t>6</w:t>
      </w:r>
      <w:r>
        <w:rPr>
          <w:rFonts w:hint="eastAsia" w:ascii="宋体" w:hAnsi="宋体" w:eastAsia="宋体" w:cs="宋体"/>
          <w:sz w:val="24"/>
          <w:szCs w:val="24"/>
        </w:rPr>
        <w:t>月</w:t>
      </w:r>
      <w:r>
        <w:rPr>
          <w:rFonts w:hint="eastAsia" w:ascii="宋体" w:hAnsi="宋体" w:eastAsia="宋体" w:cs="宋体"/>
          <w:sz w:val="24"/>
          <w:szCs w:val="24"/>
          <w:lang w:val="en-US" w:eastAsia="zh-CN"/>
        </w:rPr>
        <w:t>2</w:t>
      </w:r>
      <w:r>
        <w:rPr>
          <w:rFonts w:hint="eastAsia" w:ascii="宋体" w:hAnsi="宋体" w:eastAsia="宋体" w:cs="宋体"/>
          <w:sz w:val="24"/>
          <w:szCs w:val="24"/>
        </w:rPr>
        <w:t>日</w:t>
      </w:r>
    </w:p>
    <w:p>
      <w:pPr>
        <w:rPr>
          <w:rFonts w:hint="eastAsia" w:hAnsi="宋体" w:eastAsia="宋体" w:cs="宋体"/>
          <w:sz w:val="24"/>
          <w:szCs w:val="24"/>
        </w:rPr>
      </w:pPr>
      <w:r>
        <w:rPr>
          <w:rFonts w:hint="eastAsia" w:hAnsi="宋体" w:eastAsia="宋体" w:cs="宋体"/>
          <w:sz w:val="24"/>
          <w:szCs w:val="24"/>
        </w:rPr>
        <w:br w:type="page"/>
      </w:r>
    </w:p>
    <w:p>
      <w:pPr>
        <w:pStyle w:val="19"/>
      </w:pPr>
    </w:p>
    <w:p>
      <w:pPr>
        <w:spacing w:line="360" w:lineRule="auto"/>
        <w:jc w:val="center"/>
        <w:rPr>
          <w:rFonts w:ascii="宋体" w:hAnsi="宋体" w:eastAsia="宋体" w:cs="宋体"/>
          <w:b/>
          <w:bCs/>
          <w:sz w:val="28"/>
          <w:szCs w:val="36"/>
        </w:rPr>
      </w:pPr>
      <w:r>
        <w:rPr>
          <w:rFonts w:hint="eastAsia" w:ascii="宋体" w:hAnsi="宋体" w:eastAsia="宋体" w:cs="宋体"/>
          <w:b/>
          <w:bCs/>
          <w:color w:val="000000"/>
          <w:sz w:val="30"/>
          <w:szCs w:val="30"/>
        </w:rPr>
        <mc:AlternateContent>
          <mc:Choice Requires="wps">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494915" cy="676275"/>
                <wp:effectExtent l="5080" t="4445" r="14605" b="5080"/>
                <wp:wrapNone/>
                <wp:docPr id="21" name="文本框 3"/>
                <wp:cNvGraphicFramePr/>
                <a:graphic xmlns:a="http://schemas.openxmlformats.org/drawingml/2006/main">
                  <a:graphicData uri="http://schemas.microsoft.com/office/word/2010/wordprocessingShape">
                    <wps:wsp>
                      <wps:cNvSpPr txBox="1"/>
                      <wps:spPr>
                        <a:xfrm>
                          <a:off x="0" y="0"/>
                          <a:ext cx="2494915" cy="676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lang w:val="en-US" w:eastAsia="zh-CN"/>
                              </w:rPr>
                              <w:t>报告5</w:t>
                            </w:r>
                          </w:p>
                        </w:txbxContent>
                      </wps:txbx>
                      <wps:bodyPr wrap="square" upright="1"/>
                    </wps:wsp>
                  </a:graphicData>
                </a:graphic>
              </wp:anchor>
            </w:drawing>
          </mc:Choice>
          <mc:Fallback>
            <w:pict>
              <v:shape id="文本框 3" o:spid="_x0000_s1026" o:spt="202" type="#_x0000_t202" style="position:absolute;left:0pt;margin-left:0pt;margin-top:0pt;height:53.25pt;width:196.45pt;z-index:251679744;mso-width-relative:page;mso-height-relative:page;" fillcolor="#FFFFFF" filled="t" stroked="t" coordsize="21600,21600" o:gfxdata="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qIVwW1gAAAAUBAAAPAAAAAAAAAAEAIAAAACIAAABkcnMvZG93bnJldi54&#10;bWxQSwECFAAUAAAACACHTuJAiVwQevwBAAD3AwAADgAAAAAAAAABACAAAAAlAQAAZHJzL2Uyb0Rv&#10;Yy54bWxQSwUGAAAAAAYABgBZAQAAkwUAAAAA&#10;">
                <v:fill on="t" focussize="0,0"/>
                <v:stroke color="#000000" joinstyle="miter"/>
                <v:imagedata o:title=""/>
                <o:lock v:ext="edit" aspectratio="f"/>
                <v:textbox>
                  <w:txbxContent>
                    <w:p>
                      <w:pPr>
                        <w:jc w:val="center"/>
                        <w:rPr>
                          <w:rFonts w:ascii="宋体" w:hAnsi="宋体" w:eastAsia="宋体" w:cs="宋体"/>
                        </w:rPr>
                      </w:pPr>
                      <w:r>
                        <w:rPr>
                          <w:rFonts w:hint="eastAsia" w:ascii="宋体" w:hAnsi="宋体" w:eastAsia="宋体" w:cs="宋体"/>
                        </w:rPr>
                        <w:t>厦门银行股份有限公司</w:t>
                      </w:r>
                    </w:p>
                    <w:p>
                      <w:pPr>
                        <w:jc w:val="center"/>
                        <w:rPr>
                          <w:rFonts w:ascii="宋体" w:hAnsi="宋体" w:eastAsia="宋体" w:cs="宋体"/>
                        </w:rPr>
                      </w:pPr>
                      <w:r>
                        <w:rPr>
                          <w:rFonts w:hint="eastAsia" w:ascii="宋体" w:hAnsi="宋体" w:eastAsia="宋体" w:cs="宋体"/>
                          <w:lang w:eastAsia="zh-CN"/>
                        </w:rPr>
                        <w:t>2021年度股东大会</w:t>
                      </w:r>
                      <w:r>
                        <w:rPr>
                          <w:rFonts w:hint="eastAsia" w:ascii="宋体" w:hAnsi="宋体" w:eastAsia="宋体" w:cs="宋体"/>
                        </w:rPr>
                        <w:t>会议材料</w:t>
                      </w:r>
                    </w:p>
                    <w:p>
                      <w:pPr>
                        <w:jc w:val="center"/>
                        <w:rPr>
                          <w:rFonts w:hint="default" w:ascii="宋体" w:hAnsi="宋体" w:eastAsia="宋体" w:cs="宋体"/>
                          <w:lang w:val="en-US" w:eastAsia="zh-CN"/>
                        </w:rPr>
                      </w:pPr>
                      <w:r>
                        <w:rPr>
                          <w:rFonts w:hint="eastAsia" w:ascii="宋体" w:hAnsi="宋体" w:eastAsia="宋体" w:cs="宋体"/>
                          <w:lang w:val="en-US" w:eastAsia="zh-CN"/>
                        </w:rPr>
                        <w:t>报告5</w:t>
                      </w:r>
                    </w:p>
                  </w:txbxContent>
                </v:textbox>
              </v:shape>
            </w:pict>
          </mc:Fallback>
        </mc:AlternateContent>
      </w:r>
    </w:p>
    <w:p>
      <w:pPr>
        <w:spacing w:line="360" w:lineRule="auto"/>
        <w:jc w:val="center"/>
        <w:rPr>
          <w:rFonts w:ascii="宋体" w:hAnsi="宋体" w:eastAsia="宋体" w:cs="宋体"/>
          <w:b/>
          <w:bCs/>
          <w:sz w:val="28"/>
          <w:szCs w:val="36"/>
        </w:rPr>
      </w:pPr>
    </w:p>
    <w:p>
      <w:pPr>
        <w:spacing w:line="360" w:lineRule="auto"/>
        <w:jc w:val="center"/>
        <w:outlineLvl w:val="0"/>
        <w:rPr>
          <w:rFonts w:hint="eastAsia" w:ascii="宋体" w:hAnsi="宋体" w:eastAsia="宋体" w:cs="宋体"/>
          <w:b/>
          <w:bCs/>
          <w:sz w:val="28"/>
          <w:szCs w:val="36"/>
        </w:rPr>
      </w:pPr>
      <w:r>
        <w:rPr>
          <w:rFonts w:hint="eastAsia" w:ascii="宋体" w:hAnsi="宋体" w:eastAsia="宋体" w:cs="宋体"/>
          <w:b/>
          <w:bCs/>
          <w:sz w:val="28"/>
          <w:szCs w:val="36"/>
        </w:rPr>
        <w:t>厦门银行股份有限公司</w:t>
      </w:r>
    </w:p>
    <w:p>
      <w:pPr>
        <w:spacing w:line="360" w:lineRule="auto"/>
        <w:jc w:val="center"/>
        <w:outlineLvl w:val="0"/>
        <w:rPr>
          <w:rFonts w:ascii="宋体" w:hAnsi="宋体" w:eastAsia="宋体" w:cs="宋体"/>
          <w:bCs/>
          <w:color w:val="000000"/>
          <w:kern w:val="36"/>
          <w:sz w:val="24"/>
        </w:rPr>
      </w:pPr>
      <w:r>
        <w:rPr>
          <w:rFonts w:hint="eastAsia" w:ascii="宋体" w:hAnsi="宋体" w:eastAsia="宋体" w:cs="宋体"/>
          <w:b/>
          <w:bCs/>
          <w:sz w:val="28"/>
          <w:szCs w:val="36"/>
        </w:rPr>
        <w:t>2021年度监事会及监事履职评价报告</w:t>
      </w:r>
    </w:p>
    <w:p>
      <w:pPr>
        <w:snapToGrid w:val="0"/>
        <w:spacing w:line="360" w:lineRule="auto"/>
        <w:rPr>
          <w:rFonts w:hint="eastAsia" w:ascii="宋体" w:hAnsi="宋体" w:eastAsia="宋体" w:cs="宋体"/>
          <w:bCs/>
          <w:color w:val="000000"/>
          <w:kern w:val="36"/>
          <w:sz w:val="24"/>
        </w:rPr>
      </w:pPr>
    </w:p>
    <w:p>
      <w:pPr>
        <w:keepNext w:val="0"/>
        <w:keepLines w:val="0"/>
        <w:pageBreakBefore w:val="0"/>
        <w:widowControl w:val="0"/>
        <w:kinsoku/>
        <w:wordWrap/>
        <w:overflowPunct/>
        <w:topLinePunct w:val="0"/>
        <w:bidi w:val="0"/>
        <w:snapToGrid w:val="0"/>
        <w:spacing w:line="360" w:lineRule="auto"/>
        <w:textAlignment w:val="auto"/>
        <w:rPr>
          <w:rFonts w:hint="eastAsia" w:ascii="宋体" w:hAnsi="宋体" w:eastAsia="宋体" w:cs="宋体"/>
          <w:sz w:val="24"/>
          <w:szCs w:val="24"/>
        </w:rPr>
      </w:pPr>
      <w:r>
        <w:rPr>
          <w:rFonts w:hint="eastAsia" w:ascii="宋体" w:hAnsi="宋体" w:eastAsia="宋体" w:cs="宋体"/>
          <w:bCs/>
          <w:color w:val="000000"/>
          <w:kern w:val="36"/>
          <w:sz w:val="24"/>
          <w:szCs w:val="24"/>
        </w:rPr>
        <w:t>尊敬的各位</w:t>
      </w:r>
      <w:r>
        <w:rPr>
          <w:rFonts w:hint="eastAsia" w:ascii="宋体" w:hAnsi="宋体" w:eastAsia="宋体" w:cs="宋体"/>
          <w:sz w:val="24"/>
          <w:szCs w:val="24"/>
        </w:rPr>
        <w:t>股东</w:t>
      </w:r>
      <w:r>
        <w:rPr>
          <w:rFonts w:hint="eastAsia" w:ascii="宋体" w:hAnsi="宋体" w:eastAsia="宋体" w:cs="宋体"/>
          <w:bCs/>
          <w:color w:val="000000"/>
          <w:kern w:val="36"/>
          <w:sz w:val="24"/>
          <w:szCs w:val="24"/>
        </w:rPr>
        <w:t>：</w:t>
      </w:r>
    </w:p>
    <w:p>
      <w:pPr>
        <w:keepNext w:val="0"/>
        <w:keepLines w:val="0"/>
        <w:pageBreakBefore w:val="0"/>
        <w:widowControl w:val="0"/>
        <w:kinsoku/>
        <w:wordWrap/>
        <w:overflowPunct/>
        <w:topLinePunct w:val="0"/>
        <w:bidi w:val="0"/>
        <w:snapToGrid w:val="0"/>
        <w:spacing w:line="360" w:lineRule="auto"/>
        <w:ind w:firstLine="555"/>
        <w:textAlignment w:val="auto"/>
        <w:rPr>
          <w:rFonts w:hint="eastAsia" w:ascii="宋体" w:hAnsi="宋体" w:eastAsia="宋体" w:cs="宋体"/>
          <w:sz w:val="24"/>
          <w:szCs w:val="24"/>
        </w:rPr>
      </w:pPr>
      <w:r>
        <w:rPr>
          <w:rFonts w:hint="eastAsia" w:ascii="宋体" w:hAnsi="宋体" w:eastAsia="宋体" w:cs="宋体"/>
          <w:sz w:val="24"/>
          <w:szCs w:val="24"/>
        </w:rPr>
        <w:t>根据中国银保监会《银行保险机构公司治理准则》《商业银行监事会工作指引》《银行保险机构董事监事履职评价办法（试行）》以及《厦门银行股份有限公司监事会和监事履职评价办法》（下称“《履职评价办法》”）的规定，</w:t>
      </w:r>
      <w:r>
        <w:rPr>
          <w:rFonts w:hint="eastAsia" w:ascii="宋体" w:hAnsi="宋体" w:eastAsia="宋体" w:cs="宋体"/>
          <w:sz w:val="24"/>
          <w:szCs w:val="24"/>
          <w:lang w:val="en-US" w:eastAsia="zh-CN"/>
        </w:rPr>
        <w:t>本行</w:t>
      </w:r>
      <w:r>
        <w:rPr>
          <w:rFonts w:hint="eastAsia" w:ascii="宋体" w:hAnsi="宋体" w:eastAsia="宋体" w:cs="宋体"/>
          <w:sz w:val="24"/>
          <w:szCs w:val="24"/>
        </w:rPr>
        <w:t>于2022年1月至4月组织开展了监事会及监事2021年度履职评价工作，现将有关情况报告如下：</w:t>
      </w:r>
    </w:p>
    <w:p>
      <w:pPr>
        <w:pStyle w:val="25"/>
        <w:keepNext w:val="0"/>
        <w:keepLines w:val="0"/>
        <w:pageBreakBefore w:val="0"/>
        <w:widowControl w:val="0"/>
        <w:kinsoku/>
        <w:wordWrap/>
        <w:overflowPunct/>
        <w:topLinePunct w:val="0"/>
        <w:bidi w:val="0"/>
        <w:snapToGrid w:val="0"/>
        <w:spacing w:line="360" w:lineRule="auto"/>
        <w:ind w:left="556" w:firstLine="0" w:firstLineChars="0"/>
        <w:textAlignment w:val="auto"/>
        <w:rPr>
          <w:rFonts w:hint="eastAsia" w:ascii="宋体" w:hAnsi="宋体" w:eastAsia="宋体" w:cs="宋体"/>
          <w:b/>
          <w:sz w:val="24"/>
          <w:szCs w:val="24"/>
        </w:rPr>
      </w:pPr>
      <w:r>
        <w:rPr>
          <w:rFonts w:hint="eastAsia" w:ascii="宋体" w:hAnsi="宋体" w:eastAsia="宋体" w:cs="宋体"/>
          <w:b/>
          <w:sz w:val="24"/>
          <w:szCs w:val="24"/>
        </w:rPr>
        <w:t>一、履职评价工作开展情况</w:t>
      </w:r>
    </w:p>
    <w:p>
      <w:pPr>
        <w:pStyle w:val="25"/>
        <w:keepNext w:val="0"/>
        <w:keepLines w:val="0"/>
        <w:pageBreakBefore w:val="0"/>
        <w:widowControl w:val="0"/>
        <w:kinsoku/>
        <w:wordWrap/>
        <w:overflowPunct/>
        <w:topLinePunct w:val="0"/>
        <w:bidi w:val="0"/>
        <w:snapToGrid w:val="0"/>
        <w:spacing w:line="360" w:lineRule="auto"/>
        <w:ind w:left="556" w:firstLine="0" w:firstLineChars="0"/>
        <w:textAlignment w:val="auto"/>
        <w:rPr>
          <w:rFonts w:hint="eastAsia" w:ascii="宋体" w:hAnsi="宋体" w:eastAsia="宋体" w:cs="宋体"/>
          <w:b/>
          <w:sz w:val="24"/>
          <w:szCs w:val="24"/>
        </w:rPr>
      </w:pPr>
      <w:r>
        <w:rPr>
          <w:rFonts w:hint="eastAsia" w:ascii="宋体" w:hAnsi="宋体" w:eastAsia="宋体" w:cs="宋体"/>
          <w:b/>
          <w:sz w:val="24"/>
          <w:szCs w:val="24"/>
        </w:rPr>
        <w:t>（一）履职评价对象及内容</w:t>
      </w:r>
    </w:p>
    <w:p>
      <w:pPr>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履职评价对象为本行第八届监事会及监事。对监事会履职评价的重点是监事会运作的规范性和有效性等方面；对监事履职评价主要包括履行忠实义务、履行勤勉义务、履职专业性、履职独立性与道德水准、履职合规性五个维度，并结合监事类型特点以及其在监事会专门委员会中的任职情况，重点关注监事的日常履职行为。</w:t>
      </w:r>
    </w:p>
    <w:p>
      <w:pPr>
        <w:pStyle w:val="25"/>
        <w:keepNext w:val="0"/>
        <w:keepLines w:val="0"/>
        <w:pageBreakBefore w:val="0"/>
        <w:widowControl w:val="0"/>
        <w:kinsoku/>
        <w:wordWrap/>
        <w:overflowPunct/>
        <w:topLinePunct w:val="0"/>
        <w:bidi w:val="0"/>
        <w:snapToGrid w:val="0"/>
        <w:spacing w:line="360" w:lineRule="auto"/>
        <w:ind w:left="556" w:firstLine="0" w:firstLineChars="0"/>
        <w:textAlignment w:val="auto"/>
        <w:rPr>
          <w:rFonts w:hint="eastAsia" w:ascii="宋体" w:hAnsi="宋体" w:eastAsia="宋体" w:cs="宋体"/>
          <w:b/>
          <w:sz w:val="24"/>
          <w:szCs w:val="24"/>
        </w:rPr>
      </w:pPr>
      <w:r>
        <w:rPr>
          <w:rFonts w:hint="eastAsia" w:ascii="宋体" w:hAnsi="宋体" w:eastAsia="宋体" w:cs="宋体"/>
          <w:b/>
          <w:sz w:val="24"/>
          <w:szCs w:val="24"/>
        </w:rPr>
        <w:t>（二）评价程序和方法</w:t>
      </w:r>
    </w:p>
    <w:p>
      <w:pPr>
        <w:pStyle w:val="25"/>
        <w:keepNext w:val="0"/>
        <w:keepLines w:val="0"/>
        <w:pageBreakBefore w:val="0"/>
        <w:widowControl w:val="0"/>
        <w:kinsoku/>
        <w:wordWrap/>
        <w:overflowPunct/>
        <w:topLinePunct w:val="0"/>
        <w:bidi w:val="0"/>
        <w:snapToGrid w:val="0"/>
        <w:spacing w:line="360" w:lineRule="auto"/>
        <w:ind w:firstLine="480" w:firstLineChars="0"/>
        <w:textAlignment w:val="auto"/>
        <w:rPr>
          <w:rFonts w:hint="eastAsia" w:ascii="宋体" w:hAnsi="宋体" w:eastAsia="宋体" w:cs="宋体"/>
          <w:sz w:val="24"/>
          <w:szCs w:val="24"/>
        </w:rPr>
      </w:pPr>
      <w:r>
        <w:rPr>
          <w:rFonts w:hint="eastAsia" w:ascii="宋体" w:hAnsi="宋体" w:eastAsia="宋体" w:cs="宋体"/>
          <w:sz w:val="24"/>
          <w:szCs w:val="24"/>
        </w:rPr>
        <w:t>履职评价由本行监事会组织实施，根据《履职评价办法》等相关规定向监事发出《关于开展2021年度监事会及监事履职评价工作的通知》，请各位监事按照履职评价的要求及相关履职参考材料，客观、公正地做好履职评价自评以及对监事会履职情况评价工作，经过监事自评、监事对监事会评价、监事会提名委员会评价环节，监事会结合日常监督和内外部检查情况，对</w:t>
      </w:r>
      <w:r>
        <w:rPr>
          <w:rFonts w:hint="eastAsia" w:ascii="宋体" w:hAnsi="宋体" w:eastAsia="宋体" w:cs="宋体"/>
          <w:sz w:val="24"/>
          <w:szCs w:val="24"/>
          <w:lang w:val="en-US" w:eastAsia="zh-CN"/>
        </w:rPr>
        <w:t>监事会</w:t>
      </w:r>
      <w:r>
        <w:rPr>
          <w:rFonts w:hint="eastAsia" w:ascii="宋体" w:hAnsi="宋体" w:eastAsia="宋体" w:cs="宋体"/>
          <w:sz w:val="24"/>
          <w:szCs w:val="24"/>
        </w:rPr>
        <w:t>和监事履职情况进行综合评价，最终确定总体评价得分和评价等级。</w:t>
      </w:r>
    </w:p>
    <w:p>
      <w:pPr>
        <w:pStyle w:val="25"/>
        <w:keepNext w:val="0"/>
        <w:keepLines w:val="0"/>
        <w:pageBreakBefore w:val="0"/>
        <w:widowControl w:val="0"/>
        <w:kinsoku/>
        <w:wordWrap/>
        <w:overflowPunct/>
        <w:topLinePunct w:val="0"/>
        <w:bidi w:val="0"/>
        <w:snapToGrid w:val="0"/>
        <w:spacing w:line="360" w:lineRule="auto"/>
        <w:ind w:left="556" w:firstLine="0" w:firstLineChars="0"/>
        <w:textAlignment w:val="auto"/>
        <w:rPr>
          <w:rFonts w:hint="eastAsia" w:ascii="宋体" w:hAnsi="宋体" w:eastAsia="宋体" w:cs="宋体"/>
          <w:b/>
          <w:sz w:val="24"/>
          <w:szCs w:val="24"/>
        </w:rPr>
      </w:pPr>
      <w:r>
        <w:rPr>
          <w:rFonts w:hint="eastAsia" w:ascii="宋体" w:hAnsi="宋体" w:eastAsia="宋体" w:cs="宋体"/>
          <w:b/>
          <w:sz w:val="24"/>
          <w:szCs w:val="24"/>
        </w:rPr>
        <w:t>二、监事会2021年度履职监督自我评价</w:t>
      </w:r>
    </w:p>
    <w:p>
      <w:pPr>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2021年，监事会根据法律法规、监管要求和本行《公司章程》的规定，围绕全行中心工作，高质量召开监事会会议，深化履职监督，加强财务、战略、风险和内控管理监督，为促进本行进一步完善公司治理、实现稳健可持续发展发挥了积极作用。</w:t>
      </w:r>
    </w:p>
    <w:p>
      <w:pPr>
        <w:keepNext w:val="0"/>
        <w:keepLines w:val="0"/>
        <w:pageBreakBefore w:val="0"/>
        <w:widowControl w:val="0"/>
        <w:kinsoku/>
        <w:wordWrap/>
        <w:overflowPunct/>
        <w:topLinePunct w:val="0"/>
        <w:bidi w:val="0"/>
        <w:snapToGrid w:val="0"/>
        <w:spacing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sz w:val="24"/>
          <w:szCs w:val="24"/>
        </w:rPr>
        <w:t>（一）</w:t>
      </w:r>
      <w:r>
        <w:rPr>
          <w:rFonts w:hint="eastAsia" w:ascii="宋体" w:hAnsi="宋体" w:eastAsia="宋体" w:cs="宋体"/>
          <w:b/>
          <w:bCs/>
          <w:sz w:val="24"/>
          <w:szCs w:val="24"/>
        </w:rPr>
        <w:t>规范召开监事会会议。</w:t>
      </w:r>
      <w:r>
        <w:rPr>
          <w:rFonts w:hint="eastAsia" w:ascii="宋体" w:hAnsi="宋体" w:eastAsia="宋体" w:cs="宋体"/>
          <w:sz w:val="24"/>
          <w:szCs w:val="24"/>
        </w:rPr>
        <w:t>本行全年共召集召开8次监事会会议、10次监事会下设专门委员会会议。监事会审议并通过了定期报告、风险管理报告、内控评价报告、监事会工作报告、利润分配方案、行领导薪酬分配方案等43项议案；听取内部审计工作报告、公司治理评估报告、监管意见书及整改落实情况3项工作报告。以监督视角对本行各项重要经营管理事项进行充分研究审议，发表客观、独立的意见建议，并对重点关注事项进行提示。2021年，监事会通过监事会重点关注事项，向高级管理层提出了涉及公司风险管控、合规管理、业务结构、疫情防控等多个方面的建设性意见，得到管理层积极响应。</w:t>
      </w:r>
    </w:p>
    <w:p>
      <w:pPr>
        <w:keepNext w:val="0"/>
        <w:keepLines w:val="0"/>
        <w:pageBreakBefore w:val="0"/>
        <w:widowControl w:val="0"/>
        <w:kinsoku/>
        <w:wordWrap/>
        <w:overflowPunct/>
        <w:topLinePunct w:val="0"/>
        <w:bidi w:val="0"/>
        <w:snapToGrid w:val="0"/>
        <w:spacing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sz w:val="24"/>
          <w:szCs w:val="24"/>
        </w:rPr>
        <w:t>（二）</w:t>
      </w:r>
      <w:r>
        <w:rPr>
          <w:rFonts w:hint="eastAsia" w:ascii="宋体" w:hAnsi="宋体" w:eastAsia="宋体" w:cs="宋体"/>
          <w:b/>
          <w:bCs/>
          <w:sz w:val="24"/>
          <w:szCs w:val="24"/>
        </w:rPr>
        <w:t>有效开展监督工作。</w:t>
      </w:r>
      <w:r>
        <w:rPr>
          <w:rFonts w:hint="eastAsia" w:ascii="宋体" w:hAnsi="宋体" w:eastAsia="宋体" w:cs="宋体"/>
          <w:sz w:val="24"/>
          <w:szCs w:val="24"/>
        </w:rPr>
        <w:t>2021年，监事会派员出席全部3次股东大会，认真审阅会议议案，审查会议召集、召开程序的合法合规性，并派出监事作为监票人，对会议现场各项议案投票情况进行监督。监事会列席全部12次董事会现场会议及部分董事会下设专门委员会会议，关注重大事项的决策过程，并对会议召集、召开程序，对各项议案是否符合全体股东和本行利益，以及决议执行情况进行监督。职工监事通过参加总行党委会、行务会、周例会等全行各类重要经营管理会议，全面了解经营管理层执行董监事会决议、履行财务、内控和风险管理职责等情况，严格履行监事会的监督职责，体现了监事会对全体股东及利益相关者的保护责任。</w:t>
      </w:r>
    </w:p>
    <w:p>
      <w:pPr>
        <w:keepNext w:val="0"/>
        <w:keepLines w:val="0"/>
        <w:pageBreakBefore w:val="0"/>
        <w:widowControl w:val="0"/>
        <w:kinsoku/>
        <w:wordWrap/>
        <w:overflowPunct/>
        <w:topLinePunct w:val="0"/>
        <w:bidi w:val="0"/>
        <w:snapToGrid w:val="0"/>
        <w:spacing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sz w:val="24"/>
          <w:szCs w:val="24"/>
        </w:rPr>
        <w:t>（三）</w:t>
      </w:r>
      <w:r>
        <w:rPr>
          <w:rFonts w:hint="eastAsia" w:ascii="宋体" w:hAnsi="宋体" w:eastAsia="宋体" w:cs="宋体"/>
          <w:b/>
          <w:bCs/>
          <w:sz w:val="24"/>
          <w:szCs w:val="24"/>
        </w:rPr>
        <w:t>深入开展调研工作。</w:t>
      </w:r>
      <w:r>
        <w:rPr>
          <w:rFonts w:hint="eastAsia" w:ascii="宋体" w:hAnsi="宋体" w:eastAsia="宋体" w:cs="宋体"/>
          <w:sz w:val="24"/>
          <w:szCs w:val="24"/>
        </w:rPr>
        <w:t>2021年，监事会积极创新监督履职方式，通过现场与非现场调研相结合的方式，有效保证了监督质效。由监事会审计委员会牵头，选取有代表性的分支机构，认真制定调研方案，详细收集整理背景材料，通过材料分析、现场走访、员工座谈等多种形式开展调研工作，并形成检查报告《关于分行经营状况专项调研报告》提交监事会审议，从强化战略管理、加快大零售转型、发力绿色金融、推动集团联动等方面提出专业建议，促进完善内部管理，逐项抓好落实整改工作。</w:t>
      </w:r>
    </w:p>
    <w:p>
      <w:pPr>
        <w:keepNext w:val="0"/>
        <w:keepLines w:val="0"/>
        <w:pageBreakBefore w:val="0"/>
        <w:widowControl w:val="0"/>
        <w:kinsoku/>
        <w:wordWrap/>
        <w:overflowPunct/>
        <w:topLinePunct w:val="0"/>
        <w:bidi w:val="0"/>
        <w:snapToGrid w:val="0"/>
        <w:spacing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sz w:val="24"/>
          <w:szCs w:val="24"/>
        </w:rPr>
        <w:t>（四）</w:t>
      </w:r>
      <w:r>
        <w:rPr>
          <w:rFonts w:hint="eastAsia" w:ascii="宋体" w:hAnsi="宋体" w:eastAsia="宋体" w:cs="宋体"/>
          <w:b/>
          <w:bCs/>
          <w:sz w:val="24"/>
          <w:szCs w:val="24"/>
        </w:rPr>
        <w:t>持续优化履职评价体系。</w:t>
      </w:r>
      <w:r>
        <w:rPr>
          <w:rFonts w:hint="eastAsia" w:ascii="宋体" w:hAnsi="宋体" w:eastAsia="宋体" w:cs="宋体"/>
          <w:sz w:val="24"/>
          <w:szCs w:val="24"/>
        </w:rPr>
        <w:t>2021年，监事会针对监督评价制度体系进行全面系统梳理，对“两会一层”履职评价办法进行修订，进一步明确履职监督评价的具体内容、要素、方式、流程和结果运用，形成以履职评价制度为</w:t>
      </w:r>
      <w:r>
        <w:rPr>
          <w:rFonts w:hint="eastAsia" w:ascii="宋体" w:hAnsi="宋体" w:eastAsia="宋体" w:cs="宋体"/>
          <w:sz w:val="24"/>
          <w:szCs w:val="24"/>
          <w:lang w:val="en-US" w:eastAsia="zh-CN"/>
        </w:rPr>
        <w:t>基础</w:t>
      </w:r>
      <w:r>
        <w:rPr>
          <w:rFonts w:hint="eastAsia" w:ascii="宋体" w:hAnsi="宋体" w:eastAsia="宋体" w:cs="宋体"/>
          <w:sz w:val="24"/>
          <w:szCs w:val="24"/>
        </w:rPr>
        <w:t>的监事会监督制度体系；研究制订履职评价方案，按时组织开展董事、监事和高管人员履职自评、他评，不断加强履职监督档案建设，充实完善各类履职资料，做好履职信息采集核实、履职报告收集整理等各项工作。</w:t>
      </w:r>
    </w:p>
    <w:p>
      <w:pPr>
        <w:keepNext w:val="0"/>
        <w:keepLines w:val="0"/>
        <w:pageBreakBefore w:val="0"/>
        <w:widowControl w:val="0"/>
        <w:kinsoku/>
        <w:wordWrap/>
        <w:overflowPunct/>
        <w:topLinePunct w:val="0"/>
        <w:bidi w:val="0"/>
        <w:snapToGrid w:val="0"/>
        <w:spacing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监事会认为：</w:t>
      </w:r>
      <w:r>
        <w:rPr>
          <w:rFonts w:hint="eastAsia" w:ascii="宋体" w:hAnsi="宋体" w:eastAsia="宋体" w:cs="宋体"/>
          <w:sz w:val="24"/>
          <w:szCs w:val="24"/>
        </w:rPr>
        <w:t>在评价期内，监事会紧紧围绕本行战略发展目标和年度中心工作，认真落实监管要求，积极探索创新监督方式方法，持续完善监督机制，规范开展监督工作，深入了解本行经营状况，稳步提升监督效能。通过出席股东大会、列席董事会和高管层重要会议、开展专题调研，对董事会和高管层的履职、财务活动、风险管理、内部控制和战略发展等情况进行重点监督，监事会及各专门委员会勤勉履职，为公司可持续发展保驾护航。</w:t>
      </w:r>
    </w:p>
    <w:p>
      <w:pPr>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对照监事会履职评价标准，公司监事会2021年履职评价结果为：称职。</w:t>
      </w:r>
    </w:p>
    <w:p>
      <w:pPr>
        <w:pStyle w:val="25"/>
        <w:keepNext w:val="0"/>
        <w:keepLines w:val="0"/>
        <w:pageBreakBefore w:val="0"/>
        <w:widowControl w:val="0"/>
        <w:kinsoku/>
        <w:wordWrap/>
        <w:overflowPunct/>
        <w:topLinePunct w:val="0"/>
        <w:bidi w:val="0"/>
        <w:snapToGrid w:val="0"/>
        <w:spacing w:line="360" w:lineRule="auto"/>
        <w:ind w:left="556" w:firstLine="0" w:firstLineChars="0"/>
        <w:textAlignment w:val="auto"/>
        <w:rPr>
          <w:rFonts w:hint="eastAsia" w:ascii="宋体" w:hAnsi="宋体" w:eastAsia="宋体" w:cs="宋体"/>
          <w:b/>
          <w:sz w:val="24"/>
          <w:szCs w:val="24"/>
        </w:rPr>
      </w:pPr>
      <w:r>
        <w:rPr>
          <w:rFonts w:hint="eastAsia" w:ascii="宋体" w:hAnsi="宋体" w:eastAsia="宋体" w:cs="宋体"/>
          <w:b/>
          <w:sz w:val="24"/>
          <w:szCs w:val="24"/>
        </w:rPr>
        <w:t>三、对监事2021年度履职情况的评价</w:t>
      </w:r>
    </w:p>
    <w:p>
      <w:pPr>
        <w:pStyle w:val="25"/>
        <w:keepNext w:val="0"/>
        <w:keepLines w:val="0"/>
        <w:pageBreakBefore w:val="0"/>
        <w:widowControl w:val="0"/>
        <w:kinsoku/>
        <w:wordWrap/>
        <w:overflowPunct/>
        <w:topLinePunct w:val="0"/>
        <w:bidi w:val="0"/>
        <w:snapToGrid w:val="0"/>
        <w:spacing w:line="360" w:lineRule="auto"/>
        <w:ind w:firstLine="482"/>
        <w:textAlignment w:val="auto"/>
        <w:rPr>
          <w:rFonts w:hint="eastAsia" w:ascii="宋体" w:hAnsi="宋体" w:eastAsia="宋体" w:cs="宋体"/>
          <w:b/>
          <w:sz w:val="24"/>
          <w:szCs w:val="24"/>
        </w:rPr>
      </w:pPr>
      <w:r>
        <w:rPr>
          <w:rFonts w:hint="eastAsia" w:ascii="宋体" w:hAnsi="宋体" w:eastAsia="宋体" w:cs="宋体"/>
          <w:b/>
          <w:sz w:val="24"/>
          <w:szCs w:val="24"/>
        </w:rPr>
        <w:t>（一）履行忠实义务</w:t>
      </w:r>
    </w:p>
    <w:p>
      <w:pPr>
        <w:pStyle w:val="25"/>
        <w:keepNext w:val="0"/>
        <w:keepLines w:val="0"/>
        <w:pageBreakBefore w:val="0"/>
        <w:widowControl w:val="0"/>
        <w:kinsoku/>
        <w:wordWrap/>
        <w:overflowPunct/>
        <w:topLinePunct w:val="0"/>
        <w:bidi w:val="0"/>
        <w:snapToGrid w:val="0"/>
        <w:spacing w:line="360" w:lineRule="auto"/>
        <w:ind w:firstLine="480"/>
        <w:textAlignment w:val="auto"/>
        <w:rPr>
          <w:rFonts w:hint="eastAsia" w:ascii="宋体" w:hAnsi="宋体" w:eastAsia="宋体" w:cs="宋体"/>
          <w:b/>
          <w:sz w:val="24"/>
          <w:szCs w:val="24"/>
        </w:rPr>
      </w:pPr>
      <w:r>
        <w:rPr>
          <w:rFonts w:hint="eastAsia" w:ascii="宋体" w:hAnsi="宋体" w:eastAsia="宋体" w:cs="宋体"/>
          <w:sz w:val="24"/>
          <w:szCs w:val="24"/>
        </w:rPr>
        <w:t>2021年，全体监事能够以公司的最佳利益行事，严守公司秘密，未发现监事的本、兼职与其在本行的任职存在利益冲突，未发现监事有利用其在公司的地位和职权谋取私利、利用关联关系损害公司利益、接受不正当利益、泄露公司秘密或其他违反法律、法规及</w:t>
      </w:r>
      <w:r>
        <w:rPr>
          <w:rFonts w:hint="eastAsia" w:ascii="宋体" w:hAnsi="宋体" w:eastAsia="宋体" w:cs="宋体"/>
          <w:sz w:val="24"/>
          <w:szCs w:val="24"/>
          <w:lang w:eastAsia="zh-CN"/>
        </w:rPr>
        <w:t>《</w:t>
      </w:r>
      <w:r>
        <w:rPr>
          <w:rFonts w:hint="eastAsia" w:ascii="宋体" w:hAnsi="宋体" w:eastAsia="宋体" w:cs="宋体"/>
          <w:sz w:val="24"/>
          <w:szCs w:val="24"/>
        </w:rPr>
        <w:t>公司章程</w:t>
      </w:r>
      <w:r>
        <w:rPr>
          <w:rFonts w:hint="eastAsia" w:ascii="宋体" w:hAnsi="宋体" w:eastAsia="宋体" w:cs="宋体"/>
          <w:sz w:val="24"/>
          <w:szCs w:val="24"/>
          <w:lang w:eastAsia="zh-CN"/>
        </w:rPr>
        <w:t>》</w:t>
      </w:r>
      <w:r>
        <w:rPr>
          <w:rFonts w:hint="eastAsia" w:ascii="宋体" w:hAnsi="宋体" w:eastAsia="宋体" w:cs="宋体"/>
          <w:sz w:val="24"/>
          <w:szCs w:val="24"/>
        </w:rPr>
        <w:t>规定的忠实义务行为。</w:t>
      </w:r>
      <w:r>
        <w:rPr>
          <w:rFonts w:hint="eastAsia" w:ascii="宋体" w:hAnsi="宋体" w:eastAsia="宋体" w:cs="宋体"/>
          <w:sz w:val="24"/>
          <w:szCs w:val="24"/>
        </w:rPr>
        <w:cr/>
      </w:r>
      <w:r>
        <w:rPr>
          <w:rFonts w:hint="eastAsia" w:ascii="宋体" w:hAnsi="宋体" w:eastAsia="宋体" w:cs="宋体"/>
          <w:sz w:val="24"/>
          <w:szCs w:val="24"/>
        </w:rPr>
        <w:t xml:space="preserve">    </w:t>
      </w:r>
      <w:r>
        <w:rPr>
          <w:rFonts w:hint="eastAsia" w:ascii="宋体" w:hAnsi="宋体" w:eastAsia="宋体" w:cs="宋体"/>
          <w:b/>
          <w:sz w:val="24"/>
          <w:szCs w:val="24"/>
        </w:rPr>
        <w:t>（二）履行勤勉义务</w:t>
      </w:r>
    </w:p>
    <w:p>
      <w:pPr>
        <w:pStyle w:val="25"/>
        <w:keepNext w:val="0"/>
        <w:keepLines w:val="0"/>
        <w:pageBreakBefore w:val="0"/>
        <w:widowControl w:val="0"/>
        <w:kinsoku/>
        <w:wordWrap/>
        <w:overflowPunct/>
        <w:topLinePunct w:val="0"/>
        <w:bidi w:val="0"/>
        <w:snapToGrid w:val="0"/>
        <w:spacing w:line="360" w:lineRule="auto"/>
        <w:ind w:firstLine="480"/>
        <w:textAlignment w:val="auto"/>
        <w:rPr>
          <w:rFonts w:hint="eastAsia" w:ascii="宋体" w:hAnsi="宋体" w:eastAsia="宋体" w:cs="宋体"/>
          <w:sz w:val="24"/>
          <w:szCs w:val="24"/>
        </w:rPr>
      </w:pPr>
      <w:r>
        <w:rPr>
          <w:rFonts w:hint="eastAsia" w:ascii="宋体" w:hAnsi="宋体" w:eastAsia="宋体" w:cs="宋体"/>
          <w:sz w:val="24"/>
          <w:szCs w:val="24"/>
        </w:rPr>
        <w:t>2021年，全体监事能够积极履行监事职责和义务，出席股东大会、监事会及其相关专门委员会会议，认真审议和听取各项议案及汇报，深入了解公司经营情况，能够对提交监事会审议的事项独立、客观地进行表决。全年监事会会议亲自出席率达93.75%，监事会各专门委员会会议亲自出席率达100%，外部监事为本行工作时间均在15个工作日以上，符合法律法规和</w:t>
      </w:r>
      <w:r>
        <w:rPr>
          <w:rFonts w:hint="eastAsia" w:ascii="宋体" w:hAnsi="宋体" w:eastAsia="宋体" w:cs="宋体"/>
          <w:sz w:val="24"/>
          <w:szCs w:val="24"/>
          <w:lang w:eastAsia="zh-CN"/>
        </w:rPr>
        <w:t>《</w:t>
      </w:r>
      <w:r>
        <w:rPr>
          <w:rFonts w:hint="eastAsia" w:ascii="宋体" w:hAnsi="宋体" w:eastAsia="宋体" w:cs="宋体"/>
          <w:sz w:val="24"/>
          <w:szCs w:val="24"/>
        </w:rPr>
        <w:t>公司章程</w:t>
      </w:r>
      <w:r>
        <w:rPr>
          <w:rFonts w:hint="eastAsia" w:ascii="宋体" w:hAnsi="宋体" w:eastAsia="宋体" w:cs="宋体"/>
          <w:sz w:val="24"/>
          <w:szCs w:val="24"/>
          <w:lang w:eastAsia="zh-CN"/>
        </w:rPr>
        <w:t>》</w:t>
      </w:r>
      <w:r>
        <w:rPr>
          <w:rFonts w:hint="eastAsia" w:ascii="宋体" w:hAnsi="宋体" w:eastAsia="宋体" w:cs="宋体"/>
          <w:sz w:val="24"/>
          <w:szCs w:val="24"/>
        </w:rPr>
        <w:t>规定的勤勉义务行为。</w:t>
      </w:r>
    </w:p>
    <w:p>
      <w:pPr>
        <w:pStyle w:val="25"/>
        <w:keepNext w:val="0"/>
        <w:keepLines w:val="0"/>
        <w:pageBreakBefore w:val="0"/>
        <w:widowControl w:val="0"/>
        <w:kinsoku/>
        <w:wordWrap/>
        <w:overflowPunct/>
        <w:topLinePunct w:val="0"/>
        <w:bidi w:val="0"/>
        <w:snapToGrid w:val="0"/>
        <w:spacing w:line="360" w:lineRule="auto"/>
        <w:ind w:firstLine="482"/>
        <w:textAlignment w:val="auto"/>
        <w:rPr>
          <w:rFonts w:hint="eastAsia" w:ascii="宋体" w:hAnsi="宋体" w:eastAsia="宋体" w:cs="宋体"/>
          <w:b/>
          <w:sz w:val="24"/>
          <w:szCs w:val="24"/>
        </w:rPr>
      </w:pPr>
      <w:r>
        <w:rPr>
          <w:rFonts w:hint="eastAsia" w:ascii="宋体" w:hAnsi="宋体" w:eastAsia="宋体" w:cs="宋体"/>
          <w:b/>
          <w:sz w:val="24"/>
          <w:szCs w:val="24"/>
        </w:rPr>
        <w:t>（三）履行专业性</w:t>
      </w:r>
    </w:p>
    <w:p>
      <w:pPr>
        <w:pStyle w:val="25"/>
        <w:keepNext w:val="0"/>
        <w:keepLines w:val="0"/>
        <w:pageBreakBefore w:val="0"/>
        <w:widowControl w:val="0"/>
        <w:kinsoku/>
        <w:wordWrap/>
        <w:overflowPunct/>
        <w:topLinePunct w:val="0"/>
        <w:bidi w:val="0"/>
        <w:snapToGrid w:val="0"/>
        <w:spacing w:line="360" w:lineRule="auto"/>
        <w:ind w:firstLine="480"/>
        <w:textAlignment w:val="auto"/>
        <w:rPr>
          <w:rFonts w:hint="eastAsia" w:ascii="宋体" w:hAnsi="宋体" w:eastAsia="宋体" w:cs="宋体"/>
          <w:sz w:val="24"/>
          <w:szCs w:val="24"/>
        </w:rPr>
      </w:pPr>
      <w:r>
        <w:rPr>
          <w:rFonts w:hint="eastAsia" w:ascii="宋体" w:hAnsi="宋体" w:eastAsia="宋体" w:cs="宋体"/>
          <w:sz w:val="24"/>
          <w:szCs w:val="24"/>
        </w:rPr>
        <w:t>公司全体监事均具备履职所必需的专业知识、工作经验和基本素质，能够结合自身职责，积极参加监管机构和公司组织的培训活动，不断加强对有关法律法规、银行业政策与业务及经济形势的学习；充分发挥自身专业优势，研究提出科学合理的意见建议，为本行持续稳健经营发挥了监督保障作用。</w:t>
      </w:r>
    </w:p>
    <w:p>
      <w:pPr>
        <w:pStyle w:val="25"/>
        <w:keepNext w:val="0"/>
        <w:keepLines w:val="0"/>
        <w:pageBreakBefore w:val="0"/>
        <w:widowControl w:val="0"/>
        <w:kinsoku/>
        <w:wordWrap/>
        <w:overflowPunct/>
        <w:topLinePunct w:val="0"/>
        <w:bidi w:val="0"/>
        <w:snapToGrid w:val="0"/>
        <w:spacing w:line="360" w:lineRule="auto"/>
        <w:ind w:firstLine="482"/>
        <w:textAlignment w:val="auto"/>
        <w:rPr>
          <w:rFonts w:hint="eastAsia" w:ascii="宋体" w:hAnsi="宋体" w:eastAsia="宋体" w:cs="宋体"/>
          <w:b/>
          <w:bCs/>
          <w:sz w:val="24"/>
          <w:szCs w:val="24"/>
        </w:rPr>
      </w:pPr>
      <w:r>
        <w:rPr>
          <w:rFonts w:hint="eastAsia" w:ascii="宋体" w:hAnsi="宋体" w:eastAsia="宋体" w:cs="宋体"/>
          <w:b/>
          <w:sz w:val="24"/>
          <w:szCs w:val="24"/>
        </w:rPr>
        <w:t>（四）</w:t>
      </w:r>
      <w:r>
        <w:rPr>
          <w:rFonts w:hint="eastAsia" w:ascii="宋体" w:hAnsi="宋体" w:eastAsia="宋体" w:cs="宋体"/>
          <w:b/>
          <w:bCs/>
          <w:sz w:val="24"/>
          <w:szCs w:val="24"/>
        </w:rPr>
        <w:t>履职独立性与道德水准</w:t>
      </w:r>
    </w:p>
    <w:p>
      <w:pPr>
        <w:pStyle w:val="25"/>
        <w:keepNext w:val="0"/>
        <w:keepLines w:val="0"/>
        <w:pageBreakBefore w:val="0"/>
        <w:widowControl w:val="0"/>
        <w:kinsoku/>
        <w:wordWrap/>
        <w:overflowPunct/>
        <w:topLinePunct w:val="0"/>
        <w:bidi w:val="0"/>
        <w:snapToGrid w:val="0"/>
        <w:spacing w:line="360" w:lineRule="auto"/>
        <w:ind w:firstLine="480"/>
        <w:textAlignment w:val="auto"/>
        <w:rPr>
          <w:rFonts w:hint="eastAsia" w:ascii="宋体" w:hAnsi="宋体" w:eastAsia="宋体" w:cs="宋体"/>
          <w:sz w:val="24"/>
          <w:szCs w:val="24"/>
        </w:rPr>
      </w:pPr>
      <w:r>
        <w:rPr>
          <w:rFonts w:hint="eastAsia" w:ascii="宋体" w:hAnsi="宋体" w:eastAsia="宋体" w:cs="宋体"/>
          <w:sz w:val="24"/>
          <w:szCs w:val="24"/>
        </w:rPr>
        <w:t>在履职过程中，全体监事能够坚持高标准的职业道德准则，不受主要股东和内部人控制或干预，独立自主地履行职责，公平对待全体股东、维护利益相关者的合法权益、积极履行社会责任。</w:t>
      </w:r>
    </w:p>
    <w:p>
      <w:pPr>
        <w:pStyle w:val="25"/>
        <w:keepNext w:val="0"/>
        <w:keepLines w:val="0"/>
        <w:pageBreakBefore w:val="0"/>
        <w:widowControl w:val="0"/>
        <w:kinsoku/>
        <w:wordWrap/>
        <w:overflowPunct/>
        <w:topLinePunct w:val="0"/>
        <w:bidi w:val="0"/>
        <w:snapToGrid w:val="0"/>
        <w:spacing w:line="360" w:lineRule="auto"/>
        <w:ind w:firstLine="482"/>
        <w:textAlignment w:val="auto"/>
        <w:rPr>
          <w:rFonts w:hint="eastAsia" w:ascii="宋体" w:hAnsi="宋体" w:eastAsia="宋体" w:cs="宋体"/>
          <w:b/>
          <w:bCs/>
          <w:sz w:val="24"/>
          <w:szCs w:val="24"/>
        </w:rPr>
      </w:pPr>
      <w:r>
        <w:rPr>
          <w:rFonts w:hint="eastAsia" w:ascii="宋体" w:hAnsi="宋体" w:eastAsia="宋体" w:cs="宋体"/>
          <w:b/>
          <w:bCs/>
          <w:sz w:val="24"/>
          <w:szCs w:val="24"/>
        </w:rPr>
        <w:t>（五）履职合规性</w:t>
      </w:r>
    </w:p>
    <w:p>
      <w:pPr>
        <w:pStyle w:val="25"/>
        <w:keepNext w:val="0"/>
        <w:keepLines w:val="0"/>
        <w:pageBreakBefore w:val="0"/>
        <w:widowControl w:val="0"/>
        <w:kinsoku/>
        <w:wordWrap/>
        <w:overflowPunct/>
        <w:topLinePunct w:val="0"/>
        <w:bidi w:val="0"/>
        <w:snapToGrid w:val="0"/>
        <w:spacing w:line="360" w:lineRule="auto"/>
        <w:ind w:firstLine="480"/>
        <w:textAlignment w:val="auto"/>
        <w:rPr>
          <w:rFonts w:hint="eastAsia" w:ascii="宋体" w:hAnsi="宋体" w:eastAsia="宋体" w:cs="宋体"/>
          <w:sz w:val="24"/>
          <w:szCs w:val="24"/>
        </w:rPr>
      </w:pPr>
      <w:r>
        <w:rPr>
          <w:rFonts w:hint="eastAsia" w:ascii="宋体" w:hAnsi="宋体" w:eastAsia="宋体" w:cs="宋体"/>
          <w:sz w:val="24"/>
          <w:szCs w:val="24"/>
        </w:rPr>
        <w:t>2021年，全体监事能够遵守法律法规、监管规定及《公司章程》，持续规范自身履职行为，依法合规履行相应的职责，积极促进监事会不断提高履职监督的科学性和有效性，对公司推进战略规划落地、进一步完善公司治理结构、提高经营管理水平、保护投资者合法权益发挥了积极作用。</w:t>
      </w:r>
    </w:p>
    <w:p>
      <w:pPr>
        <w:keepNext w:val="0"/>
        <w:keepLines w:val="0"/>
        <w:pageBreakBefore w:val="0"/>
        <w:widowControl w:val="0"/>
        <w:kinsoku/>
        <w:wordWrap/>
        <w:overflowPunct/>
        <w:topLinePunct w:val="0"/>
        <w:bidi w:val="0"/>
        <w:snapToGrid w:val="0"/>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监事会认为：</w:t>
      </w:r>
    </w:p>
    <w:p>
      <w:pPr>
        <w:keepNext w:val="0"/>
        <w:keepLines w:val="0"/>
        <w:pageBreakBefore w:val="0"/>
        <w:widowControl w:val="0"/>
        <w:tabs>
          <w:tab w:val="left" w:pos="993"/>
        </w:tabs>
        <w:kinsoku/>
        <w:wordWrap/>
        <w:overflowPunct/>
        <w:topLinePunct w:val="0"/>
        <w:bidi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2021年，公司股东监事能够从公司全局和长远发展的角度出发，积极做好本行与股东之间的沟通工作，监督和支持本行重大事项的审议和实施，切实保障公司和股东的合法权益；外部监事本着客观、独立、审慎的原则，充分发挥专业特长，为本行稳健经营建言献策，作为监事会提名委员会、审计委员会主任委员，能够根据监事会授权职责，有效开展专门委员会的各项工作；职工监事能够立足本职工作，发挥自身对经营管理较为熟悉的优势，注重全面了解本行经营和业务发展情况，关注股东大会、董事会等重大事项决策程序，努力维护本行和职工的合法权益。 </w:t>
      </w:r>
    </w:p>
    <w:p>
      <w:pPr>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对照监事履职评价标准，公司监事2021年履职评价结果如下：</w:t>
      </w:r>
    </w:p>
    <w:tbl>
      <w:tblPr>
        <w:tblStyle w:val="13"/>
        <w:tblW w:w="8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6"/>
        <w:gridCol w:w="2594"/>
        <w:gridCol w:w="1546"/>
        <w:gridCol w:w="2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shd w:val="clear" w:color="auto" w:fill="C0C0C0"/>
            <w:noWrap w:val="0"/>
            <w:vAlign w:val="top"/>
          </w:tcPr>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outlineLvl w:val="0"/>
              <w:rPr>
                <w:rFonts w:hint="eastAsia" w:ascii="宋体" w:hAnsi="宋体" w:eastAsia="宋体" w:cs="宋体"/>
                <w:b/>
                <w:sz w:val="24"/>
                <w:szCs w:val="24"/>
              </w:rPr>
            </w:pPr>
            <w:r>
              <w:rPr>
                <w:rFonts w:hint="eastAsia" w:ascii="宋体" w:hAnsi="宋体" w:eastAsia="宋体" w:cs="宋体"/>
                <w:b/>
                <w:sz w:val="24"/>
                <w:szCs w:val="24"/>
              </w:rPr>
              <w:t>监事姓名</w:t>
            </w:r>
          </w:p>
        </w:tc>
        <w:tc>
          <w:tcPr>
            <w:tcW w:w="2594" w:type="dxa"/>
            <w:shd w:val="clear" w:color="auto" w:fill="C0C0C0"/>
            <w:noWrap w:val="0"/>
            <w:vAlign w:val="top"/>
          </w:tcPr>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outlineLvl w:val="0"/>
              <w:rPr>
                <w:rFonts w:hint="eastAsia" w:ascii="宋体" w:hAnsi="宋体" w:eastAsia="宋体" w:cs="宋体"/>
                <w:b/>
                <w:sz w:val="24"/>
                <w:szCs w:val="24"/>
              </w:rPr>
            </w:pPr>
            <w:r>
              <w:rPr>
                <w:rFonts w:hint="eastAsia" w:ascii="宋体" w:hAnsi="宋体" w:eastAsia="宋体" w:cs="宋体"/>
                <w:b/>
                <w:sz w:val="24"/>
                <w:szCs w:val="24"/>
              </w:rPr>
              <w:t>履职评价结果</w:t>
            </w:r>
          </w:p>
        </w:tc>
        <w:tc>
          <w:tcPr>
            <w:tcW w:w="1546" w:type="dxa"/>
            <w:shd w:val="clear" w:color="auto" w:fill="C0C0C0"/>
            <w:noWrap w:val="0"/>
            <w:vAlign w:val="top"/>
          </w:tcPr>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outlineLvl w:val="0"/>
              <w:rPr>
                <w:rFonts w:hint="eastAsia" w:ascii="宋体" w:hAnsi="宋体" w:eastAsia="宋体" w:cs="宋体"/>
                <w:b/>
                <w:sz w:val="24"/>
                <w:szCs w:val="24"/>
              </w:rPr>
            </w:pPr>
            <w:r>
              <w:rPr>
                <w:rFonts w:hint="eastAsia" w:ascii="宋体" w:hAnsi="宋体" w:eastAsia="宋体" w:cs="宋体"/>
                <w:b/>
                <w:sz w:val="24"/>
                <w:szCs w:val="24"/>
              </w:rPr>
              <w:t>监事姓名</w:t>
            </w:r>
          </w:p>
        </w:tc>
        <w:tc>
          <w:tcPr>
            <w:tcW w:w="2952" w:type="dxa"/>
            <w:shd w:val="clear" w:color="auto" w:fill="C0C0C0"/>
            <w:noWrap w:val="0"/>
            <w:vAlign w:val="top"/>
          </w:tcPr>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outlineLvl w:val="0"/>
              <w:rPr>
                <w:rFonts w:hint="eastAsia" w:ascii="宋体" w:hAnsi="宋体" w:eastAsia="宋体" w:cs="宋体"/>
                <w:b/>
                <w:sz w:val="24"/>
                <w:szCs w:val="24"/>
              </w:rPr>
            </w:pPr>
            <w:r>
              <w:rPr>
                <w:rFonts w:hint="eastAsia" w:ascii="宋体" w:hAnsi="宋体" w:eastAsia="宋体" w:cs="宋体"/>
                <w:b/>
                <w:sz w:val="24"/>
                <w:szCs w:val="24"/>
              </w:rPr>
              <w:t>履职评价结果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66"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张永欢</w:t>
            </w:r>
          </w:p>
        </w:tc>
        <w:tc>
          <w:tcPr>
            <w:tcW w:w="2594"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称职</w:t>
            </w:r>
          </w:p>
        </w:tc>
        <w:tc>
          <w:tcPr>
            <w:tcW w:w="1546"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袁  东</w:t>
            </w:r>
          </w:p>
        </w:tc>
        <w:tc>
          <w:tcPr>
            <w:tcW w:w="2952"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称职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陈铁铭</w:t>
            </w:r>
          </w:p>
        </w:tc>
        <w:tc>
          <w:tcPr>
            <w:tcW w:w="2594"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称职</w:t>
            </w:r>
          </w:p>
        </w:tc>
        <w:tc>
          <w:tcPr>
            <w:tcW w:w="1546"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方燕玲</w:t>
            </w:r>
          </w:p>
        </w:tc>
        <w:tc>
          <w:tcPr>
            <w:tcW w:w="2952"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称职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吴泉水</w:t>
            </w:r>
          </w:p>
        </w:tc>
        <w:tc>
          <w:tcPr>
            <w:tcW w:w="2594"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称职</w:t>
            </w:r>
          </w:p>
        </w:tc>
        <w:tc>
          <w:tcPr>
            <w:tcW w:w="1546"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朱聿聿</w:t>
            </w:r>
          </w:p>
        </w:tc>
        <w:tc>
          <w:tcPr>
            <w:tcW w:w="2952" w:type="dxa"/>
            <w:noWrap w:val="0"/>
            <w:vAlign w:val="center"/>
          </w:tcPr>
          <w:p>
            <w:pPr>
              <w:keepNext w:val="0"/>
              <w:keepLines w:val="0"/>
              <w:pageBreakBefore w:val="0"/>
              <w:widowControl w:val="0"/>
              <w:kinsoku/>
              <w:wordWrap/>
              <w:overflowPunct/>
              <w:topLinePunct w:val="0"/>
              <w:bidi w:val="0"/>
              <w:snapToGrid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称职</w:t>
            </w:r>
          </w:p>
        </w:tc>
      </w:tr>
    </w:tbl>
    <w:p>
      <w:pPr>
        <w:pStyle w:val="19"/>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szCs w:val="24"/>
          <w:lang w:val="en-US" w:eastAsia="zh-CN"/>
        </w:rPr>
      </w:pPr>
    </w:p>
    <w:p>
      <w:pPr>
        <w:pStyle w:val="19"/>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szCs w:val="24"/>
          <w:lang w:val="en-US" w:eastAsia="zh-CN"/>
        </w:rPr>
      </w:pPr>
    </w:p>
    <w:p>
      <w:pPr>
        <w:pStyle w:val="19"/>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本议案已经第八届监事会第</w:t>
      </w:r>
      <w:r>
        <w:rPr>
          <w:rFonts w:hint="eastAsia" w:ascii="宋体" w:hAnsi="宋体" w:eastAsia="宋体" w:cs="宋体"/>
          <w:sz w:val="24"/>
          <w:szCs w:val="24"/>
          <w:lang w:val="en-US" w:eastAsia="zh-CN"/>
        </w:rPr>
        <w:t>十二</w:t>
      </w:r>
      <w:r>
        <w:rPr>
          <w:rFonts w:hint="eastAsia" w:ascii="宋体" w:hAnsi="宋体" w:eastAsia="宋体" w:cs="宋体"/>
          <w:sz w:val="24"/>
          <w:szCs w:val="24"/>
        </w:rPr>
        <w:t>次会议审议通过。</w:t>
      </w:r>
      <w:r>
        <w:rPr>
          <w:rFonts w:hint="eastAsia" w:ascii="宋体" w:hAnsi="宋体" w:eastAsia="宋体" w:cs="宋体"/>
          <w:sz w:val="24"/>
          <w:szCs w:val="24"/>
          <w:lang w:val="en-US" w:eastAsia="zh-CN"/>
        </w:rPr>
        <w:t>特此报告。</w:t>
      </w:r>
    </w:p>
    <w:p>
      <w:pPr>
        <w:pStyle w:val="19"/>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szCs w:val="24"/>
        </w:rPr>
      </w:pPr>
    </w:p>
    <w:p>
      <w:pPr>
        <w:pStyle w:val="19"/>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ascii="宋体" w:hAnsi="宋体" w:eastAsia="宋体" w:cs="宋体"/>
          <w:sz w:val="24"/>
          <w:szCs w:val="24"/>
        </w:rPr>
      </w:pPr>
    </w:p>
    <w:p>
      <w:pPr>
        <w:pStyle w:val="7"/>
        <w:keepNext w:val="0"/>
        <w:keepLines w:val="0"/>
        <w:pageBreakBefore w:val="0"/>
        <w:widowControl w:val="0"/>
        <w:kinsoku/>
        <w:wordWrap/>
        <w:overflowPunct/>
        <w:topLinePunct w:val="0"/>
        <w:bidi w:val="0"/>
        <w:snapToGrid w:val="0"/>
        <w:spacing w:line="360" w:lineRule="auto"/>
        <w:ind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厦门银行股份有限公司</w:t>
      </w:r>
    </w:p>
    <w:p>
      <w:pPr>
        <w:pStyle w:val="7"/>
        <w:keepNext w:val="0"/>
        <w:keepLines w:val="0"/>
        <w:pageBreakBefore w:val="0"/>
        <w:widowControl w:val="0"/>
        <w:kinsoku/>
        <w:wordWrap/>
        <w:overflowPunct/>
        <w:topLinePunct w:val="0"/>
        <w:bidi w:val="0"/>
        <w:snapToGrid w:val="0"/>
        <w:spacing w:line="360" w:lineRule="auto"/>
        <w:ind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2</w:t>
      </w:r>
      <w:r>
        <w:rPr>
          <w:rFonts w:hint="eastAsia" w:ascii="宋体" w:hAnsi="宋体" w:eastAsia="宋体" w:cs="宋体"/>
          <w:sz w:val="24"/>
          <w:szCs w:val="24"/>
        </w:rPr>
        <w:t>年</w:t>
      </w:r>
      <w:r>
        <w:rPr>
          <w:rFonts w:hint="eastAsia" w:ascii="宋体" w:hAnsi="宋体" w:eastAsia="宋体" w:cs="宋体"/>
          <w:sz w:val="24"/>
          <w:szCs w:val="24"/>
          <w:lang w:val="en-US" w:eastAsia="zh-CN"/>
        </w:rPr>
        <w:t>6</w:t>
      </w:r>
      <w:r>
        <w:rPr>
          <w:rFonts w:hint="eastAsia" w:ascii="宋体" w:hAnsi="宋体" w:eastAsia="宋体" w:cs="宋体"/>
          <w:sz w:val="24"/>
          <w:szCs w:val="24"/>
        </w:rPr>
        <w:t>月</w:t>
      </w:r>
      <w:r>
        <w:rPr>
          <w:rFonts w:hint="eastAsia" w:ascii="宋体" w:hAnsi="宋体" w:eastAsia="宋体" w:cs="宋体"/>
          <w:sz w:val="24"/>
          <w:szCs w:val="24"/>
          <w:lang w:val="en-US" w:eastAsia="zh-CN"/>
        </w:rPr>
        <w:t>2</w:t>
      </w:r>
      <w:r>
        <w:rPr>
          <w:rFonts w:hint="eastAsia" w:ascii="宋体" w:hAnsi="宋体" w:eastAsia="宋体" w:cs="宋体"/>
          <w:sz w:val="24"/>
          <w:szCs w:val="24"/>
        </w:rPr>
        <w:t>日</w:t>
      </w:r>
    </w:p>
    <w:p>
      <w:pPr>
        <w:pStyle w:val="7"/>
        <w:snapToGrid w:val="0"/>
        <w:spacing w:line="360" w:lineRule="auto"/>
        <w:ind w:firstLine="480" w:firstLineChars="200"/>
        <w:jc w:val="right"/>
        <w:rPr>
          <w:rFonts w:hint="eastAsia" w:hAnsi="宋体" w:eastAsia="宋体" w:cs="宋体"/>
          <w:sz w:val="24"/>
          <w:szCs w:val="24"/>
        </w:rPr>
      </w:pPr>
    </w:p>
    <w:p>
      <w:pPr>
        <w:pStyle w:val="2"/>
      </w:pPr>
    </w:p>
    <w:sectPr>
      <w:pgSz w:w="11906" w:h="16838"/>
      <w:pgMar w:top="1440" w:right="1468" w:bottom="1440" w:left="1797" w:header="851" w:footer="992" w:gutter="0"/>
      <w:cols w:space="0" w:num="1"/>
      <w:rtlGutter w:val="0"/>
      <w:docGrid w:type="lines" w:linePitch="32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fkHQ0V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fkHQ0VAgAAFQQAAA4AAAAAAAAA&#10;AQAgAAAAHwEAAGRycy9lMm9Eb2MueG1sUEsFBgAAAAAGAAYAWQEAAKYFA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ascii="Arial" w:hAnsi="Arial" w:cs="Arial"/>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rPr>
                            <w:id w:val="377520513"/>
                            <w:docPartObj>
                              <w:docPartGallery w:val="autotext"/>
                            </w:docPartObj>
                          </w:sdtPr>
                          <w:sdtEndPr>
                            <w:rPr>
                              <w:rFonts w:ascii="Arial" w:hAnsi="Arial" w:cs="Arial"/>
                            </w:rPr>
                          </w:sdtEndPr>
                          <w:sdtContent>
                            <w:p>
                              <w:pPr>
                                <w:pStyle w:val="9"/>
                                <w:jc w:val="center"/>
                                <w:rPr>
                                  <w:rFonts w:ascii="Arial" w:hAnsi="Arial" w:cs="Arial"/>
                                </w:rPr>
                              </w:pPr>
                              <w:r>
                                <w:rPr>
                                  <w:rFonts w:ascii="Arial" w:hAnsi="Arial" w:cs="Arial"/>
                                </w:rPr>
                                <w:fldChar w:fldCharType="begin"/>
                              </w:r>
                              <w:r>
                                <w:rPr>
                                  <w:rFonts w:ascii="Arial" w:hAnsi="Arial" w:cs="Arial"/>
                                </w:rPr>
                                <w:instrText xml:space="preserve"> PAGE   \* MERGEFORMAT </w:instrText>
                              </w:r>
                              <w:r>
                                <w:rPr>
                                  <w:rFonts w:ascii="Arial" w:hAnsi="Arial" w:cs="Arial"/>
                                </w:rPr>
                                <w:fldChar w:fldCharType="separate"/>
                              </w:r>
                              <w:r>
                                <w:rPr>
                                  <w:rFonts w:ascii="Arial" w:hAnsi="Arial" w:cs="Arial"/>
                                </w:rPr>
                                <w:t>4</w:t>
                              </w:r>
                              <w:r>
                                <w:rPr>
                                  <w:rFonts w:ascii="Arial" w:hAnsi="Arial" w:cs="Arial"/>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3aO4V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hRDOFHZ1+fD/9fDj9+kagA0Ct9TP4bSw8Q/fOdFj0oPdQxrm7&#10;yql4YyICO6A+XuAVXSA8Bk0n02kOE4dteCB/9hhunQ/vhVEkCgV12F+ClR3WPvSug0usps2qkTLt&#10;UGrSFvTq9d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q3aO4VAgAAFQQAAA4AAAAAAAAA&#10;AQAgAAAAHwEAAGRycy9lMm9Eb2MueG1sUEsFBgAAAAAGAAYAWQEAAKYFAAAAAA==&#10;">
              <v:fill on="f" focussize="0,0"/>
              <v:stroke on="f" weight="0.5pt"/>
              <v:imagedata o:title=""/>
              <o:lock v:ext="edit" aspectratio="f"/>
              <v:textbox inset="0mm,0mm,0mm,0mm" style="mso-fit-shape-to-text:t;">
                <w:txbxContent>
                  <w:sdt>
                    <w:sdtPr>
                      <w:rPr>
                        <w:rFonts w:ascii="Arial" w:hAnsi="Arial" w:cs="Arial"/>
                      </w:rPr>
                      <w:id w:val="377520513"/>
                      <w:docPartObj>
                        <w:docPartGallery w:val="autotext"/>
                      </w:docPartObj>
                    </w:sdtPr>
                    <w:sdtEndPr>
                      <w:rPr>
                        <w:rFonts w:ascii="Arial" w:hAnsi="Arial" w:cs="Arial"/>
                      </w:rPr>
                    </w:sdtEndPr>
                    <w:sdtContent>
                      <w:p>
                        <w:pPr>
                          <w:pStyle w:val="9"/>
                          <w:jc w:val="center"/>
                          <w:rPr>
                            <w:rFonts w:ascii="Arial" w:hAnsi="Arial" w:cs="Arial"/>
                          </w:rPr>
                        </w:pPr>
                        <w:r>
                          <w:rPr>
                            <w:rFonts w:ascii="Arial" w:hAnsi="Arial" w:cs="Arial"/>
                          </w:rPr>
                          <w:fldChar w:fldCharType="begin"/>
                        </w:r>
                        <w:r>
                          <w:rPr>
                            <w:rFonts w:ascii="Arial" w:hAnsi="Arial" w:cs="Arial"/>
                          </w:rPr>
                          <w:instrText xml:space="preserve"> PAGE   \* MERGEFORMAT </w:instrText>
                        </w:r>
                        <w:r>
                          <w:rPr>
                            <w:rFonts w:ascii="Arial" w:hAnsi="Arial" w:cs="Arial"/>
                          </w:rPr>
                          <w:fldChar w:fldCharType="separate"/>
                        </w:r>
                        <w:r>
                          <w:rPr>
                            <w:rFonts w:ascii="Arial" w:hAnsi="Arial" w:cs="Arial"/>
                          </w:rPr>
                          <w:t>4</w:t>
                        </w:r>
                        <w:r>
                          <w:rPr>
                            <w:rFonts w:ascii="Arial" w:hAnsi="Arial" w:cs="Arial"/>
                          </w:rPr>
                          <w:fldChar w:fldCharType="end"/>
                        </w:r>
                      </w:p>
                    </w:sdtContent>
                  </w:sdt>
                  <w:p>
                    <w:pPr>
                      <w:pStyle w:val="2"/>
                    </w:pPr>
                  </w:p>
                </w:txbxContent>
              </v:textbox>
            </v:shape>
          </w:pict>
        </mc:Fallback>
      </mc:AlternateContent>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226695"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22669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rPr>
                            <w:fldChar w:fldCharType="begin"/>
                          </w:r>
                          <w:r>
                            <w:rPr>
                              <w:rFonts w:hint="eastAsia"/>
                            </w:rPr>
                            <w:instrText xml:space="preserve"> PAGE  \* MERGEFORMAT </w:instrText>
                          </w:r>
                          <w:r>
                            <w:rPr>
                              <w:rFonts w:hint="eastAsia"/>
                            </w:rPr>
                            <w:fldChar w:fldCharType="separate"/>
                          </w:r>
                          <w:r>
                            <w:t>39</w:t>
                          </w:r>
                          <w:r>
                            <w:rPr>
                              <w:rFonts w:hint="eastAsia"/>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7.85pt;mso-position-horizontal:center;mso-position-horizontal-relative:margin;z-index:251663360;mso-width-relative:page;mso-height-relative:page;" filled="f" stroked="f" coordsize="21600,21600" o:gfxdata="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1b1SB1AAAAAQBAAAPAAAAAAAA&#10;AAEAIAAAACIAAABkcnMvZG93bnJldi54bWxQSwECFAAUAAAACACHTuJAjeFPihYCAAAKBAAADgAA&#10;AAAAAAABACAAAAAjAQAAZHJzL2Uyb0RvYy54bWxQSwUGAAAAAAYABgBZAQAAqwUAAAAA&#10;">
              <v:fill on="f" focussize="0,0"/>
              <v:stroke on="f" weight="0.5pt"/>
              <v:imagedata o:title=""/>
              <o:lock v:ext="edit" aspectratio="f"/>
              <v:textbox inset="0mm,0mm,0mm,0mm" style="mso-fit-shape-to-text:t;">
                <w:txbxContent>
                  <w:p>
                    <w:pPr>
                      <w:pStyle w:val="9"/>
                    </w:pPr>
                    <w:r>
                      <w:rPr>
                        <w:rFonts w:hint="eastAsia"/>
                      </w:rPr>
                      <w:fldChar w:fldCharType="begin"/>
                    </w:r>
                    <w:r>
                      <w:rPr>
                        <w:rFonts w:hint="eastAsia"/>
                      </w:rPr>
                      <w:instrText xml:space="preserve"> PAGE  \* MERGEFORMAT </w:instrText>
                    </w:r>
                    <w:r>
                      <w:rPr>
                        <w:rFonts w:hint="eastAsia"/>
                      </w:rPr>
                      <w:fldChar w:fldCharType="separate"/>
                    </w:r>
                    <w:r>
                      <w:t>39</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11"/>
        <w:rPr>
          <w:szCs w:val="18"/>
        </w:rPr>
      </w:pPr>
      <w:r>
        <w:rPr>
          <w:rStyle w:val="18"/>
          <w:szCs w:val="18"/>
        </w:rPr>
        <w:footnoteRef/>
      </w:r>
      <w:r>
        <w:rPr>
          <w:szCs w:val="18"/>
        </w:rPr>
        <w:t xml:space="preserve"> </w:t>
      </w:r>
      <w:r>
        <w:rPr>
          <w:rFonts w:hint="eastAsia"/>
          <w:szCs w:val="18"/>
        </w:rPr>
        <w:t>由于富邦金融控股股份有限公司关联方的预计额度间不可共用，故单独列示。</w:t>
      </w:r>
    </w:p>
  </w:footnote>
  <w:footnote w:id="1">
    <w:p>
      <w:pPr>
        <w:pStyle w:val="11"/>
        <w:rPr>
          <w:highlight w:val="none"/>
        </w:rPr>
      </w:pPr>
      <w:r>
        <w:rPr>
          <w:rStyle w:val="18"/>
          <w:highlight w:val="none"/>
        </w:rPr>
        <w:footnoteRef/>
      </w:r>
      <w:r>
        <w:rPr>
          <w:highlight w:val="none"/>
        </w:rPr>
        <w:t xml:space="preserve"> </w:t>
      </w:r>
      <w:r>
        <w:rPr>
          <w:rFonts w:hint="eastAsia"/>
          <w:highlight w:val="none"/>
        </w:rPr>
        <w:t>2021年9月末台北富邦银行财务数据以2021年9月30日新台币兑人民币中间价进行折算，2021年9月30日1台币=0.23314元人民币</w:t>
      </w:r>
    </w:p>
  </w:footnote>
  <w:footnote w:id="2">
    <w:p>
      <w:pPr>
        <w:pStyle w:val="11"/>
        <w:rPr>
          <w:highlight w:val="none"/>
        </w:rPr>
      </w:pPr>
      <w:r>
        <w:rPr>
          <w:rStyle w:val="18"/>
          <w:highlight w:val="none"/>
        </w:rPr>
        <w:footnoteRef/>
      </w:r>
      <w:r>
        <w:rPr>
          <w:highlight w:val="none"/>
        </w:rPr>
        <w:t xml:space="preserve"> </w:t>
      </w:r>
      <w:r>
        <w:rPr>
          <w:rFonts w:hint="eastAsia"/>
          <w:highlight w:val="none"/>
        </w:rPr>
        <w:t>2021年6月末富邦银行（香港）财务数据以2021年6月30日港币兑人民币中间价进行折算，2021年6月30日1港币=0.83208元人民币。</w:t>
      </w:r>
    </w:p>
  </w:footnote>
  <w:footnote w:id="3">
    <w:p>
      <w:pPr>
        <w:pStyle w:val="11"/>
      </w:pPr>
      <w:r>
        <w:rPr>
          <w:rStyle w:val="18"/>
        </w:rPr>
        <w:footnoteRef/>
      </w:r>
      <w:r>
        <w:t xml:space="preserve"> </w:t>
      </w:r>
      <w:r>
        <w:rPr>
          <w:rFonts w:hint="eastAsia"/>
        </w:rPr>
        <w:t>2021年9月末日盛国际商业银行财务数据以2021年9月30日新台币兑人民币中间价进行折算，2021年9月30日1台币=0.23314元人民币。</w:t>
      </w:r>
    </w:p>
  </w:footnote>
  <w:footnote w:id="4">
    <w:p>
      <w:pPr>
        <w:pStyle w:val="11"/>
        <w:snapToGrid w:val="0"/>
        <w:rPr>
          <w:rFonts w:hint="eastAsia" w:eastAsiaTheme="minorEastAsia"/>
          <w:lang w:val="en-US" w:eastAsia="zh-CN"/>
        </w:rPr>
      </w:pPr>
      <w:r>
        <w:rPr>
          <w:rStyle w:val="18"/>
          <w:rFonts w:hint="eastAsia" w:ascii="Times New Roman" w:hAnsi="Times New Roman" w:eastAsia="宋体" w:cs="Times New Roman"/>
        </w:rPr>
        <w:footnoteRef/>
      </w:r>
      <w:r>
        <w:rPr>
          <w:rStyle w:val="18"/>
          <w:rFonts w:ascii="Times New Roman" w:hAnsi="Times New Roman" w:eastAsia="宋体" w:cs="Times New Roman"/>
        </w:rPr>
        <w:t xml:space="preserve"> </w:t>
      </w:r>
      <w:r>
        <w:rPr>
          <w:rFonts w:hint="eastAsia" w:asciiTheme="minorHAnsi" w:hAnsiTheme="minorHAnsi" w:cstheme="minorBidi"/>
          <w:sz w:val="18"/>
        </w:rPr>
        <w:t>日盛国际商业银行股份有限公司</w:t>
      </w:r>
      <w:r>
        <w:rPr>
          <w:rFonts w:hint="eastAsia" w:asciiTheme="minorHAnsi" w:hAnsiTheme="minorHAnsi" w:cstheme="minorBidi"/>
          <w:sz w:val="18"/>
          <w:lang w:val="en-US" w:eastAsia="zh-CN"/>
        </w:rPr>
        <w:t>于2021年</w:t>
      </w:r>
      <w:r>
        <w:rPr>
          <w:rFonts w:hint="eastAsia" w:cstheme="minorBidi"/>
          <w:sz w:val="18"/>
          <w:lang w:val="en-US" w:eastAsia="zh-CN"/>
        </w:rPr>
        <w:t>6</w:t>
      </w:r>
      <w:r>
        <w:rPr>
          <w:rFonts w:hint="eastAsia" w:asciiTheme="minorHAnsi" w:hAnsiTheme="minorHAnsi" w:cstheme="minorBidi"/>
          <w:sz w:val="18"/>
          <w:lang w:val="en-US" w:eastAsia="zh-CN"/>
        </w:rPr>
        <w:t>月</w:t>
      </w:r>
      <w:r>
        <w:rPr>
          <w:rFonts w:hint="eastAsia" w:cstheme="minorBidi"/>
          <w:sz w:val="18"/>
          <w:lang w:val="en-US" w:eastAsia="zh-CN"/>
        </w:rPr>
        <w:t>30日</w:t>
      </w:r>
      <w:r>
        <w:rPr>
          <w:rFonts w:hint="eastAsia" w:asciiTheme="minorHAnsi" w:hAnsiTheme="minorHAnsi" w:cstheme="minorBidi"/>
          <w:sz w:val="18"/>
          <w:lang w:val="en-US" w:eastAsia="zh-CN"/>
        </w:rPr>
        <w:t>成为本行关联方</w:t>
      </w:r>
      <w:r>
        <w:rPr>
          <w:rFonts w:hint="eastAsia" w:cstheme="minorBidi"/>
          <w:sz w:val="18"/>
          <w:lang w:val="en-US" w:eastAsia="zh-CN"/>
        </w:rPr>
        <w:t>。</w:t>
      </w:r>
    </w:p>
  </w:footnote>
  <w:footnote w:id="5">
    <w:p>
      <w:pPr>
        <w:pStyle w:val="11"/>
        <w:snapToGrid w:val="0"/>
        <w:rPr>
          <w:rFonts w:hint="eastAsia"/>
          <w:lang w:val="en-US"/>
        </w:rPr>
      </w:pPr>
      <w:r>
        <w:rPr>
          <w:rStyle w:val="18"/>
        </w:rPr>
        <w:footnoteRef/>
      </w:r>
      <w:r>
        <w:t xml:space="preserve"> </w:t>
      </w:r>
      <w:r>
        <w:rPr>
          <w:rFonts w:hint="eastAsia"/>
          <w:lang w:val="en-US" w:eastAsia="zh-CN"/>
        </w:rPr>
        <w:t>指本行</w:t>
      </w:r>
      <w:r>
        <w:rPr>
          <w:rFonts w:hint="eastAsia" w:ascii="Times New Roman" w:hAnsi="Times New Roman" w:cs="Times New Roman"/>
          <w:color w:val="auto"/>
          <w:kern w:val="2"/>
          <w:sz w:val="18"/>
          <w:szCs w:val="20"/>
          <w:lang w:val="en-US" w:eastAsia="zh-CN"/>
        </w:rPr>
        <w:t>2019年股东大会</w:t>
      </w:r>
      <w:r>
        <w:rPr>
          <w:rFonts w:hint="eastAsia" w:cs="Times New Roman"/>
          <w:color w:val="auto"/>
          <w:kern w:val="2"/>
          <w:sz w:val="18"/>
          <w:szCs w:val="20"/>
          <w:lang w:val="en-US" w:eastAsia="zh-CN"/>
        </w:rPr>
        <w:t>年会</w:t>
      </w:r>
      <w:r>
        <w:rPr>
          <w:rFonts w:hint="eastAsia" w:ascii="Times New Roman" w:hAnsi="Times New Roman" w:cs="Times New Roman"/>
          <w:color w:val="auto"/>
          <w:kern w:val="2"/>
          <w:sz w:val="18"/>
          <w:szCs w:val="20"/>
          <w:lang w:val="en-US" w:eastAsia="zh-CN"/>
        </w:rPr>
        <w:t>决议通过</w:t>
      </w:r>
      <w:r>
        <w:rPr>
          <w:rFonts w:hint="eastAsia" w:cs="Times New Roman"/>
          <w:kern w:val="2"/>
          <w:sz w:val="18"/>
          <w:szCs w:val="20"/>
          <w:lang w:val="en-US" w:eastAsia="zh-CN"/>
        </w:rPr>
        <w:t>的</w:t>
      </w:r>
      <w:r>
        <w:rPr>
          <w:rFonts w:hint="eastAsia" w:ascii="Times New Roman" w:hAnsi="Times New Roman" w:cs="Times New Roman"/>
          <w:b w:val="0"/>
          <w:color w:val="auto"/>
          <w:kern w:val="2"/>
          <w:sz w:val="18"/>
          <w:szCs w:val="20"/>
          <w:lang w:val="en-US" w:eastAsia="zh-CN"/>
        </w:rPr>
        <w:t>《厦门银行股份有限公司关于发行金融债券的议案》</w:t>
      </w:r>
      <w:r>
        <w:rPr>
          <w:rFonts w:hint="eastAsia" w:cs="Times New Roman"/>
          <w:b w:val="0"/>
          <w:kern w:val="2"/>
          <w:sz w:val="18"/>
          <w:szCs w:val="20"/>
          <w:lang w:val="en-US" w:eastAsia="zh-CN"/>
        </w:rPr>
        <w:t>项下的</w:t>
      </w:r>
      <w:r>
        <w:rPr>
          <w:rFonts w:hint="eastAsia" w:ascii="Times New Roman" w:hAnsi="Times New Roman" w:cs="Times New Roman"/>
          <w:bCs w:val="0"/>
          <w:sz w:val="18"/>
          <w:szCs w:val="20"/>
          <w:lang w:val="en-US" w:eastAsia="zh-CN"/>
        </w:rPr>
        <w:t>正在向监管部门申请的60亿元小微金融债</w:t>
      </w:r>
      <w:r>
        <w:rPr>
          <w:rFonts w:hint="eastAsia" w:cs="Times New Roman"/>
          <w:bCs w:val="0"/>
          <w:sz w:val="18"/>
          <w:szCs w:val="20"/>
          <w:lang w:val="en-US" w:eastAsia="zh-CN"/>
        </w:rPr>
        <w:t>。</w:t>
      </w:r>
    </w:p>
  </w:footnote>
  <w:footnote w:id="6">
    <w:p>
      <w:pPr>
        <w:pStyle w:val="11"/>
        <w:snapToGrid w:val="0"/>
      </w:pPr>
      <w:r>
        <w:rPr>
          <w:rStyle w:val="18"/>
        </w:rPr>
        <w:footnoteRef/>
      </w:r>
      <w:r>
        <w:t xml:space="preserve"> </w:t>
      </w:r>
      <w:r>
        <w:rPr>
          <w:rFonts w:hint="eastAsia"/>
        </w:rPr>
        <w:t>《商业银行与内部人和股东关联交易管理办法》</w:t>
      </w:r>
      <w:r>
        <w:rPr>
          <w:rFonts w:hint="eastAsia"/>
          <w:lang w:val="en-US" w:eastAsia="zh-CN"/>
        </w:rPr>
        <w:t>于2022年3月1日废止。</w:t>
      </w:r>
    </w:p>
  </w:footnote>
  <w:footnote w:id="7">
    <w:p>
      <w:pPr>
        <w:pStyle w:val="11"/>
        <w:snapToGrid w:val="0"/>
        <w:rPr>
          <w:rFonts w:hint="default" w:eastAsia="宋体"/>
          <w:lang w:val="en-US" w:eastAsia="zh-CN"/>
        </w:rPr>
      </w:pPr>
      <w:r>
        <w:rPr>
          <w:rStyle w:val="18"/>
        </w:rPr>
        <w:footnoteRef/>
      </w:r>
      <w:r>
        <w:t xml:space="preserve"> </w:t>
      </w:r>
      <w:r>
        <w:rPr>
          <w:rFonts w:hint="eastAsia" w:ascii="宋体" w:hAnsi="宋体" w:eastAsia="宋体" w:cs="宋体"/>
        </w:rPr>
        <w:t>《关于在上市公司建立独立董事制度的指导意见》</w:t>
      </w:r>
      <w:r>
        <w:rPr>
          <w:rFonts w:hint="eastAsia" w:ascii="宋体" w:hAnsi="宋体" w:eastAsia="宋体" w:cs="宋体"/>
          <w:lang w:val="en-US" w:eastAsia="zh-CN"/>
        </w:rPr>
        <w:t>于2022年1月废止</w:t>
      </w:r>
      <w:r>
        <w:rPr>
          <w:rFonts w:hint="eastAsia" w:ascii="宋体" w:hAnsi="宋体" w:cs="宋体"/>
          <w:lang w:val="en-US" w:eastAsia="zh-CN"/>
        </w:rPr>
        <w:t>，下同</w:t>
      </w:r>
      <w:r>
        <w:rPr>
          <w:rFonts w:hint="eastAsia" w:ascii="宋体" w:hAnsi="宋体" w:eastAsia="宋体" w:cs="宋体"/>
          <w:lang w:val="en-US" w:eastAsia="zh-CN"/>
        </w:rPr>
        <w:t>。</w:t>
      </w:r>
    </w:p>
  </w:footnote>
  <w:footnote w:id="8">
    <w:p>
      <w:pPr>
        <w:pStyle w:val="11"/>
        <w:snapToGrid w:val="0"/>
      </w:pPr>
      <w:r>
        <w:rPr>
          <w:rStyle w:val="18"/>
        </w:rPr>
        <w:footnoteRef/>
      </w:r>
      <w:r>
        <w:t xml:space="preserve"> </w:t>
      </w:r>
      <w:r>
        <w:rPr>
          <w:rFonts w:hint="eastAsia" w:ascii="宋体" w:hAnsi="宋体" w:eastAsia="宋体" w:cs="宋体"/>
        </w:rPr>
        <w:t>《商业银行与内部人和股东关联交易管理办法》于2022年3月1日废止。</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F269FD"/>
    <w:multiLevelType w:val="multilevel"/>
    <w:tmpl w:val="84F269FD"/>
    <w:lvl w:ilvl="0" w:tentative="0">
      <w:start w:val="1"/>
      <w:numFmt w:val="chineseCounting"/>
      <w:suff w:val="nothing"/>
      <w:lvlText w:val="（%1）"/>
      <w:lvlJc w:val="left"/>
      <w:pPr>
        <w:ind w:left="0" w:firstLine="420"/>
      </w:pPr>
      <w:rPr>
        <w:rFonts w:hint="eastAsia"/>
      </w:rPr>
    </w:lvl>
    <w:lvl w:ilvl="1" w:tentative="0">
      <w:start w:val="1"/>
      <w:numFmt w:val="decimal"/>
      <w:suff w:val="nothing"/>
      <w:lvlText w:val="%2．"/>
      <w:lvlJc w:val="left"/>
      <w:pPr>
        <w:ind w:left="5" w:firstLine="420"/>
      </w:pPr>
      <w:rPr>
        <w:rFonts w:hint="eastAsia"/>
      </w:rPr>
    </w:lvl>
    <w:lvl w:ilvl="2" w:tentative="0">
      <w:start w:val="1"/>
      <w:numFmt w:val="decimal"/>
      <w:suff w:val="nothing"/>
      <w:lvlText w:val="（%3）"/>
      <w:lvlJc w:val="left"/>
      <w:pPr>
        <w:ind w:left="0" w:firstLine="420"/>
      </w:pPr>
      <w:rPr>
        <w:rFonts w:hint="eastAsia"/>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abstractNum w:abstractNumId="1">
    <w:nsid w:val="8ED7EC43"/>
    <w:multiLevelType w:val="singleLevel"/>
    <w:tmpl w:val="8ED7EC43"/>
    <w:lvl w:ilvl="0" w:tentative="0">
      <w:start w:val="2"/>
      <w:numFmt w:val="chineseCounting"/>
      <w:suff w:val="nothing"/>
      <w:lvlText w:val="%1、"/>
      <w:lvlJc w:val="left"/>
      <w:rPr>
        <w:rFonts w:hint="eastAsia"/>
      </w:rPr>
    </w:lvl>
  </w:abstractNum>
  <w:abstractNum w:abstractNumId="2">
    <w:nsid w:val="91199E2D"/>
    <w:multiLevelType w:val="singleLevel"/>
    <w:tmpl w:val="91199E2D"/>
    <w:lvl w:ilvl="0" w:tentative="0">
      <w:start w:val="1"/>
      <w:numFmt w:val="chineseCounting"/>
      <w:suff w:val="nothing"/>
      <w:lvlText w:val="（%1）"/>
      <w:lvlJc w:val="left"/>
      <w:pPr>
        <w:ind w:left="0" w:firstLine="420"/>
      </w:pPr>
      <w:rPr>
        <w:rFonts w:hint="eastAsia"/>
        <w:b w:val="0"/>
        <w:bCs w:val="0"/>
      </w:rPr>
    </w:lvl>
  </w:abstractNum>
  <w:abstractNum w:abstractNumId="3">
    <w:nsid w:val="91CF0283"/>
    <w:multiLevelType w:val="singleLevel"/>
    <w:tmpl w:val="91CF0283"/>
    <w:lvl w:ilvl="0" w:tentative="0">
      <w:start w:val="2"/>
      <w:numFmt w:val="decimal"/>
      <w:suff w:val="space"/>
      <w:lvlText w:val="%1."/>
      <w:lvlJc w:val="left"/>
    </w:lvl>
  </w:abstractNum>
  <w:abstractNum w:abstractNumId="4">
    <w:nsid w:val="A7F55DDA"/>
    <w:multiLevelType w:val="multilevel"/>
    <w:tmpl w:val="A7F55DDA"/>
    <w:lvl w:ilvl="0" w:tentative="0">
      <w:start w:val="1"/>
      <w:numFmt w:val="chineseCounting"/>
      <w:suff w:val="nothing"/>
      <w:lvlText w:val="（%1）"/>
      <w:lvlJc w:val="left"/>
      <w:pPr>
        <w:ind w:left="0" w:firstLine="420"/>
      </w:pPr>
      <w:rPr>
        <w:rFonts w:hint="eastAsia"/>
      </w:rPr>
    </w:lvl>
    <w:lvl w:ilvl="1" w:tentative="0">
      <w:start w:val="1"/>
      <w:numFmt w:val="decimal"/>
      <w:suff w:val="nothing"/>
      <w:lvlText w:val="%2．"/>
      <w:lvlJc w:val="left"/>
      <w:pPr>
        <w:ind w:left="5" w:firstLine="420"/>
      </w:pPr>
      <w:rPr>
        <w:rFonts w:hint="eastAsia"/>
      </w:rPr>
    </w:lvl>
    <w:lvl w:ilvl="2" w:tentative="0">
      <w:start w:val="1"/>
      <w:numFmt w:val="decimal"/>
      <w:suff w:val="nothing"/>
      <w:lvlText w:val="（%3）"/>
      <w:lvlJc w:val="left"/>
      <w:pPr>
        <w:ind w:left="0" w:firstLine="420"/>
      </w:pPr>
      <w:rPr>
        <w:rFonts w:hint="eastAsia"/>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abstractNum w:abstractNumId="5">
    <w:nsid w:val="AF4AE6FF"/>
    <w:multiLevelType w:val="singleLevel"/>
    <w:tmpl w:val="AF4AE6FF"/>
    <w:lvl w:ilvl="0" w:tentative="0">
      <w:start w:val="1"/>
      <w:numFmt w:val="chineseCounting"/>
      <w:suff w:val="nothing"/>
      <w:lvlText w:val="%1、"/>
      <w:lvlJc w:val="left"/>
      <w:rPr>
        <w:rFonts w:hint="eastAsia"/>
      </w:rPr>
    </w:lvl>
  </w:abstractNum>
  <w:abstractNum w:abstractNumId="6">
    <w:nsid w:val="BC62775E"/>
    <w:multiLevelType w:val="singleLevel"/>
    <w:tmpl w:val="BC62775E"/>
    <w:lvl w:ilvl="0" w:tentative="0">
      <w:start w:val="1"/>
      <w:numFmt w:val="chineseCounting"/>
      <w:suff w:val="nothing"/>
      <w:lvlText w:val="（%1）"/>
      <w:lvlJc w:val="left"/>
      <w:pPr>
        <w:ind w:left="0" w:firstLine="420"/>
      </w:pPr>
      <w:rPr>
        <w:rFonts w:hint="eastAsia"/>
      </w:rPr>
    </w:lvl>
  </w:abstractNum>
  <w:abstractNum w:abstractNumId="7">
    <w:nsid w:val="C3E91AE3"/>
    <w:multiLevelType w:val="singleLevel"/>
    <w:tmpl w:val="C3E91AE3"/>
    <w:lvl w:ilvl="0" w:tentative="0">
      <w:start w:val="1"/>
      <w:numFmt w:val="chineseCounting"/>
      <w:suff w:val="nothing"/>
      <w:lvlText w:val="（%1）"/>
      <w:lvlJc w:val="left"/>
      <w:pPr>
        <w:ind w:left="0" w:firstLine="420"/>
      </w:pPr>
      <w:rPr>
        <w:rFonts w:hint="eastAsia"/>
      </w:rPr>
    </w:lvl>
  </w:abstractNum>
  <w:abstractNum w:abstractNumId="8">
    <w:nsid w:val="D40A37CE"/>
    <w:multiLevelType w:val="singleLevel"/>
    <w:tmpl w:val="D40A37CE"/>
    <w:lvl w:ilvl="0" w:tentative="0">
      <w:start w:val="1"/>
      <w:numFmt w:val="chineseCounting"/>
      <w:suff w:val="nothing"/>
      <w:lvlText w:val="%1、"/>
      <w:lvlJc w:val="left"/>
      <w:rPr>
        <w:rFonts w:hint="eastAsia"/>
      </w:rPr>
    </w:lvl>
  </w:abstractNum>
  <w:abstractNum w:abstractNumId="9">
    <w:nsid w:val="E988409B"/>
    <w:multiLevelType w:val="singleLevel"/>
    <w:tmpl w:val="E988409B"/>
    <w:lvl w:ilvl="0" w:tentative="0">
      <w:start w:val="1"/>
      <w:numFmt w:val="chineseCounting"/>
      <w:suff w:val="nothing"/>
      <w:lvlText w:val="（%1）"/>
      <w:lvlJc w:val="left"/>
      <w:rPr>
        <w:rFonts w:hint="eastAsia"/>
      </w:rPr>
    </w:lvl>
  </w:abstractNum>
  <w:abstractNum w:abstractNumId="10">
    <w:nsid w:val="FBA59A5E"/>
    <w:multiLevelType w:val="singleLevel"/>
    <w:tmpl w:val="FBA59A5E"/>
    <w:lvl w:ilvl="0" w:tentative="0">
      <w:start w:val="1"/>
      <w:numFmt w:val="chineseCounting"/>
      <w:suff w:val="nothing"/>
      <w:lvlText w:val="%1、"/>
      <w:lvlJc w:val="left"/>
      <w:pPr>
        <w:ind w:left="481" w:leftChars="0" w:firstLine="0" w:firstLineChars="0"/>
      </w:pPr>
      <w:rPr>
        <w:rFonts w:hint="eastAsia"/>
      </w:rPr>
    </w:lvl>
  </w:abstractNum>
  <w:abstractNum w:abstractNumId="11">
    <w:nsid w:val="FBB6E0AC"/>
    <w:multiLevelType w:val="multilevel"/>
    <w:tmpl w:val="FBB6E0AC"/>
    <w:lvl w:ilvl="0" w:tentative="0">
      <w:start w:val="1"/>
      <w:numFmt w:val="chineseCounting"/>
      <w:suff w:val="nothing"/>
      <w:lvlText w:val="（%1）"/>
      <w:lvlJc w:val="left"/>
      <w:pPr>
        <w:ind w:left="0" w:firstLine="420"/>
      </w:pPr>
      <w:rPr>
        <w:rFonts w:hint="eastAsia"/>
      </w:rPr>
    </w:lvl>
    <w:lvl w:ilvl="1" w:tentative="0">
      <w:start w:val="1"/>
      <w:numFmt w:val="decimal"/>
      <w:suff w:val="nothing"/>
      <w:lvlText w:val="%2．"/>
      <w:lvlJc w:val="left"/>
      <w:pPr>
        <w:ind w:left="5" w:firstLine="420"/>
      </w:pPr>
      <w:rPr>
        <w:rFonts w:hint="eastAsia"/>
      </w:rPr>
    </w:lvl>
    <w:lvl w:ilvl="2" w:tentative="0">
      <w:start w:val="1"/>
      <w:numFmt w:val="decimal"/>
      <w:suff w:val="nothing"/>
      <w:lvlText w:val="（%3）"/>
      <w:lvlJc w:val="left"/>
      <w:pPr>
        <w:ind w:left="0" w:firstLine="420"/>
      </w:pPr>
      <w:rPr>
        <w:rFonts w:hint="eastAsia"/>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abstractNum w:abstractNumId="12">
    <w:nsid w:val="00125E5B"/>
    <w:multiLevelType w:val="multilevel"/>
    <w:tmpl w:val="00125E5B"/>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
    <w:nsid w:val="01BB596C"/>
    <w:multiLevelType w:val="singleLevel"/>
    <w:tmpl w:val="01BB596C"/>
    <w:lvl w:ilvl="0" w:tentative="0">
      <w:start w:val="1"/>
      <w:numFmt w:val="chineseCounting"/>
      <w:suff w:val="nothing"/>
      <w:lvlText w:val="（%1）"/>
      <w:lvlJc w:val="left"/>
      <w:rPr>
        <w:rFonts w:hint="eastAsia"/>
      </w:rPr>
    </w:lvl>
  </w:abstractNum>
  <w:abstractNum w:abstractNumId="14">
    <w:nsid w:val="0B2021FD"/>
    <w:multiLevelType w:val="singleLevel"/>
    <w:tmpl w:val="0B2021FD"/>
    <w:lvl w:ilvl="0" w:tentative="0">
      <w:start w:val="1"/>
      <w:numFmt w:val="decimal"/>
      <w:lvlText w:val="%1."/>
      <w:lvlJc w:val="left"/>
      <w:pPr>
        <w:tabs>
          <w:tab w:val="left" w:pos="312"/>
        </w:tabs>
      </w:pPr>
    </w:lvl>
  </w:abstractNum>
  <w:abstractNum w:abstractNumId="15">
    <w:nsid w:val="0E8A6509"/>
    <w:multiLevelType w:val="multilevel"/>
    <w:tmpl w:val="0E8A6509"/>
    <w:lvl w:ilvl="0" w:tentative="0">
      <w:start w:val="1"/>
      <w:numFmt w:val="chineseCountingThousand"/>
      <w:lvlText w:val="第%1条"/>
      <w:lvlJc w:val="left"/>
      <w:pPr>
        <w:ind w:left="902" w:hanging="420"/>
      </w:pPr>
      <w:rPr>
        <w:rFonts w:hint="default"/>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6">
    <w:nsid w:val="2237C7F0"/>
    <w:multiLevelType w:val="singleLevel"/>
    <w:tmpl w:val="2237C7F0"/>
    <w:lvl w:ilvl="0" w:tentative="0">
      <w:start w:val="1"/>
      <w:numFmt w:val="chineseCounting"/>
      <w:suff w:val="nothing"/>
      <w:lvlText w:val="%1、"/>
      <w:lvlJc w:val="left"/>
      <w:rPr>
        <w:rFonts w:hint="eastAsia"/>
      </w:rPr>
    </w:lvl>
  </w:abstractNum>
  <w:abstractNum w:abstractNumId="17">
    <w:nsid w:val="2591C06F"/>
    <w:multiLevelType w:val="singleLevel"/>
    <w:tmpl w:val="2591C06F"/>
    <w:lvl w:ilvl="0" w:tentative="0">
      <w:start w:val="1"/>
      <w:numFmt w:val="chineseCounting"/>
      <w:suff w:val="space"/>
      <w:lvlText w:val="%1、"/>
      <w:lvlJc w:val="left"/>
      <w:pPr>
        <w:ind w:left="-2"/>
      </w:pPr>
      <w:rPr>
        <w:rFonts w:hint="eastAsia" w:ascii="宋体" w:hAnsi="宋体" w:eastAsia="宋体" w:cs="宋体"/>
        <w:b/>
        <w:bCs/>
      </w:rPr>
    </w:lvl>
  </w:abstractNum>
  <w:abstractNum w:abstractNumId="18">
    <w:nsid w:val="26873C45"/>
    <w:multiLevelType w:val="multilevel"/>
    <w:tmpl w:val="26873C45"/>
    <w:lvl w:ilvl="0" w:tentative="0">
      <w:start w:val="1"/>
      <w:numFmt w:val="japaneseCounting"/>
      <w:lvlText w:val="%1、"/>
      <w:lvlJc w:val="left"/>
      <w:pPr>
        <w:ind w:left="1282" w:hanging="720"/>
      </w:pPr>
      <w:rPr>
        <w:rFonts w:hint="default"/>
      </w:rPr>
    </w:lvl>
    <w:lvl w:ilvl="1" w:tentative="0">
      <w:start w:val="1"/>
      <w:numFmt w:val="japaneseCounting"/>
      <w:lvlText w:val="（%2）"/>
      <w:lvlJc w:val="left"/>
      <w:pPr>
        <w:ind w:left="1747" w:hanging="765"/>
      </w:pPr>
      <w:rPr>
        <w:rFonts w:hint="default"/>
        <w:b/>
      </w:r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19">
    <w:nsid w:val="2952E2CE"/>
    <w:multiLevelType w:val="multilevel"/>
    <w:tmpl w:val="2952E2CE"/>
    <w:lvl w:ilvl="0" w:tentative="0">
      <w:start w:val="1"/>
      <w:numFmt w:val="chineseCountingThousand"/>
      <w:lvlText w:val="第%1条"/>
      <w:lvlJc w:val="left"/>
      <w:pPr>
        <w:ind w:left="902" w:hanging="420"/>
      </w:pPr>
      <w:rPr>
        <w:rFonts w:hint="default"/>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0">
    <w:nsid w:val="2FD9B06B"/>
    <w:multiLevelType w:val="singleLevel"/>
    <w:tmpl w:val="2FD9B06B"/>
    <w:lvl w:ilvl="0" w:tentative="0">
      <w:start w:val="4"/>
      <w:numFmt w:val="chineseCounting"/>
      <w:suff w:val="nothing"/>
      <w:lvlText w:val="（%1）"/>
      <w:lvlJc w:val="left"/>
      <w:rPr>
        <w:rFonts w:hint="eastAsia"/>
      </w:rPr>
    </w:lvl>
  </w:abstractNum>
  <w:abstractNum w:abstractNumId="21">
    <w:nsid w:val="3F295073"/>
    <w:multiLevelType w:val="multilevel"/>
    <w:tmpl w:val="3F295073"/>
    <w:lvl w:ilvl="0" w:tentative="0">
      <w:start w:val="1"/>
      <w:numFmt w:val="chineseCounting"/>
      <w:suff w:val="nothing"/>
      <w:lvlText w:val="（%1）"/>
      <w:lvlJc w:val="left"/>
      <w:pPr>
        <w:ind w:left="0" w:firstLine="420"/>
      </w:pPr>
      <w:rPr>
        <w:rFonts w:hint="eastAsia"/>
      </w:rPr>
    </w:lvl>
    <w:lvl w:ilvl="1" w:tentative="0">
      <w:start w:val="1"/>
      <w:numFmt w:val="decimal"/>
      <w:suff w:val="nothing"/>
      <w:lvlText w:val="%2．"/>
      <w:lvlJc w:val="left"/>
      <w:pPr>
        <w:ind w:left="5" w:firstLine="420"/>
      </w:pPr>
      <w:rPr>
        <w:rFonts w:hint="eastAsia"/>
      </w:rPr>
    </w:lvl>
    <w:lvl w:ilvl="2" w:tentative="0">
      <w:start w:val="1"/>
      <w:numFmt w:val="decimal"/>
      <w:suff w:val="nothing"/>
      <w:lvlText w:val="（%3）"/>
      <w:lvlJc w:val="left"/>
      <w:pPr>
        <w:ind w:left="0" w:firstLine="420"/>
      </w:pPr>
      <w:rPr>
        <w:rFonts w:hint="eastAsia"/>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abstractNum w:abstractNumId="22">
    <w:nsid w:val="57C791F4"/>
    <w:multiLevelType w:val="singleLevel"/>
    <w:tmpl w:val="57C791F4"/>
    <w:lvl w:ilvl="0" w:tentative="0">
      <w:start w:val="1"/>
      <w:numFmt w:val="chineseCounting"/>
      <w:suff w:val="nothing"/>
      <w:lvlText w:val="（%1）"/>
      <w:lvlJc w:val="left"/>
      <w:rPr>
        <w:rFonts w:hint="eastAsia"/>
      </w:rPr>
    </w:lvl>
  </w:abstractNum>
  <w:abstractNum w:abstractNumId="23">
    <w:nsid w:val="6493A904"/>
    <w:multiLevelType w:val="singleLevel"/>
    <w:tmpl w:val="6493A904"/>
    <w:lvl w:ilvl="0" w:tentative="0">
      <w:start w:val="1"/>
      <w:numFmt w:val="chineseCounting"/>
      <w:suff w:val="nothing"/>
      <w:lvlText w:val="（%1）"/>
      <w:lvlJc w:val="left"/>
      <w:pPr>
        <w:ind w:left="360" w:firstLine="0"/>
      </w:pPr>
      <w:rPr>
        <w:rFonts w:hint="eastAsia"/>
      </w:rPr>
    </w:lvl>
  </w:abstractNum>
  <w:abstractNum w:abstractNumId="24">
    <w:nsid w:val="6E48EEBB"/>
    <w:multiLevelType w:val="multilevel"/>
    <w:tmpl w:val="6E48EEBB"/>
    <w:lvl w:ilvl="0" w:tentative="0">
      <w:start w:val="1"/>
      <w:numFmt w:val="chineseCounting"/>
      <w:suff w:val="nothing"/>
      <w:lvlText w:val="（%1）"/>
      <w:lvlJc w:val="left"/>
      <w:pPr>
        <w:ind w:left="0" w:firstLine="420"/>
      </w:pPr>
      <w:rPr>
        <w:rFonts w:hint="eastAsia"/>
      </w:rPr>
    </w:lvl>
    <w:lvl w:ilvl="1" w:tentative="0">
      <w:start w:val="1"/>
      <w:numFmt w:val="decimal"/>
      <w:suff w:val="nothing"/>
      <w:lvlText w:val="%2．"/>
      <w:lvlJc w:val="left"/>
      <w:pPr>
        <w:ind w:left="0" w:firstLine="420"/>
      </w:pPr>
      <w:rPr>
        <w:rFonts w:hint="eastAsia"/>
      </w:rPr>
    </w:lvl>
    <w:lvl w:ilvl="2" w:tentative="0">
      <w:start w:val="1"/>
      <w:numFmt w:val="decimal"/>
      <w:suff w:val="nothing"/>
      <w:lvlText w:val="（%3）"/>
      <w:lvlJc w:val="left"/>
      <w:pPr>
        <w:ind w:left="0" w:firstLine="420"/>
      </w:pPr>
      <w:rPr>
        <w:rFonts w:hint="eastAsia"/>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abstractNum w:abstractNumId="25">
    <w:nsid w:val="74E30962"/>
    <w:multiLevelType w:val="multilevel"/>
    <w:tmpl w:val="74E30962"/>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6"/>
  </w:num>
  <w:num w:numId="2">
    <w:abstractNumId w:val="10"/>
  </w:num>
  <w:num w:numId="3">
    <w:abstractNumId w:val="23"/>
  </w:num>
  <w:num w:numId="4">
    <w:abstractNumId w:val="13"/>
  </w:num>
  <w:num w:numId="5">
    <w:abstractNumId w:val="22"/>
  </w:num>
  <w:num w:numId="6">
    <w:abstractNumId w:val="18"/>
  </w:num>
  <w:num w:numId="7">
    <w:abstractNumId w:val="20"/>
  </w:num>
  <w:num w:numId="8">
    <w:abstractNumId w:val="12"/>
  </w:num>
  <w:num w:numId="9">
    <w:abstractNumId w:val="9"/>
  </w:num>
  <w:num w:numId="10">
    <w:abstractNumId w:val="14"/>
  </w:num>
  <w:num w:numId="11">
    <w:abstractNumId w:val="3"/>
  </w:num>
  <w:num w:numId="12">
    <w:abstractNumId w:val="24"/>
  </w:num>
  <w:num w:numId="13">
    <w:abstractNumId w:val="0"/>
  </w:num>
  <w:num w:numId="14">
    <w:abstractNumId w:val="21"/>
  </w:num>
  <w:num w:numId="15">
    <w:abstractNumId w:val="11"/>
  </w:num>
  <w:num w:numId="16">
    <w:abstractNumId w:val="4"/>
  </w:num>
  <w:num w:numId="17">
    <w:abstractNumId w:val="25"/>
  </w:num>
  <w:num w:numId="18">
    <w:abstractNumId w:val="8"/>
  </w:num>
  <w:num w:numId="19">
    <w:abstractNumId w:val="1"/>
  </w:num>
  <w:num w:numId="20">
    <w:abstractNumId w:val="15"/>
  </w:num>
  <w:num w:numId="21">
    <w:abstractNumId w:val="19"/>
  </w:num>
  <w:num w:numId="22">
    <w:abstractNumId w:val="5"/>
  </w:num>
  <w:num w:numId="23">
    <w:abstractNumId w:val="7"/>
  </w:num>
  <w:num w:numId="24">
    <w:abstractNumId w:val="6"/>
  </w:num>
  <w:num w:numId="25">
    <w:abstractNumId w:val="17"/>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6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EA4D60"/>
    <w:rsid w:val="001E0AC7"/>
    <w:rsid w:val="002805DD"/>
    <w:rsid w:val="004832FD"/>
    <w:rsid w:val="00B96712"/>
    <w:rsid w:val="02A35711"/>
    <w:rsid w:val="03B12B8C"/>
    <w:rsid w:val="04886EC4"/>
    <w:rsid w:val="0558269F"/>
    <w:rsid w:val="056D354C"/>
    <w:rsid w:val="067E7510"/>
    <w:rsid w:val="06F26682"/>
    <w:rsid w:val="091A6A7E"/>
    <w:rsid w:val="0A706234"/>
    <w:rsid w:val="0B4407CD"/>
    <w:rsid w:val="0B7E54BF"/>
    <w:rsid w:val="0BC066DA"/>
    <w:rsid w:val="0CC472C5"/>
    <w:rsid w:val="0CD62969"/>
    <w:rsid w:val="0D1152B2"/>
    <w:rsid w:val="0DC30BD2"/>
    <w:rsid w:val="0E2C78C7"/>
    <w:rsid w:val="0E6645CB"/>
    <w:rsid w:val="0F421F89"/>
    <w:rsid w:val="0FA263C6"/>
    <w:rsid w:val="112835C9"/>
    <w:rsid w:val="1150117B"/>
    <w:rsid w:val="11637E6A"/>
    <w:rsid w:val="13E341C1"/>
    <w:rsid w:val="14280BED"/>
    <w:rsid w:val="142C0A27"/>
    <w:rsid w:val="152A7CA2"/>
    <w:rsid w:val="15CD1F0B"/>
    <w:rsid w:val="15CD70A6"/>
    <w:rsid w:val="17FC6B37"/>
    <w:rsid w:val="183303B7"/>
    <w:rsid w:val="1BAC45C1"/>
    <w:rsid w:val="1C910B9D"/>
    <w:rsid w:val="1CF131C3"/>
    <w:rsid w:val="1D0A3DE5"/>
    <w:rsid w:val="1F1112CC"/>
    <w:rsid w:val="1F587982"/>
    <w:rsid w:val="21A27435"/>
    <w:rsid w:val="224039C6"/>
    <w:rsid w:val="22E17F85"/>
    <w:rsid w:val="23520A11"/>
    <w:rsid w:val="23815155"/>
    <w:rsid w:val="24570B56"/>
    <w:rsid w:val="265D4726"/>
    <w:rsid w:val="26BC7A2B"/>
    <w:rsid w:val="27CD4978"/>
    <w:rsid w:val="29474EB8"/>
    <w:rsid w:val="2968245C"/>
    <w:rsid w:val="2A5574D6"/>
    <w:rsid w:val="2B380CB8"/>
    <w:rsid w:val="2B394F60"/>
    <w:rsid w:val="2B570E26"/>
    <w:rsid w:val="2B877F99"/>
    <w:rsid w:val="2BFF6424"/>
    <w:rsid w:val="2D7271BC"/>
    <w:rsid w:val="2FDA4B5F"/>
    <w:rsid w:val="30A52E44"/>
    <w:rsid w:val="31546B4C"/>
    <w:rsid w:val="31ED4884"/>
    <w:rsid w:val="31FE5BC6"/>
    <w:rsid w:val="320B2980"/>
    <w:rsid w:val="332748FB"/>
    <w:rsid w:val="336A5F7A"/>
    <w:rsid w:val="3808103B"/>
    <w:rsid w:val="38262EBB"/>
    <w:rsid w:val="39892272"/>
    <w:rsid w:val="3AE17DAD"/>
    <w:rsid w:val="3B093426"/>
    <w:rsid w:val="3B611BAC"/>
    <w:rsid w:val="3CDB6B72"/>
    <w:rsid w:val="3DEA4D60"/>
    <w:rsid w:val="3E0734CF"/>
    <w:rsid w:val="3EDF7B97"/>
    <w:rsid w:val="3EEF6AF0"/>
    <w:rsid w:val="3F14325D"/>
    <w:rsid w:val="3F321BE3"/>
    <w:rsid w:val="3F6925B3"/>
    <w:rsid w:val="3FAE31A5"/>
    <w:rsid w:val="40627E71"/>
    <w:rsid w:val="40AA7560"/>
    <w:rsid w:val="40AD1122"/>
    <w:rsid w:val="40B93CB2"/>
    <w:rsid w:val="42054B32"/>
    <w:rsid w:val="42E72D76"/>
    <w:rsid w:val="43AE449F"/>
    <w:rsid w:val="43FA0AD4"/>
    <w:rsid w:val="43FC762B"/>
    <w:rsid w:val="443F0B35"/>
    <w:rsid w:val="44DC45F7"/>
    <w:rsid w:val="462A7FCD"/>
    <w:rsid w:val="471A520F"/>
    <w:rsid w:val="4792560D"/>
    <w:rsid w:val="47C135F6"/>
    <w:rsid w:val="48424D1C"/>
    <w:rsid w:val="48D06BF6"/>
    <w:rsid w:val="495A4998"/>
    <w:rsid w:val="49DA33DF"/>
    <w:rsid w:val="4A346CA4"/>
    <w:rsid w:val="4B1053AE"/>
    <w:rsid w:val="4B2C48A2"/>
    <w:rsid w:val="4CA7678A"/>
    <w:rsid w:val="4D9A7B28"/>
    <w:rsid w:val="4D9B452F"/>
    <w:rsid w:val="4DC60F87"/>
    <w:rsid w:val="50561446"/>
    <w:rsid w:val="50AF2E3A"/>
    <w:rsid w:val="50F379FD"/>
    <w:rsid w:val="51DB38FF"/>
    <w:rsid w:val="51E12755"/>
    <w:rsid w:val="51F32D87"/>
    <w:rsid w:val="52493918"/>
    <w:rsid w:val="52BB6DD1"/>
    <w:rsid w:val="537E191A"/>
    <w:rsid w:val="53F01A7B"/>
    <w:rsid w:val="541B51FC"/>
    <w:rsid w:val="54630011"/>
    <w:rsid w:val="54C047E4"/>
    <w:rsid w:val="55E7634E"/>
    <w:rsid w:val="562D611E"/>
    <w:rsid w:val="57283385"/>
    <w:rsid w:val="574D5267"/>
    <w:rsid w:val="57520BE5"/>
    <w:rsid w:val="592173C7"/>
    <w:rsid w:val="594A7DEA"/>
    <w:rsid w:val="597D7685"/>
    <w:rsid w:val="5AD06919"/>
    <w:rsid w:val="5B862B24"/>
    <w:rsid w:val="5C681883"/>
    <w:rsid w:val="5EF200AA"/>
    <w:rsid w:val="5F722413"/>
    <w:rsid w:val="5FC87A22"/>
    <w:rsid w:val="626040DA"/>
    <w:rsid w:val="62626504"/>
    <w:rsid w:val="64A80611"/>
    <w:rsid w:val="64C739C1"/>
    <w:rsid w:val="64FF3DFA"/>
    <w:rsid w:val="650C0470"/>
    <w:rsid w:val="67A3335F"/>
    <w:rsid w:val="67CE7995"/>
    <w:rsid w:val="68995BCB"/>
    <w:rsid w:val="68DB2A97"/>
    <w:rsid w:val="6B234A86"/>
    <w:rsid w:val="6CB47E64"/>
    <w:rsid w:val="6EC81C50"/>
    <w:rsid w:val="6ED60D74"/>
    <w:rsid w:val="6F180619"/>
    <w:rsid w:val="70352121"/>
    <w:rsid w:val="71EC71E1"/>
    <w:rsid w:val="72A41BA1"/>
    <w:rsid w:val="742B1F63"/>
    <w:rsid w:val="74CB63A0"/>
    <w:rsid w:val="767E38BB"/>
    <w:rsid w:val="77382D44"/>
    <w:rsid w:val="77732431"/>
    <w:rsid w:val="77B32587"/>
    <w:rsid w:val="79AB5D9A"/>
    <w:rsid w:val="79B77A34"/>
    <w:rsid w:val="7A4E4A2D"/>
    <w:rsid w:val="7A64312A"/>
    <w:rsid w:val="7A7C13EF"/>
    <w:rsid w:val="7AD94418"/>
    <w:rsid w:val="7B4710FF"/>
    <w:rsid w:val="7D084B66"/>
    <w:rsid w:val="7D400514"/>
    <w:rsid w:val="7F041F7A"/>
    <w:rsid w:val="7FC760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iPriority="99"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4">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样式1"/>
    <w:basedOn w:val="1"/>
    <w:qFormat/>
    <w:uiPriority w:val="0"/>
    <w:rPr>
      <w:rFonts w:ascii="Calibri" w:hAnsi="Calibri" w:eastAsia="楷体_GB2312"/>
      <w:b/>
      <w:bCs/>
      <w:sz w:val="32"/>
      <w:szCs w:val="32"/>
      <w:lang w:bidi="en-US"/>
    </w:rPr>
  </w:style>
  <w:style w:type="paragraph" w:styleId="5">
    <w:name w:val="annotation text"/>
    <w:basedOn w:val="1"/>
    <w:semiHidden/>
    <w:unhideWhenUsed/>
    <w:qFormat/>
    <w:uiPriority w:val="99"/>
    <w:pPr>
      <w:jc w:val="left"/>
    </w:pPr>
  </w:style>
  <w:style w:type="paragraph" w:styleId="6">
    <w:name w:val="Body Text Indent"/>
    <w:basedOn w:val="1"/>
    <w:qFormat/>
    <w:uiPriority w:val="0"/>
    <w:pPr>
      <w:ind w:firstLine="480"/>
    </w:pPr>
    <w:rPr>
      <w:rFonts w:eastAsia="华文楷体"/>
    </w:rPr>
  </w:style>
  <w:style w:type="paragraph" w:styleId="7">
    <w:name w:val="Plain Text"/>
    <w:basedOn w:val="1"/>
    <w:qFormat/>
    <w:uiPriority w:val="0"/>
    <w:rPr>
      <w:rFonts w:ascii="宋体" w:hAnsi="Courier New"/>
      <w:szCs w:val="20"/>
    </w:rPr>
  </w:style>
  <w:style w:type="paragraph" w:styleId="8">
    <w:name w:val="Balloon Text"/>
    <w:basedOn w:val="1"/>
    <w:link w:val="27"/>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footnote text"/>
    <w:basedOn w:val="1"/>
    <w:qFormat/>
    <w:uiPriority w:val="0"/>
    <w:pPr>
      <w:snapToGrid w:val="0"/>
      <w:jc w:val="left"/>
    </w:pPr>
    <w:rPr>
      <w:sz w:val="18"/>
    </w:r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character" w:styleId="17">
    <w:name w:val="annotation reference"/>
    <w:basedOn w:val="15"/>
    <w:semiHidden/>
    <w:unhideWhenUsed/>
    <w:qFormat/>
    <w:uiPriority w:val="99"/>
    <w:rPr>
      <w:sz w:val="21"/>
      <w:szCs w:val="21"/>
    </w:rPr>
  </w:style>
  <w:style w:type="character" w:styleId="18">
    <w:name w:val="footnote reference"/>
    <w:basedOn w:val="15"/>
    <w:qFormat/>
    <w:uiPriority w:val="0"/>
    <w:rPr>
      <w:vertAlign w:val="superscript"/>
    </w:rPr>
  </w:style>
  <w:style w:type="paragraph" w:customStyle="1" w:styleId="19">
    <w:name w:val="1.正文"/>
    <w:basedOn w:val="1"/>
    <w:qFormat/>
    <w:uiPriority w:val="99"/>
    <w:rPr>
      <w:rFonts w:ascii="Calibri"/>
      <w:szCs w:val="22"/>
    </w:rPr>
  </w:style>
  <w:style w:type="character" w:customStyle="1" w:styleId="20">
    <w:name w:val="NormalCharacter"/>
    <w:semiHidden/>
    <w:qFormat/>
    <w:uiPriority w:val="0"/>
    <w:rPr>
      <w:rFonts w:asciiTheme="minorHAnsi" w:hAnsiTheme="minorHAnsi" w:eastAsiaTheme="minorEastAsia" w:cstheme="minorBidi"/>
      <w:kern w:val="2"/>
      <w:sz w:val="21"/>
      <w:szCs w:val="24"/>
      <w:lang w:val="en-US" w:eastAsia="zh-CN" w:bidi="ar-SA"/>
    </w:rPr>
  </w:style>
  <w:style w:type="character" w:customStyle="1" w:styleId="21">
    <w:name w:val="PageNumber"/>
    <w:basedOn w:val="20"/>
    <w:qFormat/>
    <w:uiPriority w:val="0"/>
    <w:rPr>
      <w:rFonts w:asciiTheme="minorHAnsi" w:hAnsiTheme="minorHAnsi" w:eastAsiaTheme="minorEastAsia" w:cstheme="minorBidi"/>
      <w:kern w:val="2"/>
      <w:sz w:val="21"/>
      <w:szCs w:val="24"/>
      <w:lang w:val="en-US" w:eastAsia="zh-CN" w:bidi="ar-SA"/>
    </w:rPr>
  </w:style>
  <w:style w:type="paragraph" w:customStyle="1" w:styleId="22">
    <w:name w:val="WPSOffice手动目录 1"/>
    <w:qFormat/>
    <w:uiPriority w:val="0"/>
    <w:rPr>
      <w:rFonts w:asciiTheme="minorHAnsi" w:hAnsiTheme="minorHAnsi" w:eastAsiaTheme="minorEastAsia" w:cstheme="minorBidi"/>
      <w:lang w:val="en-US" w:eastAsia="zh-CN" w:bidi="ar-SA"/>
    </w:rPr>
  </w:style>
  <w:style w:type="paragraph" w:styleId="23">
    <w:name w:val="List Paragraph"/>
    <w:basedOn w:val="1"/>
    <w:qFormat/>
    <w:uiPriority w:val="99"/>
    <w:pPr>
      <w:ind w:firstLine="420" w:firstLineChars="200"/>
    </w:pPr>
  </w:style>
  <w:style w:type="paragraph" w:customStyle="1" w:styleId="24">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customStyle="1" w:styleId="25">
    <w:name w:val="列表段落1"/>
    <w:basedOn w:val="1"/>
    <w:qFormat/>
    <w:uiPriority w:val="0"/>
    <w:pPr>
      <w:ind w:firstLine="420" w:firstLineChars="200"/>
    </w:pPr>
  </w:style>
  <w:style w:type="paragraph" w:customStyle="1" w:styleId="26">
    <w:name w:val="List Paragraph1"/>
    <w:basedOn w:val="1"/>
    <w:qFormat/>
    <w:uiPriority w:val="0"/>
    <w:pPr>
      <w:ind w:firstLine="420" w:firstLineChars="200"/>
    </w:pPr>
  </w:style>
  <w:style w:type="character" w:customStyle="1" w:styleId="27">
    <w:name w:val="批注框文本 Char"/>
    <w:basedOn w:val="15"/>
    <w:link w:val="8"/>
    <w:qFormat/>
    <w:uiPriority w:val="0"/>
    <w:rPr>
      <w:kern w:val="2"/>
      <w:sz w:val="18"/>
      <w:szCs w:val="18"/>
    </w:rPr>
  </w:style>
  <w:style w:type="character" w:customStyle="1" w:styleId="28">
    <w:name w:val="font31"/>
    <w:basedOn w:val="15"/>
    <w:qFormat/>
    <w:uiPriority w:val="0"/>
    <w:rPr>
      <w:rFonts w:hint="eastAsia" w:ascii="宋体" w:hAnsi="宋体" w:eastAsia="宋体" w:cs="宋体"/>
      <w:color w:val="000000"/>
      <w:sz w:val="21"/>
      <w:szCs w:val="21"/>
      <w:u w:val="none"/>
    </w:rPr>
  </w:style>
  <w:style w:type="character" w:customStyle="1" w:styleId="29">
    <w:name w:val="font11"/>
    <w:basedOn w:val="15"/>
    <w:qFormat/>
    <w:uiPriority w:val="0"/>
    <w:rPr>
      <w:rFonts w:hint="eastAsia" w:ascii="宋体" w:hAnsi="宋体" w:eastAsia="宋体" w:cs="宋体"/>
      <w:color w:val="000000"/>
      <w:sz w:val="22"/>
      <w:szCs w:val="22"/>
      <w:u w:val="none"/>
    </w:rPr>
  </w:style>
  <w:style w:type="character" w:customStyle="1" w:styleId="30">
    <w:name w:val="font21"/>
    <w:basedOn w:val="15"/>
    <w:qFormat/>
    <w:uiPriority w:val="0"/>
    <w:rPr>
      <w:rFonts w:hint="eastAsia" w:ascii="宋体" w:hAnsi="宋体" w:eastAsia="宋体" w:cs="宋体"/>
      <w:b/>
      <w:color w:val="000000"/>
      <w:sz w:val="22"/>
      <w:szCs w:val="22"/>
      <w:u w:val="none"/>
    </w:rPr>
  </w:style>
  <w:style w:type="character" w:customStyle="1" w:styleId="31">
    <w:name w:val="font71"/>
    <w:basedOn w:val="15"/>
    <w:qFormat/>
    <w:uiPriority w:val="0"/>
    <w:rPr>
      <w:rFonts w:hint="default" w:ascii="Times New Roman" w:hAnsi="Times New Roman" w:cs="Times New Roman"/>
      <w:b/>
      <w:color w:val="000000"/>
      <w:sz w:val="22"/>
      <w:szCs w:val="22"/>
      <w:u w:val="none"/>
    </w:rPr>
  </w:style>
  <w:style w:type="character" w:customStyle="1" w:styleId="32">
    <w:name w:val="font61"/>
    <w:basedOn w:val="15"/>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glossaryDocument" Target="glossary/document.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428cafbf-0c45-44b5-9482-a0c71a6f12fd}"/>
        <w:style w:val=""/>
        <w:category>
          <w:name w:val="常规"/>
          <w:gallery w:val="placeholder"/>
        </w:category>
        <w:types>
          <w:type w:val="bbPlcHdr"/>
        </w:types>
        <w:behaviors>
          <w:behavior w:val="content"/>
        </w:behaviors>
        <w:description w:val=""/>
        <w:guid w:val="{428CAFBF-0C45-44B5-9482-A0C71A6F12FD}"/>
      </w:docPartPr>
      <w:docPartBody>
        <w:p>
          <w:r>
            <w:rPr>
              <w:color w:val="808080"/>
            </w:rPr>
            <w:t>单击此处输入文字。</w:t>
          </w:r>
        </w:p>
      </w:docPartBody>
    </w:docPart>
    <w:docPart>
      <w:docPartPr>
        <w:name w:val="{3390bca2-9f08-4b9e-b0f7-e9dea686b0f4}"/>
        <w:style w:val=""/>
        <w:category>
          <w:name w:val="常规"/>
          <w:gallery w:val="placeholder"/>
        </w:category>
        <w:types>
          <w:type w:val="bbPlcHdr"/>
        </w:types>
        <w:behaviors>
          <w:behavior w:val="content"/>
        </w:behaviors>
        <w:description w:val=""/>
        <w:guid w:val="{3390BCA2-9F08-4B9E-B0F7-E9DEA686B0F4}"/>
      </w:docPartPr>
      <w:docPartBody>
        <w:p>
          <w:r>
            <w:rPr>
              <w:color w:val="808080"/>
            </w:rPr>
            <w:t>单击此处输入文字。</w:t>
          </w:r>
        </w:p>
      </w:docPartBody>
    </w:docPart>
    <w:docPart>
      <w:docPartPr>
        <w:name w:val="{9649a124-272f-4fa2-8e5e-7b16b071e390}"/>
        <w:style w:val=""/>
        <w:category>
          <w:name w:val="常规"/>
          <w:gallery w:val="placeholder"/>
        </w:category>
        <w:types>
          <w:type w:val="bbPlcHdr"/>
        </w:types>
        <w:behaviors>
          <w:behavior w:val="content"/>
        </w:behaviors>
        <w:description w:val=""/>
        <w:guid w:val="{9649A124-272F-4FA2-8E5E-7B16B071E390}"/>
      </w:docPartPr>
      <w:docPartBody>
        <w:p>
          <w:r>
            <w:rPr>
              <w:color w:val="808080"/>
            </w:rPr>
            <w:t>单击此处输入文字。</w:t>
          </w:r>
        </w:p>
      </w:docPartBody>
    </w:docPart>
    <w:docPart>
      <w:docPartPr>
        <w:name w:val="{3103aea9-14b4-441b-ad48-d2ce8aadb0ac}"/>
        <w:style w:val=""/>
        <w:category>
          <w:name w:val="常规"/>
          <w:gallery w:val="placeholder"/>
        </w:category>
        <w:types>
          <w:type w:val="bbPlcHdr"/>
        </w:types>
        <w:behaviors>
          <w:behavior w:val="content"/>
        </w:behaviors>
        <w:description w:val=""/>
        <w:guid w:val="{3103AEA9-14B4-441B-AD48-D2CE8AADB0AC}"/>
      </w:docPartPr>
      <w:docPartBody>
        <w:p>
          <w:r>
            <w:rPr>
              <w:color w:val="808080"/>
            </w:rPr>
            <w:t>单击此处输入文字。</w:t>
          </w:r>
        </w:p>
      </w:docPartBody>
    </w:docPart>
    <w:docPart>
      <w:docPartPr>
        <w:name w:val="{8628c024-a370-4ff2-a2c8-c02efeb9c6dd}"/>
        <w:style w:val=""/>
        <w:category>
          <w:name w:val="常规"/>
          <w:gallery w:val="placeholder"/>
        </w:category>
        <w:types>
          <w:type w:val="bbPlcHdr"/>
        </w:types>
        <w:behaviors>
          <w:behavior w:val="content"/>
        </w:behaviors>
        <w:description w:val=""/>
        <w:guid w:val="{8628C024-A370-4FF2-A2C8-C02EFEB9C6DD}"/>
      </w:docPartPr>
      <w:docPartBody>
        <w:p>
          <w:r>
            <w:rPr>
              <w:color w:val="808080"/>
            </w:rPr>
            <w:t>单击此处输入文字。</w:t>
          </w:r>
        </w:p>
      </w:docPartBody>
    </w:docPart>
    <w:docPart>
      <w:docPartPr>
        <w:name w:val="{0321a32d-d2fb-4311-844d-a736ca41f652}"/>
        <w:style w:val=""/>
        <w:category>
          <w:name w:val="常规"/>
          <w:gallery w:val="placeholder"/>
        </w:category>
        <w:types>
          <w:type w:val="bbPlcHdr"/>
        </w:types>
        <w:behaviors>
          <w:behavior w:val="content"/>
        </w:behaviors>
        <w:description w:val=""/>
        <w:guid w:val="{0321A32D-D2FB-4311-844D-A736CA41F652}"/>
      </w:docPartPr>
      <w:docPartBody>
        <w:p>
          <w:r>
            <w:rPr>
              <w:color w:val="808080"/>
            </w:rPr>
            <w:t>单击此处输入文字。</w:t>
          </w:r>
        </w:p>
      </w:docPartBody>
    </w:docPart>
    <w:docPart>
      <w:docPartPr>
        <w:name w:val="{d80bb59c-4ca3-44dd-ac11-77ca711d4dbb}"/>
        <w:style w:val=""/>
        <w:category>
          <w:name w:val="常规"/>
          <w:gallery w:val="placeholder"/>
        </w:category>
        <w:types>
          <w:type w:val="bbPlcHdr"/>
        </w:types>
        <w:behaviors>
          <w:behavior w:val="content"/>
        </w:behaviors>
        <w:description w:val=""/>
        <w:guid w:val="{D80BB59C-4CA3-44DD-AC11-77CA711D4DBB}"/>
      </w:docPartPr>
      <w:docPartBody>
        <w:p>
          <w:r>
            <w:rPr>
              <w:color w:val="808080"/>
            </w:rPr>
            <w:t>单击此处输入文字。</w:t>
          </w:r>
        </w:p>
      </w:docPartBody>
    </w:docPart>
    <w:docPart>
      <w:docPartPr>
        <w:name w:val="{6f4d0943-4f0e-488c-ac86-b98137e677b0}"/>
        <w:style w:val=""/>
        <w:category>
          <w:name w:val="常规"/>
          <w:gallery w:val="placeholder"/>
        </w:category>
        <w:types>
          <w:type w:val="bbPlcHdr"/>
        </w:types>
        <w:behaviors>
          <w:behavior w:val="content"/>
        </w:behaviors>
        <w:description w:val=""/>
        <w:guid w:val="{6f4d0943-4f0e-488c-ac86-b98137e677b0}"/>
      </w:docPartPr>
      <w:docPartBody>
        <w:p>
          <w:r>
            <w:rPr>
              <w:color w:val="808080"/>
            </w:rPr>
            <w:t>单击此处输入文字。</w:t>
          </w:r>
        </w:p>
      </w:docPartBody>
    </w:docPart>
    <w:docPart>
      <w:docPartPr>
        <w:name w:val="{5223d8cb-fe5e-442e-a733-c428eea4f83b}"/>
        <w:style w:val=""/>
        <w:category>
          <w:name w:val="常规"/>
          <w:gallery w:val="placeholder"/>
        </w:category>
        <w:types>
          <w:type w:val="bbPlcHdr"/>
        </w:types>
        <w:behaviors>
          <w:behavior w:val="content"/>
        </w:behaviors>
        <w:description w:val=""/>
        <w:guid w:val="{5223d8cb-fe5e-442e-a733-c428eea4f83b}"/>
      </w:docPartPr>
      <w:docPartBody>
        <w:p>
          <w:r>
            <w:rPr>
              <w:color w:val="808080"/>
            </w:rPr>
            <w:t>单击此处输入文字。</w:t>
          </w:r>
        </w:p>
      </w:docPartBody>
    </w:docPart>
    <w:docPart>
      <w:docPartPr>
        <w:name w:val="{65487b67-2785-4dd5-b42a-9cfb19a25ceb}"/>
        <w:style w:val=""/>
        <w:category>
          <w:name w:val="常规"/>
          <w:gallery w:val="placeholder"/>
        </w:category>
        <w:types>
          <w:type w:val="bbPlcHdr"/>
        </w:types>
        <w:behaviors>
          <w:behavior w:val="content"/>
        </w:behaviors>
        <w:description w:val=""/>
        <w:guid w:val="{65487b67-2785-4dd5-b42a-9cfb19a25ceb}"/>
      </w:docPartPr>
      <w:docPartBody>
        <w:p>
          <w:r>
            <w:rPr>
              <w:color w:val="808080"/>
            </w:rPr>
            <w:t>单击此处输入文字。</w:t>
          </w:r>
        </w:p>
      </w:docPartBody>
    </w:docPart>
    <w:docPart>
      <w:docPartPr>
        <w:name w:val="{f6a801d0-86f1-4f59-9681-d05a497c3767}"/>
        <w:style w:val=""/>
        <w:category>
          <w:name w:val="常规"/>
          <w:gallery w:val="placeholder"/>
        </w:category>
        <w:types>
          <w:type w:val="bbPlcHdr"/>
        </w:types>
        <w:behaviors>
          <w:behavior w:val="content"/>
        </w:behaviors>
        <w:description w:val=""/>
        <w:guid w:val="{f6a801d0-86f1-4f59-9681-d05a497c3767}"/>
      </w:docPartPr>
      <w:docPartBody>
        <w:p>
          <w:r>
            <w:rPr>
              <w:color w:val="808080"/>
            </w:rPr>
            <w:t>单击此处输入文字。</w:t>
          </w:r>
        </w:p>
      </w:docPartBody>
    </w:docPart>
    <w:docPart>
      <w:docPartPr>
        <w:name w:val="{594b564b-b7c3-4e20-a303-4ce95a95a6eb}"/>
        <w:style w:val=""/>
        <w:category>
          <w:name w:val="常规"/>
          <w:gallery w:val="placeholder"/>
        </w:category>
        <w:types>
          <w:type w:val="bbPlcHdr"/>
        </w:types>
        <w:behaviors>
          <w:behavior w:val="content"/>
        </w:behaviors>
        <w:description w:val=""/>
        <w:guid w:val="{594b564b-b7c3-4e20-a303-4ce95a95a6eb}"/>
      </w:docPartPr>
      <w:docPartBody>
        <w:p>
          <w:r>
            <w:rPr>
              <w:color w:val="808080"/>
            </w:rPr>
            <w:t>单击此处输入文字。</w:t>
          </w:r>
        </w:p>
      </w:docPartBody>
    </w:docPart>
    <w:docPart>
      <w:docPartPr>
        <w:name w:val="{93c40507-3085-4bf3-9e02-34cd1fc10667}"/>
        <w:style w:val=""/>
        <w:category>
          <w:name w:val="常规"/>
          <w:gallery w:val="placeholder"/>
        </w:category>
        <w:types>
          <w:type w:val="bbPlcHdr"/>
        </w:types>
        <w:behaviors>
          <w:behavior w:val="content"/>
        </w:behaviors>
        <w:description w:val=""/>
        <w:guid w:val="{93c40507-3085-4bf3-9e02-34cd1fc10667}"/>
      </w:docPartPr>
      <w:docPartBody>
        <w:p>
          <w:r>
            <w:rPr>
              <w:color w:val="808080"/>
            </w:rPr>
            <w:t>单击此处输入文字。</w:t>
          </w:r>
        </w:p>
      </w:docPartBody>
    </w:docPart>
    <w:docPart>
      <w:docPartPr>
        <w:name w:val="{4a817a9d-1413-46cc-9df2-24d7e4b07a6b}"/>
        <w:style w:val=""/>
        <w:category>
          <w:name w:val="常规"/>
          <w:gallery w:val="placeholder"/>
        </w:category>
        <w:types>
          <w:type w:val="bbPlcHdr"/>
        </w:types>
        <w:behaviors>
          <w:behavior w:val="content"/>
        </w:behaviors>
        <w:description w:val=""/>
        <w:guid w:val="{4a817a9d-1413-46cc-9df2-24d7e4b07a6b}"/>
      </w:docPartPr>
      <w:docPartBody>
        <w:p>
          <w:r>
            <w:rPr>
              <w:color w:val="808080"/>
            </w:rPr>
            <w:t>单击此处输入文字。</w:t>
          </w:r>
        </w:p>
      </w:docPartBody>
    </w:docPart>
    <w:docPart>
      <w:docPartPr>
        <w:name w:val="{caf9b42d-c145-418f-a922-b322f8153caf}"/>
        <w:style w:val=""/>
        <w:category>
          <w:name w:val="常规"/>
          <w:gallery w:val="placeholder"/>
        </w:category>
        <w:types>
          <w:type w:val="bbPlcHdr"/>
        </w:types>
        <w:behaviors>
          <w:behavior w:val="content"/>
        </w:behaviors>
        <w:description w:val=""/>
        <w:guid w:val="{caf9b42d-c145-418f-a922-b322f8153caf}"/>
      </w:docPartPr>
      <w:docPartBody>
        <w:p>
          <w:r>
            <w:rPr>
              <w:color w:val="808080"/>
            </w:rPr>
            <w:t>单击此处输入文字。</w:t>
          </w:r>
        </w:p>
      </w:docPartBody>
    </w:docPart>
    <w:docPart>
      <w:docPartPr>
        <w:name w:val="{4893c6b3-f4fe-4dbf-ad24-27303777d4c7}"/>
        <w:style w:val=""/>
        <w:category>
          <w:name w:val="常规"/>
          <w:gallery w:val="placeholder"/>
        </w:category>
        <w:types>
          <w:type w:val="bbPlcHdr"/>
        </w:types>
        <w:behaviors>
          <w:behavior w:val="content"/>
        </w:behaviors>
        <w:description w:val=""/>
        <w:guid w:val="{4893c6b3-f4fe-4dbf-ad24-27303777d4c7}"/>
      </w:docPartPr>
      <w:docPartBody>
        <w:p>
          <w:r>
            <w:rPr>
              <w:color w:val="808080"/>
            </w:rPr>
            <w:t>单击此处输入文字。</w:t>
          </w:r>
        </w:p>
      </w:docPartBody>
    </w:docPart>
    <w:docPart>
      <w:docPartPr>
        <w:name w:val="{af0dbb34-ecc5-4340-b21f-585266cb5570}"/>
        <w:style w:val=""/>
        <w:category>
          <w:name w:val="常规"/>
          <w:gallery w:val="placeholder"/>
        </w:category>
        <w:types>
          <w:type w:val="bbPlcHdr"/>
        </w:types>
        <w:behaviors>
          <w:behavior w:val="content"/>
        </w:behaviors>
        <w:description w:val=""/>
        <w:guid w:val="{af0dbb34-ecc5-4340-b21f-585266cb5570}"/>
      </w:docPartPr>
      <w:docPartBody>
        <w:p>
          <w:r>
            <w:rPr>
              <w:color w:val="808080"/>
            </w:rPr>
            <w:t>单击此处输入文字。</w:t>
          </w:r>
        </w:p>
      </w:docPartBody>
    </w:docPart>
    <w:docPart>
      <w:docPartPr>
        <w:name w:val="{56ed13b4-39cf-49d8-a5af-d9f1454a30a0}"/>
        <w:style w:val=""/>
        <w:category>
          <w:name w:val="常规"/>
          <w:gallery w:val="placeholder"/>
        </w:category>
        <w:types>
          <w:type w:val="bbPlcHdr"/>
        </w:types>
        <w:behaviors>
          <w:behavior w:val="content"/>
        </w:behaviors>
        <w:description w:val=""/>
        <w:guid w:val="{56ed13b4-39cf-49d8-a5af-d9f1454a30a0}"/>
      </w:docPartPr>
      <w:docPartBody>
        <w:p>
          <w:r>
            <w:rPr>
              <w:color w:val="808080"/>
            </w:rPr>
            <w:t>单击此处输入文字。</w:t>
          </w:r>
        </w:p>
      </w:docPartBody>
    </w:docPart>
    <w:docPart>
      <w:docPartPr>
        <w:name w:val="{a60223c0-a46a-4ddf-bf0c-70b1ecf7ab03}"/>
        <w:style w:val=""/>
        <w:category>
          <w:name w:val="常规"/>
          <w:gallery w:val="placeholder"/>
        </w:category>
        <w:types>
          <w:type w:val="bbPlcHdr"/>
        </w:types>
        <w:behaviors>
          <w:behavior w:val="content"/>
        </w:behaviors>
        <w:description w:val=""/>
        <w:guid w:val="{a60223c0-a46a-4ddf-bf0c-70b1ecf7ab03}"/>
      </w:docPartPr>
      <w:docPartBody>
        <w:p>
          <w:r>
            <w:rPr>
              <w:color w:val="808080"/>
            </w:rPr>
            <w:t>单击此处输入文字。</w:t>
          </w:r>
        </w:p>
      </w:docPartBody>
    </w:docPart>
    <w:docPart>
      <w:docPartPr>
        <w:name w:val="{10208644-039e-4b36-b471-c87098feb14a}"/>
        <w:style w:val=""/>
        <w:category>
          <w:name w:val="常规"/>
          <w:gallery w:val="placeholder"/>
        </w:category>
        <w:types>
          <w:type w:val="bbPlcHdr"/>
        </w:types>
        <w:behaviors>
          <w:behavior w:val="content"/>
        </w:behaviors>
        <w:description w:val=""/>
        <w:guid w:val="{10208644-039e-4b36-b471-c87098feb14a}"/>
      </w:docPartPr>
      <w:docPartBody>
        <w:p>
          <w:r>
            <w:rPr>
              <w:color w:val="808080"/>
            </w:rPr>
            <w:t>单击此处输入文字。</w:t>
          </w:r>
        </w:p>
      </w:docPartBody>
    </w:docPart>
    <w:docPart>
      <w:docPartPr>
        <w:name w:val="{e7a44e16-1c0b-424f-bf2a-2081f5c66a9e}"/>
        <w:style w:val=""/>
        <w:category>
          <w:name w:val="常规"/>
          <w:gallery w:val="placeholder"/>
        </w:category>
        <w:types>
          <w:type w:val="bbPlcHdr"/>
        </w:types>
        <w:behaviors>
          <w:behavior w:val="content"/>
        </w:behaviors>
        <w:description w:val=""/>
        <w:guid w:val="{e7a44e16-1c0b-424f-bf2a-2081f5c66a9e}"/>
      </w:docPartPr>
      <w:docPartBody>
        <w:p>
          <w:r>
            <w:rPr>
              <w:color w:val="808080"/>
            </w:rPr>
            <w:t>单击此处输入文字。</w:t>
          </w:r>
        </w:p>
      </w:docPartBody>
    </w:docPart>
    <w:docPart>
      <w:docPartPr>
        <w:name w:val="{343bf1f6-7a0d-4649-9d57-6acd77ff7111}"/>
        <w:style w:val=""/>
        <w:category>
          <w:name w:val="常规"/>
          <w:gallery w:val="placeholder"/>
        </w:category>
        <w:types>
          <w:type w:val="bbPlcHdr"/>
        </w:types>
        <w:behaviors>
          <w:behavior w:val="content"/>
        </w:behaviors>
        <w:description w:val=""/>
        <w:guid w:val="{343bf1f6-7a0d-4649-9d57-6acd77ff7111}"/>
      </w:docPartPr>
      <w:docPartBody>
        <w:p>
          <w:r>
            <w:rPr>
              <w:color w:val="808080"/>
            </w:rPr>
            <w:t>单击此处输入文字。</w:t>
          </w:r>
        </w:p>
      </w:docPartBody>
    </w:docPart>
    <w:docPart>
      <w:docPartPr>
        <w:name w:val="{e3b6d268-2da3-4d18-84f0-7d3d81739ad6}"/>
        <w:style w:val=""/>
        <w:category>
          <w:name w:val="常规"/>
          <w:gallery w:val="placeholder"/>
        </w:category>
        <w:types>
          <w:type w:val="bbPlcHdr"/>
        </w:types>
        <w:behaviors>
          <w:behavior w:val="content"/>
        </w:behaviors>
        <w:description w:val=""/>
        <w:guid w:val="{e3b6d268-2da3-4d18-84f0-7d3d81739ad6}"/>
      </w:docPartPr>
      <w:docPartBody>
        <w:p>
          <w:r>
            <w:rPr>
              <w:color w:val="808080"/>
            </w:rPr>
            <w:t>单击此处输入文字。</w:t>
          </w:r>
        </w:p>
      </w:docPartBody>
    </w:docPart>
    <w:docPart>
      <w:docPartPr>
        <w:name w:val="{cc642b85-89c1-48f5-8667-3b9f1d5c4bc1}"/>
        <w:style w:val=""/>
        <w:category>
          <w:name w:val="常规"/>
          <w:gallery w:val="placeholder"/>
        </w:category>
        <w:types>
          <w:type w:val="bbPlcHdr"/>
        </w:types>
        <w:behaviors>
          <w:behavior w:val="content"/>
        </w:behaviors>
        <w:description w:val=""/>
        <w:guid w:val="{cc642b85-89c1-48f5-8667-3b9f1d5c4bc1}"/>
      </w:docPartPr>
      <w:docPartBody>
        <w:p>
          <w:r>
            <w:rPr>
              <w:color w:val="808080"/>
            </w:rPr>
            <w:t>单击此处输入文字。</w:t>
          </w:r>
        </w:p>
      </w:docPartBody>
    </w:docPart>
    <w:docPart>
      <w:docPartPr>
        <w:name w:val="{6f0f6fa0-520c-4ced-9723-a0f9c2b4f472}"/>
        <w:style w:val=""/>
        <w:category>
          <w:name w:val="常规"/>
          <w:gallery w:val="placeholder"/>
        </w:category>
        <w:types>
          <w:type w:val="bbPlcHdr"/>
        </w:types>
        <w:behaviors>
          <w:behavior w:val="content"/>
        </w:behaviors>
        <w:description w:val=""/>
        <w:guid w:val="{6f0f6fa0-520c-4ced-9723-a0f9c2b4f472}"/>
      </w:docPartPr>
      <w:docPartBody>
        <w:p>
          <w:r>
            <w:rPr>
              <w:color w:val="808080"/>
            </w:rPr>
            <w:t>单击此处输入文字。</w:t>
          </w:r>
        </w:p>
      </w:docPartBody>
    </w:docPart>
    <w:docPart>
      <w:docPartPr>
        <w:name w:val="{d447b5d3-1c75-463b-9d01-fe3f1b5bd858}"/>
        <w:style w:val=""/>
        <w:category>
          <w:name w:val="常规"/>
          <w:gallery w:val="placeholder"/>
        </w:category>
        <w:types>
          <w:type w:val="bbPlcHdr"/>
        </w:types>
        <w:behaviors>
          <w:behavior w:val="content"/>
        </w:behaviors>
        <w:description w:val=""/>
        <w:guid w:val="{d447b5d3-1c75-463b-9d01-fe3f1b5bd858}"/>
      </w:docPartPr>
      <w:docPartBody>
        <w:p>
          <w:r>
            <w:rPr>
              <w:color w:val="808080"/>
            </w:rPr>
            <w:t>单击此处输入文字。</w:t>
          </w:r>
        </w:p>
      </w:docPartBody>
    </w:docPart>
    <w:docPart>
      <w:docPartPr>
        <w:name w:val="{59895dd0-c02c-4025-8331-23b02cbbbd62}"/>
        <w:style w:val=""/>
        <w:category>
          <w:name w:val="常规"/>
          <w:gallery w:val="placeholder"/>
        </w:category>
        <w:types>
          <w:type w:val="bbPlcHdr"/>
        </w:types>
        <w:behaviors>
          <w:behavior w:val="content"/>
        </w:behaviors>
        <w:description w:val=""/>
        <w:guid w:val="{59895dd0-c02c-4025-8331-23b02cbbbd62}"/>
      </w:docPartPr>
      <w:docPartBody>
        <w:p>
          <w:r>
            <w:rPr>
              <w:color w:val="808080"/>
            </w:rPr>
            <w:t>单击此处输入文字。</w:t>
          </w:r>
        </w:p>
      </w:docPartBody>
    </w:docPart>
    <w:docPart>
      <w:docPartPr>
        <w:name w:val="{c1d3e371-13e1-40b0-8c55-c9c2ee3adbcd}"/>
        <w:style w:val=""/>
        <w:category>
          <w:name w:val="常规"/>
          <w:gallery w:val="placeholder"/>
        </w:category>
        <w:types>
          <w:type w:val="bbPlcHdr"/>
        </w:types>
        <w:behaviors>
          <w:behavior w:val="content"/>
        </w:behaviors>
        <w:description w:val=""/>
        <w:guid w:val="{c1d3e371-13e1-40b0-8c55-c9c2ee3adbcd}"/>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34365B"/>
    <w:rsid w:val="003436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XMB</Company>
  <Pages>40</Pages>
  <Words>4189</Words>
  <Characters>23883</Characters>
  <Lines>199</Lines>
  <Paragraphs>56</Paragraphs>
  <TotalTime>16</TotalTime>
  <ScaleCrop>false</ScaleCrop>
  <LinksUpToDate>false</LinksUpToDate>
  <CharactersWithSpaces>28016</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2020-12-20T07:15:00Z</dcterms:created>
  <dc:creator>陈德贵</dc:creator>
  <cp:lastModifiedBy>戴春草</cp:lastModifiedBy>
  <dcterms:modified xsi:type="dcterms:W3CDTF">2022-05-20T06:56:58Z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